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15229" w14:textId="77777777" w:rsidR="006F190D" w:rsidRPr="007B06A4" w:rsidRDefault="006F190D" w:rsidP="006F190D">
      <w:pPr>
        <w:ind w:left="948" w:firstLine="720"/>
        <w:jc w:val="center"/>
        <w:rPr>
          <w:rFonts w:ascii="Times New Roman" w:eastAsia="Times New Roman" w:hAnsi="Times New Roman" w:cs="Times New Roman"/>
          <w:b/>
          <w:bCs/>
          <w:sz w:val="32"/>
          <w:szCs w:val="36"/>
        </w:rPr>
      </w:pPr>
    </w:p>
    <w:p w14:paraId="2FA8A3CA" w14:textId="66BF4E7A" w:rsidR="006F190D" w:rsidRPr="007B06A4" w:rsidRDefault="006F190D" w:rsidP="006F190D">
      <w:pPr>
        <w:spacing w:after="240"/>
        <w:ind w:firstLine="720"/>
        <w:jc w:val="center"/>
        <w:rPr>
          <w:rFonts w:asciiTheme="majorHAnsi" w:eastAsia="Times New Roman" w:hAnsiTheme="majorHAnsi" w:cs="Times New Roman"/>
          <w:b/>
          <w:bCs/>
          <w:sz w:val="52"/>
          <w:szCs w:val="56"/>
        </w:rPr>
      </w:pPr>
      <w:r w:rsidRPr="007B06A4">
        <w:rPr>
          <w:rFonts w:asciiTheme="majorHAnsi" w:eastAsia="Times New Roman" w:hAnsiTheme="majorHAnsi" w:cs="Times New Roman"/>
          <w:b/>
          <w:bCs/>
          <w:sz w:val="52"/>
          <w:szCs w:val="56"/>
        </w:rPr>
        <w:t>MONTREAL PROTOCOL</w:t>
      </w:r>
      <w:r w:rsidR="00966BAE" w:rsidRPr="007B06A4">
        <w:rPr>
          <w:rFonts w:asciiTheme="majorHAnsi" w:eastAsia="Times New Roman" w:hAnsiTheme="majorHAnsi" w:cs="Times New Roman"/>
          <w:b/>
          <w:bCs/>
          <w:sz w:val="52"/>
          <w:szCs w:val="56"/>
        </w:rPr>
        <w:br/>
      </w:r>
      <w:r w:rsidRPr="007B06A4">
        <w:rPr>
          <w:rFonts w:asciiTheme="majorHAnsi" w:eastAsia="Times New Roman" w:hAnsiTheme="majorHAnsi" w:cs="Times New Roman"/>
          <w:b/>
          <w:bCs/>
          <w:sz w:val="52"/>
          <w:szCs w:val="56"/>
        </w:rPr>
        <w:t>ON SUBSTANCES THAT DEPLETE</w:t>
      </w:r>
      <w:r w:rsidRPr="007B06A4">
        <w:rPr>
          <w:rFonts w:asciiTheme="majorHAnsi" w:eastAsia="Times New Roman" w:hAnsiTheme="majorHAnsi" w:cs="Times New Roman"/>
          <w:b/>
          <w:bCs/>
          <w:sz w:val="52"/>
          <w:szCs w:val="56"/>
        </w:rPr>
        <w:br/>
        <w:t>THE OZONE LAYER</w:t>
      </w:r>
    </w:p>
    <w:p w14:paraId="65474659" w14:textId="77777777" w:rsidR="006F190D" w:rsidRPr="006F190D" w:rsidRDefault="006F190D" w:rsidP="00BE1A41">
      <w:pPr>
        <w:spacing w:after="240"/>
        <w:ind w:left="720"/>
        <w:jc w:val="center"/>
        <w:rPr>
          <w:rFonts w:asciiTheme="majorHAnsi" w:eastAsia="Times New Roman" w:hAnsiTheme="majorHAnsi" w:cs="Times New Roman"/>
          <w:b/>
          <w:bCs/>
          <w:sz w:val="56"/>
          <w:szCs w:val="56"/>
        </w:rPr>
      </w:pPr>
    </w:p>
    <w:p w14:paraId="76ED98C5" w14:textId="5ABD3B25" w:rsidR="006F190D" w:rsidRPr="007B06A4" w:rsidRDefault="006F190D" w:rsidP="00BE1A41">
      <w:pPr>
        <w:spacing w:after="240"/>
        <w:ind w:left="720"/>
        <w:jc w:val="center"/>
        <w:rPr>
          <w:rFonts w:asciiTheme="majorHAnsi" w:eastAsia="Times New Roman" w:hAnsiTheme="majorHAnsi" w:cs="Times New Roman"/>
          <w:b/>
          <w:bCs/>
          <w:sz w:val="96"/>
          <w:szCs w:val="56"/>
        </w:rPr>
      </w:pPr>
      <w:r w:rsidRPr="006F190D">
        <w:rPr>
          <w:rFonts w:asciiTheme="majorHAnsi" w:eastAsia="Times New Roman" w:hAnsiTheme="majorHAnsi" w:cs="Times New Roman"/>
          <w:noProof/>
          <w:sz w:val="56"/>
          <w:szCs w:val="56"/>
          <w:lang w:val="en-US"/>
        </w:rPr>
        <w:drawing>
          <wp:inline distT="0" distB="0" distL="0" distR="0" wp14:anchorId="1263A804" wp14:editId="27E7067F">
            <wp:extent cx="2886075" cy="2543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543175"/>
                    </a:xfrm>
                    <a:prstGeom prst="rect">
                      <a:avLst/>
                    </a:prstGeom>
                    <a:noFill/>
                    <a:ln>
                      <a:noFill/>
                    </a:ln>
                  </pic:spPr>
                </pic:pic>
              </a:graphicData>
            </a:graphic>
          </wp:inline>
        </w:drawing>
      </w:r>
      <w:r w:rsidR="007B06A4">
        <w:rPr>
          <w:rFonts w:asciiTheme="majorHAnsi" w:eastAsia="Times New Roman" w:hAnsiTheme="majorHAnsi" w:cs="Times New Roman"/>
          <w:b/>
          <w:bCs/>
          <w:sz w:val="96"/>
          <w:szCs w:val="56"/>
        </w:rPr>
        <w:br/>
      </w:r>
      <w:r w:rsidRPr="007B06A4">
        <w:rPr>
          <w:rFonts w:asciiTheme="majorHAnsi" w:eastAsia="Times New Roman" w:hAnsiTheme="majorHAnsi" w:cs="Times New Roman"/>
          <w:b/>
          <w:bCs/>
          <w:sz w:val="96"/>
          <w:szCs w:val="56"/>
        </w:rPr>
        <w:t>UNEP</w:t>
      </w:r>
    </w:p>
    <w:p w14:paraId="55A263E6" w14:textId="77777777" w:rsidR="007B06A4" w:rsidRPr="006F190D" w:rsidRDefault="007B06A4" w:rsidP="00BE1A41">
      <w:pPr>
        <w:spacing w:after="240"/>
        <w:ind w:left="720"/>
        <w:jc w:val="center"/>
        <w:rPr>
          <w:rFonts w:asciiTheme="majorHAnsi" w:eastAsia="Times New Roman" w:hAnsiTheme="majorHAnsi" w:cs="Times New Roman"/>
          <w:b/>
          <w:bCs/>
          <w:sz w:val="56"/>
          <w:szCs w:val="56"/>
        </w:rPr>
      </w:pPr>
    </w:p>
    <w:p w14:paraId="7C978F4B" w14:textId="1D9AC20C" w:rsidR="006F190D" w:rsidRPr="007B06A4" w:rsidRDefault="006F190D" w:rsidP="006F190D">
      <w:pPr>
        <w:snapToGrid w:val="0"/>
        <w:spacing w:after="240"/>
        <w:jc w:val="center"/>
        <w:outlineLvl w:val="8"/>
        <w:rPr>
          <w:rFonts w:asciiTheme="majorHAnsi" w:eastAsia="Times New Roman" w:hAnsiTheme="majorHAnsi" w:cs="Times New Roman"/>
          <w:b/>
          <w:bCs/>
          <w:sz w:val="52"/>
          <w:szCs w:val="56"/>
        </w:rPr>
      </w:pPr>
      <w:bookmarkStart w:id="0" w:name="OLE_LINK5"/>
      <w:bookmarkStart w:id="1" w:name="OLE_LINK6"/>
      <w:bookmarkStart w:id="2" w:name="OLE_LINK7"/>
      <w:bookmarkStart w:id="3" w:name="OLE_LINK17"/>
      <w:bookmarkStart w:id="4" w:name="OLE_LINK18"/>
      <w:r w:rsidRPr="007B06A4">
        <w:rPr>
          <w:rFonts w:asciiTheme="majorHAnsi" w:eastAsia="Times New Roman" w:hAnsiTheme="majorHAnsi" w:cs="Times New Roman"/>
          <w:b/>
          <w:bCs/>
          <w:sz w:val="52"/>
          <w:szCs w:val="56"/>
        </w:rPr>
        <w:t xml:space="preserve">2014 REPORT OF THE </w:t>
      </w:r>
      <w:r w:rsidRPr="007B06A4">
        <w:rPr>
          <w:rFonts w:asciiTheme="majorHAnsi" w:eastAsia="Times New Roman" w:hAnsiTheme="majorHAnsi" w:cs="Times New Roman"/>
          <w:b/>
          <w:bCs/>
          <w:sz w:val="52"/>
          <w:szCs w:val="56"/>
        </w:rPr>
        <w:br/>
        <w:t xml:space="preserve">RIGID AND FLEXIBLE FOAMS </w:t>
      </w:r>
      <w:bookmarkEnd w:id="0"/>
      <w:bookmarkEnd w:id="1"/>
      <w:bookmarkEnd w:id="2"/>
      <w:r w:rsidRPr="007B06A4">
        <w:rPr>
          <w:rFonts w:asciiTheme="majorHAnsi" w:eastAsia="Times New Roman" w:hAnsiTheme="majorHAnsi" w:cs="Times New Roman"/>
          <w:b/>
          <w:bCs/>
          <w:sz w:val="52"/>
          <w:szCs w:val="56"/>
        </w:rPr>
        <w:t xml:space="preserve">TECHNICAL OPTIONS COMMITTEE </w:t>
      </w:r>
      <w:bookmarkEnd w:id="3"/>
      <w:bookmarkEnd w:id="4"/>
    </w:p>
    <w:p w14:paraId="5D612D3A" w14:textId="77777777" w:rsidR="006F190D" w:rsidRPr="007B06A4" w:rsidRDefault="006F190D" w:rsidP="006F190D">
      <w:pPr>
        <w:snapToGrid w:val="0"/>
        <w:spacing w:after="240"/>
        <w:jc w:val="center"/>
        <w:outlineLvl w:val="8"/>
        <w:rPr>
          <w:rFonts w:asciiTheme="majorHAnsi" w:eastAsia="Times New Roman" w:hAnsiTheme="majorHAnsi" w:cs="Times New Roman"/>
          <w:b/>
          <w:bCs/>
          <w:sz w:val="28"/>
          <w:szCs w:val="32"/>
        </w:rPr>
      </w:pPr>
    </w:p>
    <w:p w14:paraId="7410E302" w14:textId="65518063" w:rsidR="006F190D" w:rsidRPr="007B06A4" w:rsidRDefault="006F190D" w:rsidP="006F190D">
      <w:pPr>
        <w:snapToGrid w:val="0"/>
        <w:spacing w:after="240"/>
        <w:jc w:val="center"/>
        <w:outlineLvl w:val="8"/>
        <w:rPr>
          <w:rFonts w:ascii="Times New Roman" w:eastAsia="Times New Roman" w:hAnsi="Times New Roman" w:cs="Times New Roman"/>
          <w:b/>
          <w:bCs/>
          <w:sz w:val="52"/>
          <w:szCs w:val="56"/>
        </w:rPr>
      </w:pPr>
      <w:r w:rsidRPr="007B06A4">
        <w:rPr>
          <w:rFonts w:asciiTheme="majorHAnsi" w:eastAsia="Times New Roman" w:hAnsiTheme="majorHAnsi" w:cs="Times New Roman"/>
          <w:b/>
          <w:bCs/>
          <w:sz w:val="52"/>
          <w:szCs w:val="56"/>
        </w:rPr>
        <w:t>2014 ASSESSMENT REPORT</w:t>
      </w:r>
    </w:p>
    <w:p w14:paraId="392F28CA" w14:textId="77777777" w:rsidR="006F190D" w:rsidRDefault="006F190D" w:rsidP="00176163">
      <w:pPr>
        <w:jc w:val="center"/>
        <w:rPr>
          <w:sz w:val="56"/>
          <w:szCs w:val="56"/>
        </w:rPr>
        <w:sectPr w:rsidR="006F190D" w:rsidSect="00491BA3">
          <w:footerReference w:type="even" r:id="rId10"/>
          <w:footerReference w:type="default" r:id="rId11"/>
          <w:footerReference w:type="first" r:id="rId12"/>
          <w:pgSz w:w="11906" w:h="16838"/>
          <w:pgMar w:top="1440" w:right="1440" w:bottom="1440" w:left="1440" w:header="708" w:footer="708" w:gutter="0"/>
          <w:cols w:space="708"/>
          <w:titlePg/>
          <w:docGrid w:linePitch="360"/>
        </w:sectPr>
      </w:pPr>
    </w:p>
    <w:p w14:paraId="577B75BF" w14:textId="6A671344" w:rsidR="006F190D" w:rsidRPr="006F190D" w:rsidRDefault="006F190D" w:rsidP="006F190D">
      <w:pPr>
        <w:ind w:firstLine="720"/>
        <w:jc w:val="right"/>
        <w:rPr>
          <w:rFonts w:eastAsia="Times New Roman" w:cstheme="minorHAnsi"/>
          <w:b/>
          <w:smallCaps/>
          <w:sz w:val="32"/>
          <w:szCs w:val="32"/>
          <w:lang w:val="en-US"/>
        </w:rPr>
      </w:pPr>
      <w:r w:rsidRPr="006F190D">
        <w:rPr>
          <w:rFonts w:eastAsia="Times New Roman" w:cstheme="minorHAnsi"/>
          <w:b/>
          <w:smallCaps/>
          <w:sz w:val="32"/>
          <w:szCs w:val="32"/>
          <w:lang w:val="en-US"/>
        </w:rPr>
        <w:lastRenderedPageBreak/>
        <w:t>UNEP</w:t>
      </w:r>
      <w:r w:rsidRPr="006F190D">
        <w:rPr>
          <w:rFonts w:eastAsia="Times New Roman" w:cstheme="minorHAnsi"/>
          <w:b/>
          <w:smallCaps/>
          <w:sz w:val="32"/>
          <w:szCs w:val="32"/>
          <w:lang w:val="en-US"/>
        </w:rPr>
        <w:br/>
        <w:t>Report of the</w:t>
      </w:r>
      <w:r w:rsidRPr="006F190D">
        <w:rPr>
          <w:rFonts w:eastAsia="Times New Roman" w:cstheme="minorHAnsi"/>
          <w:b/>
          <w:smallCaps/>
          <w:sz w:val="32"/>
          <w:szCs w:val="32"/>
          <w:lang w:val="en-US"/>
        </w:rPr>
        <w:br/>
      </w:r>
      <w:bookmarkStart w:id="5" w:name="OLE_LINK8"/>
      <w:bookmarkStart w:id="6" w:name="OLE_LINK9"/>
      <w:r w:rsidRPr="006F190D">
        <w:rPr>
          <w:rFonts w:eastAsia="Times New Roman" w:cstheme="minorHAnsi"/>
          <w:b/>
          <w:bCs/>
          <w:smallCaps/>
          <w:sz w:val="32"/>
          <w:szCs w:val="32"/>
        </w:rPr>
        <w:t>Rigid and Flexible Foams</w:t>
      </w:r>
      <w:r w:rsidRPr="006F190D">
        <w:rPr>
          <w:rFonts w:eastAsia="Times New Roman" w:cstheme="minorHAnsi"/>
          <w:b/>
          <w:smallCaps/>
          <w:sz w:val="32"/>
          <w:szCs w:val="32"/>
          <w:lang w:val="en-US"/>
        </w:rPr>
        <w:t xml:space="preserve"> </w:t>
      </w:r>
      <w:bookmarkEnd w:id="5"/>
      <w:bookmarkEnd w:id="6"/>
      <w:r w:rsidRPr="006F190D">
        <w:rPr>
          <w:rFonts w:eastAsia="Times New Roman" w:cstheme="minorHAnsi"/>
          <w:b/>
          <w:smallCaps/>
          <w:sz w:val="32"/>
          <w:szCs w:val="32"/>
          <w:lang w:val="en-US"/>
        </w:rPr>
        <w:t>Technical Options Committee</w:t>
      </w:r>
      <w:r w:rsidRPr="006F190D">
        <w:rPr>
          <w:rFonts w:eastAsia="Times New Roman" w:cstheme="minorHAnsi"/>
          <w:b/>
          <w:smallCaps/>
          <w:sz w:val="32"/>
          <w:szCs w:val="32"/>
          <w:lang w:val="en-US"/>
        </w:rPr>
        <w:br/>
      </w:r>
    </w:p>
    <w:p w14:paraId="31E003EB" w14:textId="4B9109E5" w:rsidR="00491BA3" w:rsidRPr="00966BAE" w:rsidRDefault="005A3979" w:rsidP="006F190D">
      <w:pPr>
        <w:jc w:val="right"/>
        <w:rPr>
          <w:rFonts w:cstheme="minorHAnsi"/>
          <w:b/>
          <w:sz w:val="32"/>
          <w:szCs w:val="32"/>
        </w:rPr>
      </w:pPr>
      <w:r>
        <w:rPr>
          <w:rFonts w:eastAsia="Times New Roman" w:cstheme="minorHAnsi"/>
          <w:b/>
          <w:smallCaps/>
          <w:sz w:val="32"/>
          <w:szCs w:val="32"/>
          <w:lang w:val="en-US"/>
        </w:rPr>
        <w:t>2014</w:t>
      </w:r>
      <w:r w:rsidR="006F190D" w:rsidRPr="00966BAE">
        <w:rPr>
          <w:rFonts w:eastAsia="Times New Roman" w:cstheme="minorHAnsi"/>
          <w:b/>
          <w:smallCaps/>
          <w:sz w:val="32"/>
          <w:szCs w:val="32"/>
          <w:lang w:val="en-US"/>
        </w:rPr>
        <w:t xml:space="preserve"> Assessment Report</w:t>
      </w:r>
    </w:p>
    <w:p w14:paraId="7A032AAE" w14:textId="77777777" w:rsidR="00491BA3" w:rsidRDefault="00491BA3" w:rsidP="00491BA3">
      <w:pPr>
        <w:jc w:val="right"/>
        <w:rPr>
          <w:rFonts w:cstheme="minorHAnsi"/>
          <w:b/>
          <w:sz w:val="32"/>
          <w:szCs w:val="32"/>
        </w:rPr>
      </w:pPr>
    </w:p>
    <w:p w14:paraId="0B9FD0F4" w14:textId="77777777" w:rsidR="00822D97" w:rsidRDefault="00822D97" w:rsidP="00491BA3">
      <w:pPr>
        <w:jc w:val="right"/>
        <w:rPr>
          <w:rFonts w:cstheme="minorHAnsi"/>
          <w:b/>
          <w:sz w:val="32"/>
          <w:szCs w:val="32"/>
        </w:rPr>
      </w:pPr>
    </w:p>
    <w:p w14:paraId="0D1FDA44" w14:textId="77777777" w:rsidR="00822D97" w:rsidRDefault="00822D97" w:rsidP="00491BA3">
      <w:pPr>
        <w:jc w:val="right"/>
        <w:rPr>
          <w:rFonts w:cstheme="minorHAnsi"/>
          <w:b/>
          <w:sz w:val="32"/>
          <w:szCs w:val="32"/>
        </w:rPr>
      </w:pPr>
    </w:p>
    <w:p w14:paraId="1A0509F8" w14:textId="77777777" w:rsidR="00822D97" w:rsidRDefault="00822D97" w:rsidP="00491BA3">
      <w:pPr>
        <w:jc w:val="right"/>
        <w:rPr>
          <w:rFonts w:cstheme="minorHAnsi"/>
          <w:b/>
          <w:sz w:val="32"/>
          <w:szCs w:val="32"/>
        </w:rPr>
      </w:pPr>
    </w:p>
    <w:p w14:paraId="4E5C2976" w14:textId="77777777" w:rsidR="00822D97" w:rsidRDefault="00822D97" w:rsidP="00491BA3">
      <w:pPr>
        <w:jc w:val="right"/>
        <w:rPr>
          <w:rFonts w:cstheme="minorHAnsi"/>
          <w:b/>
          <w:sz w:val="32"/>
          <w:szCs w:val="32"/>
        </w:rPr>
      </w:pPr>
    </w:p>
    <w:p w14:paraId="40AF80D0" w14:textId="77777777" w:rsidR="00822D97" w:rsidRDefault="00822D97" w:rsidP="00491BA3">
      <w:pPr>
        <w:jc w:val="right"/>
        <w:rPr>
          <w:rFonts w:cstheme="minorHAnsi"/>
          <w:b/>
          <w:sz w:val="32"/>
          <w:szCs w:val="32"/>
        </w:rPr>
      </w:pPr>
    </w:p>
    <w:p w14:paraId="27ED8973" w14:textId="77777777" w:rsidR="00822D97" w:rsidRDefault="00822D97" w:rsidP="00491BA3">
      <w:pPr>
        <w:jc w:val="right"/>
        <w:rPr>
          <w:rFonts w:cstheme="minorHAnsi"/>
          <w:b/>
          <w:sz w:val="32"/>
          <w:szCs w:val="32"/>
        </w:rPr>
      </w:pPr>
    </w:p>
    <w:p w14:paraId="5EBECB1B" w14:textId="77777777" w:rsidR="00822D97" w:rsidRDefault="00822D97" w:rsidP="00491BA3">
      <w:pPr>
        <w:jc w:val="right"/>
        <w:rPr>
          <w:rFonts w:cstheme="minorHAnsi"/>
          <w:b/>
          <w:sz w:val="32"/>
          <w:szCs w:val="32"/>
        </w:rPr>
      </w:pPr>
    </w:p>
    <w:p w14:paraId="28073990" w14:textId="77777777" w:rsidR="00822D97" w:rsidRDefault="00822D97" w:rsidP="00491BA3">
      <w:pPr>
        <w:jc w:val="right"/>
        <w:rPr>
          <w:rFonts w:cstheme="minorHAnsi"/>
          <w:b/>
          <w:sz w:val="32"/>
          <w:szCs w:val="32"/>
        </w:rPr>
      </w:pPr>
    </w:p>
    <w:p w14:paraId="4DAF6D5C" w14:textId="77777777" w:rsidR="00822D97" w:rsidRPr="00966BAE" w:rsidRDefault="00822D97" w:rsidP="00491BA3">
      <w:pPr>
        <w:jc w:val="right"/>
        <w:rPr>
          <w:rFonts w:cstheme="minorHAnsi"/>
          <w:b/>
          <w:sz w:val="32"/>
          <w:szCs w:val="32"/>
        </w:rPr>
      </w:pPr>
    </w:p>
    <w:p w14:paraId="06FEC71E" w14:textId="558EFCC0" w:rsidR="00491BA3" w:rsidRPr="00822D97" w:rsidRDefault="00966BAE" w:rsidP="00822D97">
      <w:pPr>
        <w:spacing w:before="7200"/>
        <w:jc w:val="right"/>
        <w:rPr>
          <w:sz w:val="96"/>
          <w:szCs w:val="56"/>
        </w:rPr>
      </w:pPr>
      <w:r w:rsidRPr="002D02DA">
        <w:rPr>
          <w:b/>
          <w:sz w:val="28"/>
        </w:rPr>
        <w:t>Published March 2015</w:t>
      </w:r>
      <w:r>
        <w:rPr>
          <w:b/>
          <w:sz w:val="32"/>
        </w:rPr>
        <w:br/>
      </w:r>
      <w:r w:rsidRPr="002D02DA">
        <w:rPr>
          <w:b/>
          <w:sz w:val="28"/>
        </w:rPr>
        <w:t>ISBN:</w:t>
      </w:r>
      <w:r w:rsidRPr="002D02DA">
        <w:rPr>
          <w:sz w:val="20"/>
        </w:rPr>
        <w:t xml:space="preserve"> </w:t>
      </w:r>
      <w:r w:rsidRPr="002D02DA">
        <w:rPr>
          <w:b/>
          <w:sz w:val="28"/>
        </w:rPr>
        <w:t>978-9966-076-10-6</w:t>
      </w:r>
      <w:bookmarkStart w:id="7" w:name="_GoBack"/>
      <w:bookmarkEnd w:id="7"/>
      <w:r w:rsidR="00491BA3">
        <w:rPr>
          <w:sz w:val="56"/>
          <w:szCs w:val="56"/>
        </w:rPr>
        <w:br w:type="page"/>
      </w:r>
    </w:p>
    <w:sdt>
      <w:sdtPr>
        <w:rPr>
          <w:rFonts w:asciiTheme="minorHAnsi" w:eastAsiaTheme="minorHAnsi" w:hAnsiTheme="minorHAnsi" w:cstheme="minorBidi"/>
          <w:color w:val="auto"/>
          <w:sz w:val="22"/>
          <w:szCs w:val="22"/>
          <w:lang w:val="en-GB"/>
        </w:rPr>
        <w:id w:val="-1933889007"/>
        <w:docPartObj>
          <w:docPartGallery w:val="Table of Contents"/>
          <w:docPartUnique/>
        </w:docPartObj>
      </w:sdtPr>
      <w:sdtEndPr>
        <w:rPr>
          <w:b/>
          <w:bCs/>
          <w:noProof/>
        </w:rPr>
      </w:sdtEndPr>
      <w:sdtContent>
        <w:p w14:paraId="772971FB" w14:textId="77777777" w:rsidR="000E02F3" w:rsidRDefault="002A505F">
          <w:pPr>
            <w:pStyle w:val="TOCHeading"/>
          </w:pPr>
          <w:r>
            <w:t>Contents</w:t>
          </w:r>
        </w:p>
        <w:p w14:paraId="59757189" w14:textId="77777777" w:rsidR="0076293B" w:rsidRDefault="00DB6CE3">
          <w:pPr>
            <w:pStyle w:val="TOC2"/>
            <w:tabs>
              <w:tab w:val="left" w:pos="660"/>
              <w:tab w:val="right" w:leader="dot" w:pos="9016"/>
            </w:tabs>
            <w:rPr>
              <w:rFonts w:eastAsiaTheme="minorEastAsia"/>
              <w:noProof/>
              <w:lang w:eastAsia="en-GB"/>
            </w:rPr>
          </w:pPr>
          <w:r>
            <w:fldChar w:fldCharType="begin"/>
          </w:r>
          <w:r w:rsidR="000E02F3">
            <w:instrText xml:space="preserve"> TOC \o "1-3" \h \z \u </w:instrText>
          </w:r>
          <w:r>
            <w:fldChar w:fldCharType="separate"/>
          </w:r>
          <w:hyperlink w:anchor="_Toc415441509" w:history="1">
            <w:r w:rsidR="0076293B" w:rsidRPr="005E427C">
              <w:rPr>
                <w:rStyle w:val="Hyperlink"/>
                <w:noProof/>
              </w:rPr>
              <w:t>1.</w:t>
            </w:r>
            <w:r w:rsidR="0076293B">
              <w:rPr>
                <w:rFonts w:eastAsiaTheme="minorEastAsia"/>
                <w:noProof/>
                <w:lang w:eastAsia="en-GB"/>
              </w:rPr>
              <w:tab/>
            </w:r>
            <w:r w:rsidR="0076293B" w:rsidRPr="005E427C">
              <w:rPr>
                <w:rStyle w:val="Hyperlink"/>
                <w:noProof/>
              </w:rPr>
              <w:t>Key Messages</w:t>
            </w:r>
            <w:r w:rsidR="0076293B">
              <w:rPr>
                <w:noProof/>
                <w:webHidden/>
              </w:rPr>
              <w:tab/>
            </w:r>
            <w:r w:rsidR="0076293B">
              <w:rPr>
                <w:noProof/>
                <w:webHidden/>
              </w:rPr>
              <w:fldChar w:fldCharType="begin"/>
            </w:r>
            <w:r w:rsidR="0076293B">
              <w:rPr>
                <w:noProof/>
                <w:webHidden/>
              </w:rPr>
              <w:instrText xml:space="preserve"> PAGEREF _Toc415441509 \h </w:instrText>
            </w:r>
            <w:r w:rsidR="0076293B">
              <w:rPr>
                <w:noProof/>
                <w:webHidden/>
              </w:rPr>
            </w:r>
            <w:r w:rsidR="0076293B">
              <w:rPr>
                <w:noProof/>
                <w:webHidden/>
              </w:rPr>
              <w:fldChar w:fldCharType="separate"/>
            </w:r>
            <w:r w:rsidR="00726DE6">
              <w:rPr>
                <w:noProof/>
                <w:webHidden/>
              </w:rPr>
              <w:t>5</w:t>
            </w:r>
            <w:r w:rsidR="0076293B">
              <w:rPr>
                <w:noProof/>
                <w:webHidden/>
              </w:rPr>
              <w:fldChar w:fldCharType="end"/>
            </w:r>
          </w:hyperlink>
        </w:p>
        <w:p w14:paraId="099170DC" w14:textId="77777777" w:rsidR="0076293B" w:rsidRDefault="00822D97">
          <w:pPr>
            <w:pStyle w:val="TOC2"/>
            <w:tabs>
              <w:tab w:val="left" w:pos="660"/>
              <w:tab w:val="right" w:leader="dot" w:pos="9016"/>
            </w:tabs>
            <w:rPr>
              <w:rFonts w:eastAsiaTheme="minorEastAsia"/>
              <w:noProof/>
              <w:lang w:eastAsia="en-GB"/>
            </w:rPr>
          </w:pPr>
          <w:hyperlink w:anchor="_Toc415441510" w:history="1">
            <w:r w:rsidR="0076293B" w:rsidRPr="005E427C">
              <w:rPr>
                <w:rStyle w:val="Hyperlink"/>
                <w:noProof/>
              </w:rPr>
              <w:t>2.</w:t>
            </w:r>
            <w:r w:rsidR="0076293B">
              <w:rPr>
                <w:rFonts w:eastAsiaTheme="minorEastAsia"/>
                <w:noProof/>
                <w:lang w:eastAsia="en-GB"/>
              </w:rPr>
              <w:tab/>
            </w:r>
            <w:r w:rsidR="0076293B" w:rsidRPr="005E427C">
              <w:rPr>
                <w:rStyle w:val="Hyperlink"/>
                <w:noProof/>
              </w:rPr>
              <w:t>Executive Summary</w:t>
            </w:r>
            <w:r w:rsidR="0076293B">
              <w:rPr>
                <w:noProof/>
                <w:webHidden/>
              </w:rPr>
              <w:tab/>
            </w:r>
            <w:r w:rsidR="0076293B">
              <w:rPr>
                <w:noProof/>
                <w:webHidden/>
              </w:rPr>
              <w:fldChar w:fldCharType="begin"/>
            </w:r>
            <w:r w:rsidR="0076293B">
              <w:rPr>
                <w:noProof/>
                <w:webHidden/>
              </w:rPr>
              <w:instrText xml:space="preserve"> PAGEREF _Toc415441510 \h </w:instrText>
            </w:r>
            <w:r w:rsidR="0076293B">
              <w:rPr>
                <w:noProof/>
                <w:webHidden/>
              </w:rPr>
            </w:r>
            <w:r w:rsidR="0076293B">
              <w:rPr>
                <w:noProof/>
                <w:webHidden/>
              </w:rPr>
              <w:fldChar w:fldCharType="separate"/>
            </w:r>
            <w:r w:rsidR="00726DE6">
              <w:rPr>
                <w:noProof/>
                <w:webHidden/>
              </w:rPr>
              <w:t>6</w:t>
            </w:r>
            <w:r w:rsidR="0076293B">
              <w:rPr>
                <w:noProof/>
                <w:webHidden/>
              </w:rPr>
              <w:fldChar w:fldCharType="end"/>
            </w:r>
          </w:hyperlink>
        </w:p>
        <w:p w14:paraId="2BA36477" w14:textId="77777777" w:rsidR="0076293B" w:rsidRDefault="00822D97">
          <w:pPr>
            <w:pStyle w:val="TOC3"/>
            <w:rPr>
              <w:rFonts w:cstheme="minorBidi"/>
              <w:noProof/>
              <w:lang w:val="en-GB" w:eastAsia="en-GB"/>
            </w:rPr>
          </w:pPr>
          <w:hyperlink w:anchor="_Toc415441511" w:history="1">
            <w:r w:rsidR="0076293B" w:rsidRPr="005E427C">
              <w:rPr>
                <w:rStyle w:val="Hyperlink"/>
                <w:noProof/>
              </w:rPr>
              <w:t>Trends in Global Foam Use and Impacts on Blowing Agent Consumption</w:t>
            </w:r>
            <w:r w:rsidR="0076293B">
              <w:rPr>
                <w:noProof/>
                <w:webHidden/>
              </w:rPr>
              <w:tab/>
            </w:r>
            <w:r w:rsidR="0076293B">
              <w:rPr>
                <w:noProof/>
                <w:webHidden/>
              </w:rPr>
              <w:fldChar w:fldCharType="begin"/>
            </w:r>
            <w:r w:rsidR="0076293B">
              <w:rPr>
                <w:noProof/>
                <w:webHidden/>
              </w:rPr>
              <w:instrText xml:space="preserve"> PAGEREF _Toc415441511 \h </w:instrText>
            </w:r>
            <w:r w:rsidR="0076293B">
              <w:rPr>
                <w:noProof/>
                <w:webHidden/>
              </w:rPr>
            </w:r>
            <w:r w:rsidR="0076293B">
              <w:rPr>
                <w:noProof/>
                <w:webHidden/>
              </w:rPr>
              <w:fldChar w:fldCharType="separate"/>
            </w:r>
            <w:r w:rsidR="00726DE6">
              <w:rPr>
                <w:noProof/>
                <w:webHidden/>
              </w:rPr>
              <w:t>6</w:t>
            </w:r>
            <w:r w:rsidR="0076293B">
              <w:rPr>
                <w:noProof/>
                <w:webHidden/>
              </w:rPr>
              <w:fldChar w:fldCharType="end"/>
            </w:r>
          </w:hyperlink>
        </w:p>
        <w:p w14:paraId="3651FA14" w14:textId="77777777" w:rsidR="0076293B" w:rsidRDefault="00822D97">
          <w:pPr>
            <w:pStyle w:val="TOC3"/>
            <w:rPr>
              <w:rFonts w:cstheme="minorBidi"/>
              <w:noProof/>
              <w:lang w:val="en-GB" w:eastAsia="en-GB"/>
            </w:rPr>
          </w:pPr>
          <w:hyperlink w:anchor="_Toc415441512" w:history="1">
            <w:r w:rsidR="0076293B" w:rsidRPr="005E427C">
              <w:rPr>
                <w:rStyle w:val="Hyperlink"/>
                <w:noProof/>
              </w:rPr>
              <w:t>Overview of Progress and Challenges related to Blowing Agent Transitions</w:t>
            </w:r>
            <w:r w:rsidR="0076293B">
              <w:rPr>
                <w:noProof/>
                <w:webHidden/>
              </w:rPr>
              <w:tab/>
            </w:r>
            <w:r w:rsidR="0076293B">
              <w:rPr>
                <w:noProof/>
                <w:webHidden/>
              </w:rPr>
              <w:fldChar w:fldCharType="begin"/>
            </w:r>
            <w:r w:rsidR="0076293B">
              <w:rPr>
                <w:noProof/>
                <w:webHidden/>
              </w:rPr>
              <w:instrText xml:space="preserve"> PAGEREF _Toc415441512 \h </w:instrText>
            </w:r>
            <w:r w:rsidR="0076293B">
              <w:rPr>
                <w:noProof/>
                <w:webHidden/>
              </w:rPr>
            </w:r>
            <w:r w:rsidR="0076293B">
              <w:rPr>
                <w:noProof/>
                <w:webHidden/>
              </w:rPr>
              <w:fldChar w:fldCharType="separate"/>
            </w:r>
            <w:r w:rsidR="00726DE6">
              <w:rPr>
                <w:noProof/>
                <w:webHidden/>
              </w:rPr>
              <w:t>7</w:t>
            </w:r>
            <w:r w:rsidR="0076293B">
              <w:rPr>
                <w:noProof/>
                <w:webHidden/>
              </w:rPr>
              <w:fldChar w:fldCharType="end"/>
            </w:r>
          </w:hyperlink>
        </w:p>
        <w:p w14:paraId="01F3AABC" w14:textId="77777777" w:rsidR="0076293B" w:rsidRDefault="00822D97">
          <w:pPr>
            <w:pStyle w:val="TOC3"/>
            <w:rPr>
              <w:rFonts w:cstheme="minorBidi"/>
              <w:noProof/>
              <w:lang w:val="en-GB" w:eastAsia="en-GB"/>
            </w:rPr>
          </w:pPr>
          <w:hyperlink w:anchor="_Toc415441513" w:history="1">
            <w:r w:rsidR="0076293B" w:rsidRPr="005E427C">
              <w:rPr>
                <w:rStyle w:val="Hyperlink"/>
                <w:noProof/>
              </w:rPr>
              <w:t>Update on Bank Estimates and Emerging Management Strategies</w:t>
            </w:r>
            <w:r w:rsidR="0076293B">
              <w:rPr>
                <w:noProof/>
                <w:webHidden/>
              </w:rPr>
              <w:tab/>
            </w:r>
            <w:r w:rsidR="0076293B">
              <w:rPr>
                <w:noProof/>
                <w:webHidden/>
              </w:rPr>
              <w:fldChar w:fldCharType="begin"/>
            </w:r>
            <w:r w:rsidR="0076293B">
              <w:rPr>
                <w:noProof/>
                <w:webHidden/>
              </w:rPr>
              <w:instrText xml:space="preserve"> PAGEREF _Toc415441513 \h </w:instrText>
            </w:r>
            <w:r w:rsidR="0076293B">
              <w:rPr>
                <w:noProof/>
                <w:webHidden/>
              </w:rPr>
            </w:r>
            <w:r w:rsidR="0076293B">
              <w:rPr>
                <w:noProof/>
                <w:webHidden/>
              </w:rPr>
              <w:fldChar w:fldCharType="separate"/>
            </w:r>
            <w:r w:rsidR="00726DE6">
              <w:rPr>
                <w:noProof/>
                <w:webHidden/>
              </w:rPr>
              <w:t>8</w:t>
            </w:r>
            <w:r w:rsidR="0076293B">
              <w:rPr>
                <w:noProof/>
                <w:webHidden/>
              </w:rPr>
              <w:fldChar w:fldCharType="end"/>
            </w:r>
          </w:hyperlink>
        </w:p>
        <w:p w14:paraId="7BE99D20" w14:textId="77777777" w:rsidR="0076293B" w:rsidRDefault="00822D97">
          <w:pPr>
            <w:pStyle w:val="TOC2"/>
            <w:tabs>
              <w:tab w:val="left" w:pos="660"/>
              <w:tab w:val="right" w:leader="dot" w:pos="9016"/>
            </w:tabs>
            <w:rPr>
              <w:rFonts w:eastAsiaTheme="minorEastAsia"/>
              <w:noProof/>
              <w:lang w:eastAsia="en-GB"/>
            </w:rPr>
          </w:pPr>
          <w:hyperlink w:anchor="_Toc415441514" w:history="1">
            <w:r w:rsidR="0076293B" w:rsidRPr="005E427C">
              <w:rPr>
                <w:rStyle w:val="Hyperlink"/>
                <w:noProof/>
              </w:rPr>
              <w:t>3.</w:t>
            </w:r>
            <w:r w:rsidR="0076293B">
              <w:rPr>
                <w:rFonts w:eastAsiaTheme="minorEastAsia"/>
                <w:noProof/>
                <w:lang w:eastAsia="en-GB"/>
              </w:rPr>
              <w:tab/>
            </w:r>
            <w:r w:rsidR="0076293B" w:rsidRPr="005E427C">
              <w:rPr>
                <w:rStyle w:val="Hyperlink"/>
                <w:noProof/>
              </w:rPr>
              <w:t>Trends in Global Foam Use and impacts on Blowing Agent Consumption</w:t>
            </w:r>
            <w:r w:rsidR="0076293B">
              <w:rPr>
                <w:noProof/>
                <w:webHidden/>
              </w:rPr>
              <w:tab/>
            </w:r>
            <w:r w:rsidR="0076293B">
              <w:rPr>
                <w:noProof/>
                <w:webHidden/>
              </w:rPr>
              <w:fldChar w:fldCharType="begin"/>
            </w:r>
            <w:r w:rsidR="0076293B">
              <w:rPr>
                <w:noProof/>
                <w:webHidden/>
              </w:rPr>
              <w:instrText xml:space="preserve"> PAGEREF _Toc415441514 \h </w:instrText>
            </w:r>
            <w:r w:rsidR="0076293B">
              <w:rPr>
                <w:noProof/>
                <w:webHidden/>
              </w:rPr>
            </w:r>
            <w:r w:rsidR="0076293B">
              <w:rPr>
                <w:noProof/>
                <w:webHidden/>
              </w:rPr>
              <w:fldChar w:fldCharType="separate"/>
            </w:r>
            <w:r w:rsidR="00726DE6">
              <w:rPr>
                <w:noProof/>
                <w:webHidden/>
              </w:rPr>
              <w:t>10</w:t>
            </w:r>
            <w:r w:rsidR="0076293B">
              <w:rPr>
                <w:noProof/>
                <w:webHidden/>
              </w:rPr>
              <w:fldChar w:fldCharType="end"/>
            </w:r>
          </w:hyperlink>
        </w:p>
        <w:p w14:paraId="4C3DC29F" w14:textId="77777777" w:rsidR="0076293B" w:rsidRDefault="00822D97">
          <w:pPr>
            <w:pStyle w:val="TOC3"/>
            <w:rPr>
              <w:rFonts w:cstheme="minorBidi"/>
              <w:noProof/>
              <w:lang w:val="en-GB" w:eastAsia="en-GB"/>
            </w:rPr>
          </w:pPr>
          <w:hyperlink w:anchor="_Toc415441515" w:history="1">
            <w:r w:rsidR="0076293B" w:rsidRPr="005E427C">
              <w:rPr>
                <w:rStyle w:val="Hyperlink"/>
                <w:noProof/>
              </w:rPr>
              <w:t>Growth in Global Foam Use</w:t>
            </w:r>
            <w:r w:rsidR="0076293B">
              <w:rPr>
                <w:noProof/>
                <w:webHidden/>
              </w:rPr>
              <w:tab/>
            </w:r>
            <w:r w:rsidR="0076293B">
              <w:rPr>
                <w:noProof/>
                <w:webHidden/>
              </w:rPr>
              <w:fldChar w:fldCharType="begin"/>
            </w:r>
            <w:r w:rsidR="0076293B">
              <w:rPr>
                <w:noProof/>
                <w:webHidden/>
              </w:rPr>
              <w:instrText xml:space="preserve"> PAGEREF _Toc415441515 \h </w:instrText>
            </w:r>
            <w:r w:rsidR="0076293B">
              <w:rPr>
                <w:noProof/>
                <w:webHidden/>
              </w:rPr>
            </w:r>
            <w:r w:rsidR="0076293B">
              <w:rPr>
                <w:noProof/>
                <w:webHidden/>
              </w:rPr>
              <w:fldChar w:fldCharType="separate"/>
            </w:r>
            <w:r w:rsidR="00726DE6">
              <w:rPr>
                <w:noProof/>
                <w:webHidden/>
              </w:rPr>
              <w:t>10</w:t>
            </w:r>
            <w:r w:rsidR="0076293B">
              <w:rPr>
                <w:noProof/>
                <w:webHidden/>
              </w:rPr>
              <w:fldChar w:fldCharType="end"/>
            </w:r>
          </w:hyperlink>
        </w:p>
        <w:p w14:paraId="78603130" w14:textId="77777777" w:rsidR="0076293B" w:rsidRDefault="00822D97">
          <w:pPr>
            <w:pStyle w:val="TOC3"/>
            <w:rPr>
              <w:rFonts w:cstheme="minorBidi"/>
              <w:noProof/>
              <w:lang w:val="en-GB" w:eastAsia="en-GB"/>
            </w:rPr>
          </w:pPr>
          <w:hyperlink w:anchor="_Toc415441516" w:history="1">
            <w:r w:rsidR="0076293B" w:rsidRPr="005E427C">
              <w:rPr>
                <w:rStyle w:val="Hyperlink"/>
                <w:noProof/>
              </w:rPr>
              <w:t>Impact on Blowing Agent Consumption</w:t>
            </w:r>
            <w:r w:rsidR="0076293B">
              <w:rPr>
                <w:noProof/>
                <w:webHidden/>
              </w:rPr>
              <w:tab/>
            </w:r>
            <w:r w:rsidR="0076293B">
              <w:rPr>
                <w:noProof/>
                <w:webHidden/>
              </w:rPr>
              <w:fldChar w:fldCharType="begin"/>
            </w:r>
            <w:r w:rsidR="0076293B">
              <w:rPr>
                <w:noProof/>
                <w:webHidden/>
              </w:rPr>
              <w:instrText xml:space="preserve"> PAGEREF _Toc415441516 \h </w:instrText>
            </w:r>
            <w:r w:rsidR="0076293B">
              <w:rPr>
                <w:noProof/>
                <w:webHidden/>
              </w:rPr>
            </w:r>
            <w:r w:rsidR="0076293B">
              <w:rPr>
                <w:noProof/>
                <w:webHidden/>
              </w:rPr>
              <w:fldChar w:fldCharType="separate"/>
            </w:r>
            <w:r w:rsidR="00726DE6">
              <w:rPr>
                <w:noProof/>
                <w:webHidden/>
              </w:rPr>
              <w:t>11</w:t>
            </w:r>
            <w:r w:rsidR="0076293B">
              <w:rPr>
                <w:noProof/>
                <w:webHidden/>
              </w:rPr>
              <w:fldChar w:fldCharType="end"/>
            </w:r>
          </w:hyperlink>
        </w:p>
        <w:p w14:paraId="1D4C0011" w14:textId="77777777" w:rsidR="0076293B" w:rsidRDefault="00822D97">
          <w:pPr>
            <w:pStyle w:val="TOC3"/>
            <w:rPr>
              <w:rFonts w:cstheme="minorBidi"/>
              <w:noProof/>
              <w:lang w:val="en-GB" w:eastAsia="en-GB"/>
            </w:rPr>
          </w:pPr>
          <w:hyperlink w:anchor="_Toc415441517" w:history="1">
            <w:r w:rsidR="0076293B" w:rsidRPr="005E427C">
              <w:rPr>
                <w:rStyle w:val="Hyperlink"/>
                <w:noProof/>
              </w:rPr>
              <w:t>Projection of Business-as-Usual Trends to 2020</w:t>
            </w:r>
            <w:r w:rsidR="0076293B">
              <w:rPr>
                <w:noProof/>
                <w:webHidden/>
              </w:rPr>
              <w:tab/>
            </w:r>
            <w:r w:rsidR="0076293B">
              <w:rPr>
                <w:noProof/>
                <w:webHidden/>
              </w:rPr>
              <w:fldChar w:fldCharType="begin"/>
            </w:r>
            <w:r w:rsidR="0076293B">
              <w:rPr>
                <w:noProof/>
                <w:webHidden/>
              </w:rPr>
              <w:instrText xml:space="preserve"> PAGEREF _Toc415441517 \h </w:instrText>
            </w:r>
            <w:r w:rsidR="0076293B">
              <w:rPr>
                <w:noProof/>
                <w:webHidden/>
              </w:rPr>
            </w:r>
            <w:r w:rsidR="0076293B">
              <w:rPr>
                <w:noProof/>
                <w:webHidden/>
              </w:rPr>
              <w:fldChar w:fldCharType="separate"/>
            </w:r>
            <w:r w:rsidR="00726DE6">
              <w:rPr>
                <w:noProof/>
                <w:webHidden/>
              </w:rPr>
              <w:t>11</w:t>
            </w:r>
            <w:r w:rsidR="0076293B">
              <w:rPr>
                <w:noProof/>
                <w:webHidden/>
              </w:rPr>
              <w:fldChar w:fldCharType="end"/>
            </w:r>
          </w:hyperlink>
        </w:p>
        <w:p w14:paraId="07AB48F2" w14:textId="77777777" w:rsidR="0076293B" w:rsidRDefault="00822D97">
          <w:pPr>
            <w:pStyle w:val="TOC2"/>
            <w:tabs>
              <w:tab w:val="left" w:pos="660"/>
              <w:tab w:val="right" w:leader="dot" w:pos="9016"/>
            </w:tabs>
            <w:rPr>
              <w:rFonts w:eastAsiaTheme="minorEastAsia"/>
              <w:noProof/>
              <w:lang w:eastAsia="en-GB"/>
            </w:rPr>
          </w:pPr>
          <w:hyperlink w:anchor="_Toc415441518" w:history="1">
            <w:r w:rsidR="0076293B" w:rsidRPr="005E427C">
              <w:rPr>
                <w:rStyle w:val="Hyperlink"/>
                <w:noProof/>
              </w:rPr>
              <w:t>4.</w:t>
            </w:r>
            <w:r w:rsidR="0076293B">
              <w:rPr>
                <w:rFonts w:eastAsiaTheme="minorEastAsia"/>
                <w:noProof/>
                <w:lang w:eastAsia="en-GB"/>
              </w:rPr>
              <w:tab/>
            </w:r>
            <w:r w:rsidR="0076293B" w:rsidRPr="005E427C">
              <w:rPr>
                <w:rStyle w:val="Hyperlink"/>
                <w:noProof/>
              </w:rPr>
              <w:t>Overview of Progress and Challenges Related to Blowing Agent Transitions</w:t>
            </w:r>
            <w:r w:rsidR="0076293B">
              <w:rPr>
                <w:noProof/>
                <w:webHidden/>
              </w:rPr>
              <w:tab/>
            </w:r>
            <w:r w:rsidR="0076293B">
              <w:rPr>
                <w:noProof/>
                <w:webHidden/>
              </w:rPr>
              <w:fldChar w:fldCharType="begin"/>
            </w:r>
            <w:r w:rsidR="0076293B">
              <w:rPr>
                <w:noProof/>
                <w:webHidden/>
              </w:rPr>
              <w:instrText xml:space="preserve"> PAGEREF _Toc415441518 \h </w:instrText>
            </w:r>
            <w:r w:rsidR="0076293B">
              <w:rPr>
                <w:noProof/>
                <w:webHidden/>
              </w:rPr>
            </w:r>
            <w:r w:rsidR="0076293B">
              <w:rPr>
                <w:noProof/>
                <w:webHidden/>
              </w:rPr>
              <w:fldChar w:fldCharType="separate"/>
            </w:r>
            <w:r w:rsidR="00726DE6">
              <w:rPr>
                <w:noProof/>
                <w:webHidden/>
              </w:rPr>
              <w:t>12</w:t>
            </w:r>
            <w:r w:rsidR="0076293B">
              <w:rPr>
                <w:noProof/>
                <w:webHidden/>
              </w:rPr>
              <w:fldChar w:fldCharType="end"/>
            </w:r>
          </w:hyperlink>
        </w:p>
        <w:p w14:paraId="511A2B4D" w14:textId="77777777" w:rsidR="0076293B" w:rsidRDefault="00822D97">
          <w:pPr>
            <w:pStyle w:val="TOC3"/>
            <w:rPr>
              <w:rFonts w:cstheme="minorBidi"/>
              <w:noProof/>
              <w:lang w:val="en-GB" w:eastAsia="en-GB"/>
            </w:rPr>
          </w:pPr>
          <w:hyperlink w:anchor="_Toc415441519" w:history="1">
            <w:r w:rsidR="0076293B" w:rsidRPr="005E427C">
              <w:rPr>
                <w:rStyle w:val="Hyperlink"/>
                <w:noProof/>
              </w:rPr>
              <w:t>Progress with HCFC Phase-out Management Plans (HPMPs) in the Foam Sector</w:t>
            </w:r>
            <w:r w:rsidR="0076293B">
              <w:rPr>
                <w:noProof/>
                <w:webHidden/>
              </w:rPr>
              <w:tab/>
            </w:r>
            <w:r w:rsidR="0076293B">
              <w:rPr>
                <w:noProof/>
                <w:webHidden/>
              </w:rPr>
              <w:fldChar w:fldCharType="begin"/>
            </w:r>
            <w:r w:rsidR="0076293B">
              <w:rPr>
                <w:noProof/>
                <w:webHidden/>
              </w:rPr>
              <w:instrText xml:space="preserve"> PAGEREF _Toc415441519 \h </w:instrText>
            </w:r>
            <w:r w:rsidR="0076293B">
              <w:rPr>
                <w:noProof/>
                <w:webHidden/>
              </w:rPr>
            </w:r>
            <w:r w:rsidR="0076293B">
              <w:rPr>
                <w:noProof/>
                <w:webHidden/>
              </w:rPr>
              <w:fldChar w:fldCharType="separate"/>
            </w:r>
            <w:r w:rsidR="00726DE6">
              <w:rPr>
                <w:noProof/>
                <w:webHidden/>
              </w:rPr>
              <w:t>12</w:t>
            </w:r>
            <w:r w:rsidR="0076293B">
              <w:rPr>
                <w:noProof/>
                <w:webHidden/>
              </w:rPr>
              <w:fldChar w:fldCharType="end"/>
            </w:r>
          </w:hyperlink>
        </w:p>
        <w:p w14:paraId="73FC1C6F" w14:textId="77777777" w:rsidR="0076293B" w:rsidRDefault="00822D97">
          <w:pPr>
            <w:pStyle w:val="TOC3"/>
            <w:rPr>
              <w:rFonts w:cstheme="minorBidi"/>
              <w:noProof/>
              <w:lang w:val="en-GB" w:eastAsia="en-GB"/>
            </w:rPr>
          </w:pPr>
          <w:hyperlink w:anchor="_Toc415441520" w:history="1">
            <w:r w:rsidR="0076293B" w:rsidRPr="005E427C">
              <w:rPr>
                <w:rStyle w:val="Hyperlink"/>
                <w:noProof/>
              </w:rPr>
              <w:t>Particular Challenges with PU Spray Foams and Extruded Polystyrene</w:t>
            </w:r>
            <w:r w:rsidR="0076293B">
              <w:rPr>
                <w:noProof/>
                <w:webHidden/>
              </w:rPr>
              <w:tab/>
            </w:r>
            <w:r w:rsidR="0076293B">
              <w:rPr>
                <w:noProof/>
                <w:webHidden/>
              </w:rPr>
              <w:fldChar w:fldCharType="begin"/>
            </w:r>
            <w:r w:rsidR="0076293B">
              <w:rPr>
                <w:noProof/>
                <w:webHidden/>
              </w:rPr>
              <w:instrText xml:space="preserve"> PAGEREF _Toc415441520 \h </w:instrText>
            </w:r>
            <w:r w:rsidR="0076293B">
              <w:rPr>
                <w:noProof/>
                <w:webHidden/>
              </w:rPr>
            </w:r>
            <w:r w:rsidR="0076293B">
              <w:rPr>
                <w:noProof/>
                <w:webHidden/>
              </w:rPr>
              <w:fldChar w:fldCharType="separate"/>
            </w:r>
            <w:r w:rsidR="00726DE6">
              <w:rPr>
                <w:noProof/>
                <w:webHidden/>
              </w:rPr>
              <w:t>12</w:t>
            </w:r>
            <w:r w:rsidR="0076293B">
              <w:rPr>
                <w:noProof/>
                <w:webHidden/>
              </w:rPr>
              <w:fldChar w:fldCharType="end"/>
            </w:r>
          </w:hyperlink>
        </w:p>
        <w:p w14:paraId="29DBCB02" w14:textId="77777777" w:rsidR="0076293B" w:rsidRDefault="00822D97">
          <w:pPr>
            <w:pStyle w:val="TOC3"/>
            <w:rPr>
              <w:rFonts w:cstheme="minorBidi"/>
              <w:noProof/>
              <w:lang w:val="en-GB" w:eastAsia="en-GB"/>
            </w:rPr>
          </w:pPr>
          <w:hyperlink w:anchor="_Toc415441521" w:history="1">
            <w:r w:rsidR="0076293B" w:rsidRPr="005E427C">
              <w:rPr>
                <w:rStyle w:val="Hyperlink"/>
                <w:noProof/>
              </w:rPr>
              <w:t>Enterprise Size and Economies of Scale</w:t>
            </w:r>
            <w:r w:rsidR="0076293B">
              <w:rPr>
                <w:noProof/>
                <w:webHidden/>
              </w:rPr>
              <w:tab/>
            </w:r>
            <w:r w:rsidR="0076293B">
              <w:rPr>
                <w:noProof/>
                <w:webHidden/>
              </w:rPr>
              <w:fldChar w:fldCharType="begin"/>
            </w:r>
            <w:r w:rsidR="0076293B">
              <w:rPr>
                <w:noProof/>
                <w:webHidden/>
              </w:rPr>
              <w:instrText xml:space="preserve"> PAGEREF _Toc415441521 \h </w:instrText>
            </w:r>
            <w:r w:rsidR="0076293B">
              <w:rPr>
                <w:noProof/>
                <w:webHidden/>
              </w:rPr>
            </w:r>
            <w:r w:rsidR="0076293B">
              <w:rPr>
                <w:noProof/>
                <w:webHidden/>
              </w:rPr>
              <w:fldChar w:fldCharType="separate"/>
            </w:r>
            <w:r w:rsidR="00726DE6">
              <w:rPr>
                <w:noProof/>
                <w:webHidden/>
              </w:rPr>
              <w:t>14</w:t>
            </w:r>
            <w:r w:rsidR="0076293B">
              <w:rPr>
                <w:noProof/>
                <w:webHidden/>
              </w:rPr>
              <w:fldChar w:fldCharType="end"/>
            </w:r>
          </w:hyperlink>
        </w:p>
        <w:p w14:paraId="7007C8CA" w14:textId="77777777" w:rsidR="0076293B" w:rsidRDefault="00822D97">
          <w:pPr>
            <w:pStyle w:val="TOC3"/>
            <w:rPr>
              <w:rFonts w:cstheme="minorBidi"/>
              <w:noProof/>
              <w:lang w:val="en-GB" w:eastAsia="en-GB"/>
            </w:rPr>
          </w:pPr>
          <w:hyperlink w:anchor="_Toc415441522" w:history="1">
            <w:r w:rsidR="0076293B" w:rsidRPr="005E427C">
              <w:rPr>
                <w:rStyle w:val="Hyperlink"/>
                <w:noProof/>
              </w:rPr>
              <w:t>Drivers for reducing Saturated HFC use in Non-Article 5 Parties</w:t>
            </w:r>
            <w:r w:rsidR="0076293B">
              <w:rPr>
                <w:noProof/>
                <w:webHidden/>
              </w:rPr>
              <w:tab/>
            </w:r>
            <w:r w:rsidR="0076293B">
              <w:rPr>
                <w:noProof/>
                <w:webHidden/>
              </w:rPr>
              <w:fldChar w:fldCharType="begin"/>
            </w:r>
            <w:r w:rsidR="0076293B">
              <w:rPr>
                <w:noProof/>
                <w:webHidden/>
              </w:rPr>
              <w:instrText xml:space="preserve"> PAGEREF _Toc415441522 \h </w:instrText>
            </w:r>
            <w:r w:rsidR="0076293B">
              <w:rPr>
                <w:noProof/>
                <w:webHidden/>
              </w:rPr>
            </w:r>
            <w:r w:rsidR="0076293B">
              <w:rPr>
                <w:noProof/>
                <w:webHidden/>
              </w:rPr>
              <w:fldChar w:fldCharType="separate"/>
            </w:r>
            <w:r w:rsidR="00726DE6">
              <w:rPr>
                <w:noProof/>
                <w:webHidden/>
              </w:rPr>
              <w:t>14</w:t>
            </w:r>
            <w:r w:rsidR="0076293B">
              <w:rPr>
                <w:noProof/>
                <w:webHidden/>
              </w:rPr>
              <w:fldChar w:fldCharType="end"/>
            </w:r>
          </w:hyperlink>
        </w:p>
        <w:p w14:paraId="75AEEF01" w14:textId="77777777" w:rsidR="0076293B" w:rsidRDefault="00822D97">
          <w:pPr>
            <w:pStyle w:val="TOC3"/>
            <w:rPr>
              <w:rFonts w:cstheme="minorBidi"/>
              <w:noProof/>
              <w:lang w:val="en-GB" w:eastAsia="en-GB"/>
            </w:rPr>
          </w:pPr>
          <w:hyperlink w:anchor="_Toc415441523" w:history="1">
            <w:r w:rsidR="0076293B" w:rsidRPr="005E427C">
              <w:rPr>
                <w:rStyle w:val="Hyperlink"/>
                <w:noProof/>
              </w:rPr>
              <w:t>Summary</w:t>
            </w:r>
            <w:r w:rsidR="0076293B">
              <w:rPr>
                <w:noProof/>
                <w:webHidden/>
              </w:rPr>
              <w:tab/>
            </w:r>
            <w:r w:rsidR="0076293B">
              <w:rPr>
                <w:noProof/>
                <w:webHidden/>
              </w:rPr>
              <w:fldChar w:fldCharType="begin"/>
            </w:r>
            <w:r w:rsidR="0076293B">
              <w:rPr>
                <w:noProof/>
                <w:webHidden/>
              </w:rPr>
              <w:instrText xml:space="preserve"> PAGEREF _Toc415441523 \h </w:instrText>
            </w:r>
            <w:r w:rsidR="0076293B">
              <w:rPr>
                <w:noProof/>
                <w:webHidden/>
              </w:rPr>
            </w:r>
            <w:r w:rsidR="0076293B">
              <w:rPr>
                <w:noProof/>
                <w:webHidden/>
              </w:rPr>
              <w:fldChar w:fldCharType="separate"/>
            </w:r>
            <w:r w:rsidR="00726DE6">
              <w:rPr>
                <w:noProof/>
                <w:webHidden/>
              </w:rPr>
              <w:t>14</w:t>
            </w:r>
            <w:r w:rsidR="0076293B">
              <w:rPr>
                <w:noProof/>
                <w:webHidden/>
              </w:rPr>
              <w:fldChar w:fldCharType="end"/>
            </w:r>
          </w:hyperlink>
        </w:p>
        <w:p w14:paraId="531402DB" w14:textId="77777777" w:rsidR="0076293B" w:rsidRDefault="00822D97">
          <w:pPr>
            <w:pStyle w:val="TOC2"/>
            <w:tabs>
              <w:tab w:val="left" w:pos="660"/>
              <w:tab w:val="right" w:leader="dot" w:pos="9016"/>
            </w:tabs>
            <w:rPr>
              <w:rFonts w:eastAsiaTheme="minorEastAsia"/>
              <w:noProof/>
              <w:lang w:eastAsia="en-GB"/>
            </w:rPr>
          </w:pPr>
          <w:hyperlink w:anchor="_Toc415441524" w:history="1">
            <w:r w:rsidR="0076293B" w:rsidRPr="005E427C">
              <w:rPr>
                <w:rStyle w:val="Hyperlink"/>
                <w:noProof/>
              </w:rPr>
              <w:t>5.</w:t>
            </w:r>
            <w:r w:rsidR="0076293B">
              <w:rPr>
                <w:rFonts w:eastAsiaTheme="minorEastAsia"/>
                <w:noProof/>
                <w:lang w:eastAsia="en-GB"/>
              </w:rPr>
              <w:tab/>
            </w:r>
            <w:r w:rsidR="0076293B" w:rsidRPr="005E427C">
              <w:rPr>
                <w:rStyle w:val="Hyperlink"/>
                <w:noProof/>
              </w:rPr>
              <w:t>Low-GWP Alternatives by type and their significance in the Foam Sector</w:t>
            </w:r>
            <w:r w:rsidR="0076293B">
              <w:rPr>
                <w:noProof/>
                <w:webHidden/>
              </w:rPr>
              <w:tab/>
            </w:r>
            <w:r w:rsidR="0076293B">
              <w:rPr>
                <w:noProof/>
                <w:webHidden/>
              </w:rPr>
              <w:fldChar w:fldCharType="begin"/>
            </w:r>
            <w:r w:rsidR="0076293B">
              <w:rPr>
                <w:noProof/>
                <w:webHidden/>
              </w:rPr>
              <w:instrText xml:space="preserve"> PAGEREF _Toc415441524 \h </w:instrText>
            </w:r>
            <w:r w:rsidR="0076293B">
              <w:rPr>
                <w:noProof/>
                <w:webHidden/>
              </w:rPr>
            </w:r>
            <w:r w:rsidR="0076293B">
              <w:rPr>
                <w:noProof/>
                <w:webHidden/>
              </w:rPr>
              <w:fldChar w:fldCharType="separate"/>
            </w:r>
            <w:r w:rsidR="00726DE6">
              <w:rPr>
                <w:noProof/>
                <w:webHidden/>
              </w:rPr>
              <w:t>15</w:t>
            </w:r>
            <w:r w:rsidR="0076293B">
              <w:rPr>
                <w:noProof/>
                <w:webHidden/>
              </w:rPr>
              <w:fldChar w:fldCharType="end"/>
            </w:r>
          </w:hyperlink>
        </w:p>
        <w:p w14:paraId="41BE7163" w14:textId="77777777" w:rsidR="0076293B" w:rsidRDefault="00822D97">
          <w:pPr>
            <w:pStyle w:val="TOC3"/>
            <w:rPr>
              <w:rFonts w:cstheme="minorBidi"/>
              <w:noProof/>
              <w:lang w:val="en-GB" w:eastAsia="en-GB"/>
            </w:rPr>
          </w:pPr>
          <w:hyperlink w:anchor="_Toc415441525" w:history="1">
            <w:r w:rsidR="0076293B" w:rsidRPr="005E427C">
              <w:rPr>
                <w:rStyle w:val="Hyperlink"/>
                <w:noProof/>
              </w:rPr>
              <w:t>Broadening acceptance of Hydrocarbons</w:t>
            </w:r>
            <w:r w:rsidR="0076293B">
              <w:rPr>
                <w:noProof/>
                <w:webHidden/>
              </w:rPr>
              <w:tab/>
            </w:r>
            <w:r w:rsidR="0076293B">
              <w:rPr>
                <w:noProof/>
                <w:webHidden/>
              </w:rPr>
              <w:fldChar w:fldCharType="begin"/>
            </w:r>
            <w:r w:rsidR="0076293B">
              <w:rPr>
                <w:noProof/>
                <w:webHidden/>
              </w:rPr>
              <w:instrText xml:space="preserve"> PAGEREF _Toc415441525 \h </w:instrText>
            </w:r>
            <w:r w:rsidR="0076293B">
              <w:rPr>
                <w:noProof/>
                <w:webHidden/>
              </w:rPr>
            </w:r>
            <w:r w:rsidR="0076293B">
              <w:rPr>
                <w:noProof/>
                <w:webHidden/>
              </w:rPr>
              <w:fldChar w:fldCharType="separate"/>
            </w:r>
            <w:r w:rsidR="00726DE6">
              <w:rPr>
                <w:noProof/>
                <w:webHidden/>
              </w:rPr>
              <w:t>15</w:t>
            </w:r>
            <w:r w:rsidR="0076293B">
              <w:rPr>
                <w:noProof/>
                <w:webHidden/>
              </w:rPr>
              <w:fldChar w:fldCharType="end"/>
            </w:r>
          </w:hyperlink>
        </w:p>
        <w:p w14:paraId="4210B709" w14:textId="77777777" w:rsidR="0076293B" w:rsidRDefault="00822D97">
          <w:pPr>
            <w:pStyle w:val="TOC3"/>
            <w:rPr>
              <w:rFonts w:cstheme="minorBidi"/>
              <w:noProof/>
              <w:lang w:val="en-GB" w:eastAsia="en-GB"/>
            </w:rPr>
          </w:pPr>
          <w:hyperlink w:anchor="_Toc415441526" w:history="1">
            <w:r w:rsidR="0076293B" w:rsidRPr="005E427C">
              <w:rPr>
                <w:rStyle w:val="Hyperlink"/>
                <w:noProof/>
              </w:rPr>
              <w:t>Carbon Dioxide as a blowing agent</w:t>
            </w:r>
            <w:r w:rsidR="0076293B">
              <w:rPr>
                <w:noProof/>
                <w:webHidden/>
              </w:rPr>
              <w:tab/>
            </w:r>
            <w:r w:rsidR="0076293B">
              <w:rPr>
                <w:noProof/>
                <w:webHidden/>
              </w:rPr>
              <w:fldChar w:fldCharType="begin"/>
            </w:r>
            <w:r w:rsidR="0076293B">
              <w:rPr>
                <w:noProof/>
                <w:webHidden/>
              </w:rPr>
              <w:instrText xml:space="preserve"> PAGEREF _Toc415441526 \h </w:instrText>
            </w:r>
            <w:r w:rsidR="0076293B">
              <w:rPr>
                <w:noProof/>
                <w:webHidden/>
              </w:rPr>
            </w:r>
            <w:r w:rsidR="0076293B">
              <w:rPr>
                <w:noProof/>
                <w:webHidden/>
              </w:rPr>
              <w:fldChar w:fldCharType="separate"/>
            </w:r>
            <w:r w:rsidR="00726DE6">
              <w:rPr>
                <w:noProof/>
                <w:webHidden/>
              </w:rPr>
              <w:t>16</w:t>
            </w:r>
            <w:r w:rsidR="0076293B">
              <w:rPr>
                <w:noProof/>
                <w:webHidden/>
              </w:rPr>
              <w:fldChar w:fldCharType="end"/>
            </w:r>
          </w:hyperlink>
        </w:p>
        <w:p w14:paraId="164AA678" w14:textId="77777777" w:rsidR="0076293B" w:rsidRDefault="00822D97">
          <w:pPr>
            <w:pStyle w:val="TOC3"/>
            <w:rPr>
              <w:rFonts w:cstheme="minorBidi"/>
              <w:noProof/>
              <w:lang w:val="en-GB" w:eastAsia="en-GB"/>
            </w:rPr>
          </w:pPr>
          <w:hyperlink w:anchor="_Toc415441527" w:history="1">
            <w:r w:rsidR="0076293B" w:rsidRPr="005E427C">
              <w:rPr>
                <w:rStyle w:val="Hyperlink"/>
                <w:noProof/>
              </w:rPr>
              <w:t>Latest Status of Unsaturated HFC/HCFC Developments</w:t>
            </w:r>
            <w:r w:rsidR="0076293B">
              <w:rPr>
                <w:noProof/>
                <w:webHidden/>
              </w:rPr>
              <w:tab/>
            </w:r>
            <w:r w:rsidR="0076293B">
              <w:rPr>
                <w:noProof/>
                <w:webHidden/>
              </w:rPr>
              <w:fldChar w:fldCharType="begin"/>
            </w:r>
            <w:r w:rsidR="0076293B">
              <w:rPr>
                <w:noProof/>
                <w:webHidden/>
              </w:rPr>
              <w:instrText xml:space="preserve"> PAGEREF _Toc415441527 \h </w:instrText>
            </w:r>
            <w:r w:rsidR="0076293B">
              <w:rPr>
                <w:noProof/>
                <w:webHidden/>
              </w:rPr>
            </w:r>
            <w:r w:rsidR="0076293B">
              <w:rPr>
                <w:noProof/>
                <w:webHidden/>
              </w:rPr>
              <w:fldChar w:fldCharType="separate"/>
            </w:r>
            <w:r w:rsidR="00726DE6">
              <w:rPr>
                <w:noProof/>
                <w:webHidden/>
              </w:rPr>
              <w:t>16</w:t>
            </w:r>
            <w:r w:rsidR="0076293B">
              <w:rPr>
                <w:noProof/>
                <w:webHidden/>
              </w:rPr>
              <w:fldChar w:fldCharType="end"/>
            </w:r>
          </w:hyperlink>
        </w:p>
        <w:p w14:paraId="48E10709" w14:textId="77777777" w:rsidR="0076293B" w:rsidRDefault="00822D97">
          <w:pPr>
            <w:pStyle w:val="TOC3"/>
            <w:rPr>
              <w:rFonts w:cstheme="minorBidi"/>
              <w:noProof/>
              <w:lang w:val="en-GB" w:eastAsia="en-GB"/>
            </w:rPr>
          </w:pPr>
          <w:hyperlink w:anchor="_Toc415441528" w:history="1">
            <w:r w:rsidR="0076293B" w:rsidRPr="005E427C">
              <w:rPr>
                <w:rStyle w:val="Hyperlink"/>
                <w:noProof/>
              </w:rPr>
              <w:t>Progress with other Low GWP Alternative Blowing Agents</w:t>
            </w:r>
            <w:r w:rsidR="0076293B">
              <w:rPr>
                <w:noProof/>
                <w:webHidden/>
              </w:rPr>
              <w:tab/>
            </w:r>
            <w:r w:rsidR="0076293B">
              <w:rPr>
                <w:noProof/>
                <w:webHidden/>
              </w:rPr>
              <w:fldChar w:fldCharType="begin"/>
            </w:r>
            <w:r w:rsidR="0076293B">
              <w:rPr>
                <w:noProof/>
                <w:webHidden/>
              </w:rPr>
              <w:instrText xml:space="preserve"> PAGEREF _Toc415441528 \h </w:instrText>
            </w:r>
            <w:r w:rsidR="0076293B">
              <w:rPr>
                <w:noProof/>
                <w:webHidden/>
              </w:rPr>
            </w:r>
            <w:r w:rsidR="0076293B">
              <w:rPr>
                <w:noProof/>
                <w:webHidden/>
              </w:rPr>
              <w:fldChar w:fldCharType="separate"/>
            </w:r>
            <w:r w:rsidR="00726DE6">
              <w:rPr>
                <w:noProof/>
                <w:webHidden/>
              </w:rPr>
              <w:t>17</w:t>
            </w:r>
            <w:r w:rsidR="0076293B">
              <w:rPr>
                <w:noProof/>
                <w:webHidden/>
              </w:rPr>
              <w:fldChar w:fldCharType="end"/>
            </w:r>
          </w:hyperlink>
        </w:p>
        <w:p w14:paraId="7BD7BC02" w14:textId="77777777" w:rsidR="0076293B" w:rsidRDefault="00822D97">
          <w:pPr>
            <w:pStyle w:val="TOC2"/>
            <w:tabs>
              <w:tab w:val="left" w:pos="660"/>
              <w:tab w:val="right" w:leader="dot" w:pos="9016"/>
            </w:tabs>
            <w:rPr>
              <w:rFonts w:eastAsiaTheme="minorEastAsia"/>
              <w:noProof/>
              <w:lang w:eastAsia="en-GB"/>
            </w:rPr>
          </w:pPr>
          <w:hyperlink w:anchor="_Toc415441529" w:history="1">
            <w:r w:rsidR="0076293B" w:rsidRPr="005E427C">
              <w:rPr>
                <w:rStyle w:val="Hyperlink"/>
                <w:noProof/>
              </w:rPr>
              <w:t>6.</w:t>
            </w:r>
            <w:r w:rsidR="0076293B">
              <w:rPr>
                <w:rFonts w:eastAsiaTheme="minorEastAsia"/>
                <w:noProof/>
                <w:lang w:eastAsia="en-GB"/>
              </w:rPr>
              <w:tab/>
            </w:r>
            <w:r w:rsidR="0076293B" w:rsidRPr="005E427C">
              <w:rPr>
                <w:rStyle w:val="Hyperlink"/>
                <w:noProof/>
              </w:rPr>
              <w:t>Review of blowing agent selection by foam sub-sector and region</w:t>
            </w:r>
            <w:r w:rsidR="0076293B">
              <w:rPr>
                <w:noProof/>
                <w:webHidden/>
              </w:rPr>
              <w:tab/>
            </w:r>
            <w:r w:rsidR="0076293B">
              <w:rPr>
                <w:noProof/>
                <w:webHidden/>
              </w:rPr>
              <w:fldChar w:fldCharType="begin"/>
            </w:r>
            <w:r w:rsidR="0076293B">
              <w:rPr>
                <w:noProof/>
                <w:webHidden/>
              </w:rPr>
              <w:instrText xml:space="preserve"> PAGEREF _Toc415441529 \h </w:instrText>
            </w:r>
            <w:r w:rsidR="0076293B">
              <w:rPr>
                <w:noProof/>
                <w:webHidden/>
              </w:rPr>
            </w:r>
            <w:r w:rsidR="0076293B">
              <w:rPr>
                <w:noProof/>
                <w:webHidden/>
              </w:rPr>
              <w:fldChar w:fldCharType="separate"/>
            </w:r>
            <w:r w:rsidR="00726DE6">
              <w:rPr>
                <w:noProof/>
                <w:webHidden/>
              </w:rPr>
              <w:t>18</w:t>
            </w:r>
            <w:r w:rsidR="0076293B">
              <w:rPr>
                <w:noProof/>
                <w:webHidden/>
              </w:rPr>
              <w:fldChar w:fldCharType="end"/>
            </w:r>
          </w:hyperlink>
        </w:p>
        <w:p w14:paraId="1E548D78" w14:textId="77777777" w:rsidR="0076293B" w:rsidRDefault="00822D97">
          <w:pPr>
            <w:pStyle w:val="TOC3"/>
            <w:rPr>
              <w:rFonts w:cstheme="minorBidi"/>
              <w:noProof/>
              <w:lang w:val="en-GB" w:eastAsia="en-GB"/>
            </w:rPr>
          </w:pPr>
          <w:hyperlink w:anchor="_Toc415441530" w:history="1">
            <w:r w:rsidR="0076293B" w:rsidRPr="005E427C">
              <w:rPr>
                <w:rStyle w:val="Hyperlink"/>
                <w:noProof/>
              </w:rPr>
              <w:t>Polyurethane Foams in the Refrigeration Sector</w:t>
            </w:r>
            <w:r w:rsidR="0076293B">
              <w:rPr>
                <w:noProof/>
                <w:webHidden/>
              </w:rPr>
              <w:tab/>
            </w:r>
            <w:r w:rsidR="0076293B">
              <w:rPr>
                <w:noProof/>
                <w:webHidden/>
              </w:rPr>
              <w:fldChar w:fldCharType="begin"/>
            </w:r>
            <w:r w:rsidR="0076293B">
              <w:rPr>
                <w:noProof/>
                <w:webHidden/>
              </w:rPr>
              <w:instrText xml:space="preserve"> PAGEREF _Toc415441530 \h </w:instrText>
            </w:r>
            <w:r w:rsidR="0076293B">
              <w:rPr>
                <w:noProof/>
                <w:webHidden/>
              </w:rPr>
            </w:r>
            <w:r w:rsidR="0076293B">
              <w:rPr>
                <w:noProof/>
                <w:webHidden/>
              </w:rPr>
              <w:fldChar w:fldCharType="separate"/>
            </w:r>
            <w:r w:rsidR="00726DE6">
              <w:rPr>
                <w:noProof/>
                <w:webHidden/>
              </w:rPr>
              <w:t>18</w:t>
            </w:r>
            <w:r w:rsidR="0076293B">
              <w:rPr>
                <w:noProof/>
                <w:webHidden/>
              </w:rPr>
              <w:fldChar w:fldCharType="end"/>
            </w:r>
          </w:hyperlink>
        </w:p>
        <w:p w14:paraId="2CC3E812" w14:textId="77777777" w:rsidR="0076293B" w:rsidRDefault="00822D97">
          <w:pPr>
            <w:pStyle w:val="TOC3"/>
            <w:rPr>
              <w:rFonts w:cstheme="minorBidi"/>
              <w:noProof/>
              <w:lang w:val="en-GB" w:eastAsia="en-GB"/>
            </w:rPr>
          </w:pPr>
          <w:hyperlink w:anchor="_Toc415441531" w:history="1">
            <w:r w:rsidR="0076293B" w:rsidRPr="005E427C">
              <w:rPr>
                <w:rStyle w:val="Hyperlink"/>
                <w:noProof/>
              </w:rPr>
              <w:t>Polyurethane Boardstock</w:t>
            </w:r>
            <w:r w:rsidR="0076293B">
              <w:rPr>
                <w:noProof/>
                <w:webHidden/>
              </w:rPr>
              <w:tab/>
            </w:r>
            <w:r w:rsidR="0076293B">
              <w:rPr>
                <w:noProof/>
                <w:webHidden/>
              </w:rPr>
              <w:fldChar w:fldCharType="begin"/>
            </w:r>
            <w:r w:rsidR="0076293B">
              <w:rPr>
                <w:noProof/>
                <w:webHidden/>
              </w:rPr>
              <w:instrText xml:space="preserve"> PAGEREF _Toc415441531 \h </w:instrText>
            </w:r>
            <w:r w:rsidR="0076293B">
              <w:rPr>
                <w:noProof/>
                <w:webHidden/>
              </w:rPr>
            </w:r>
            <w:r w:rsidR="0076293B">
              <w:rPr>
                <w:noProof/>
                <w:webHidden/>
              </w:rPr>
              <w:fldChar w:fldCharType="separate"/>
            </w:r>
            <w:r w:rsidR="00726DE6">
              <w:rPr>
                <w:noProof/>
                <w:webHidden/>
              </w:rPr>
              <w:t>21</w:t>
            </w:r>
            <w:r w:rsidR="0076293B">
              <w:rPr>
                <w:noProof/>
                <w:webHidden/>
              </w:rPr>
              <w:fldChar w:fldCharType="end"/>
            </w:r>
          </w:hyperlink>
        </w:p>
        <w:p w14:paraId="72AACC35" w14:textId="77777777" w:rsidR="0076293B" w:rsidRDefault="00822D97">
          <w:pPr>
            <w:pStyle w:val="TOC3"/>
            <w:rPr>
              <w:rFonts w:cstheme="minorBidi"/>
              <w:noProof/>
              <w:lang w:val="en-GB" w:eastAsia="en-GB"/>
            </w:rPr>
          </w:pPr>
          <w:hyperlink w:anchor="_Toc415441532" w:history="1">
            <w:r w:rsidR="0076293B" w:rsidRPr="005E427C">
              <w:rPr>
                <w:rStyle w:val="Hyperlink"/>
                <w:noProof/>
              </w:rPr>
              <w:t>Polyurethane Panels</w:t>
            </w:r>
            <w:r w:rsidR="0076293B">
              <w:rPr>
                <w:noProof/>
                <w:webHidden/>
              </w:rPr>
              <w:tab/>
            </w:r>
            <w:r w:rsidR="0076293B">
              <w:rPr>
                <w:noProof/>
                <w:webHidden/>
              </w:rPr>
              <w:fldChar w:fldCharType="begin"/>
            </w:r>
            <w:r w:rsidR="0076293B">
              <w:rPr>
                <w:noProof/>
                <w:webHidden/>
              </w:rPr>
              <w:instrText xml:space="preserve"> PAGEREF _Toc415441532 \h </w:instrText>
            </w:r>
            <w:r w:rsidR="0076293B">
              <w:rPr>
                <w:noProof/>
                <w:webHidden/>
              </w:rPr>
            </w:r>
            <w:r w:rsidR="0076293B">
              <w:rPr>
                <w:noProof/>
                <w:webHidden/>
              </w:rPr>
              <w:fldChar w:fldCharType="separate"/>
            </w:r>
            <w:r w:rsidR="00726DE6">
              <w:rPr>
                <w:noProof/>
                <w:webHidden/>
              </w:rPr>
              <w:t>24</w:t>
            </w:r>
            <w:r w:rsidR="0076293B">
              <w:rPr>
                <w:noProof/>
                <w:webHidden/>
              </w:rPr>
              <w:fldChar w:fldCharType="end"/>
            </w:r>
          </w:hyperlink>
        </w:p>
        <w:p w14:paraId="1D690D02" w14:textId="77777777" w:rsidR="0076293B" w:rsidRDefault="00822D97">
          <w:pPr>
            <w:pStyle w:val="TOC3"/>
            <w:rPr>
              <w:rFonts w:cstheme="minorBidi"/>
              <w:noProof/>
              <w:lang w:val="en-GB" w:eastAsia="en-GB"/>
            </w:rPr>
          </w:pPr>
          <w:hyperlink w:anchor="_Toc415441533" w:history="1">
            <w:r w:rsidR="0076293B" w:rsidRPr="005E427C">
              <w:rPr>
                <w:rStyle w:val="Hyperlink"/>
                <w:noProof/>
              </w:rPr>
              <w:t>Polyurethane Spray</w:t>
            </w:r>
            <w:r w:rsidR="0076293B">
              <w:rPr>
                <w:noProof/>
                <w:webHidden/>
              </w:rPr>
              <w:tab/>
            </w:r>
            <w:r w:rsidR="0076293B">
              <w:rPr>
                <w:noProof/>
                <w:webHidden/>
              </w:rPr>
              <w:fldChar w:fldCharType="begin"/>
            </w:r>
            <w:r w:rsidR="0076293B">
              <w:rPr>
                <w:noProof/>
                <w:webHidden/>
              </w:rPr>
              <w:instrText xml:space="preserve"> PAGEREF _Toc415441533 \h </w:instrText>
            </w:r>
            <w:r w:rsidR="0076293B">
              <w:rPr>
                <w:noProof/>
                <w:webHidden/>
              </w:rPr>
            </w:r>
            <w:r w:rsidR="0076293B">
              <w:rPr>
                <w:noProof/>
                <w:webHidden/>
              </w:rPr>
              <w:fldChar w:fldCharType="separate"/>
            </w:r>
            <w:r w:rsidR="00726DE6">
              <w:rPr>
                <w:noProof/>
                <w:webHidden/>
              </w:rPr>
              <w:t>26</w:t>
            </w:r>
            <w:r w:rsidR="0076293B">
              <w:rPr>
                <w:noProof/>
                <w:webHidden/>
              </w:rPr>
              <w:fldChar w:fldCharType="end"/>
            </w:r>
          </w:hyperlink>
        </w:p>
        <w:p w14:paraId="6224D406" w14:textId="77777777" w:rsidR="0076293B" w:rsidRDefault="00822D97">
          <w:pPr>
            <w:pStyle w:val="TOC3"/>
            <w:rPr>
              <w:rFonts w:cstheme="minorBidi"/>
              <w:noProof/>
              <w:lang w:val="en-GB" w:eastAsia="en-GB"/>
            </w:rPr>
          </w:pPr>
          <w:hyperlink w:anchor="_Toc415441534" w:history="1">
            <w:r w:rsidR="0076293B" w:rsidRPr="005E427C">
              <w:rPr>
                <w:rStyle w:val="Hyperlink"/>
                <w:noProof/>
              </w:rPr>
              <w:t>Polyurethane In-situ/Block</w:t>
            </w:r>
            <w:r w:rsidR="0076293B">
              <w:rPr>
                <w:noProof/>
                <w:webHidden/>
              </w:rPr>
              <w:tab/>
            </w:r>
            <w:r w:rsidR="0076293B">
              <w:rPr>
                <w:noProof/>
                <w:webHidden/>
              </w:rPr>
              <w:fldChar w:fldCharType="begin"/>
            </w:r>
            <w:r w:rsidR="0076293B">
              <w:rPr>
                <w:noProof/>
                <w:webHidden/>
              </w:rPr>
              <w:instrText xml:space="preserve"> PAGEREF _Toc415441534 \h </w:instrText>
            </w:r>
            <w:r w:rsidR="0076293B">
              <w:rPr>
                <w:noProof/>
                <w:webHidden/>
              </w:rPr>
            </w:r>
            <w:r w:rsidR="0076293B">
              <w:rPr>
                <w:noProof/>
                <w:webHidden/>
              </w:rPr>
              <w:fldChar w:fldCharType="separate"/>
            </w:r>
            <w:r w:rsidR="00726DE6">
              <w:rPr>
                <w:noProof/>
                <w:webHidden/>
              </w:rPr>
              <w:t>29</w:t>
            </w:r>
            <w:r w:rsidR="0076293B">
              <w:rPr>
                <w:noProof/>
                <w:webHidden/>
              </w:rPr>
              <w:fldChar w:fldCharType="end"/>
            </w:r>
          </w:hyperlink>
        </w:p>
        <w:p w14:paraId="39E6E344" w14:textId="77777777" w:rsidR="0076293B" w:rsidRDefault="00822D97">
          <w:pPr>
            <w:pStyle w:val="TOC3"/>
            <w:rPr>
              <w:rFonts w:cstheme="minorBidi"/>
              <w:noProof/>
              <w:lang w:val="en-GB" w:eastAsia="en-GB"/>
            </w:rPr>
          </w:pPr>
          <w:hyperlink w:anchor="_Toc415441535" w:history="1">
            <w:r w:rsidR="0076293B" w:rsidRPr="005E427C">
              <w:rPr>
                <w:rStyle w:val="Hyperlink"/>
                <w:noProof/>
              </w:rPr>
              <w:t>Polyurethane Integral Skin</w:t>
            </w:r>
            <w:r w:rsidR="0076293B">
              <w:rPr>
                <w:noProof/>
                <w:webHidden/>
              </w:rPr>
              <w:tab/>
            </w:r>
            <w:r w:rsidR="0076293B">
              <w:rPr>
                <w:noProof/>
                <w:webHidden/>
              </w:rPr>
              <w:fldChar w:fldCharType="begin"/>
            </w:r>
            <w:r w:rsidR="0076293B">
              <w:rPr>
                <w:noProof/>
                <w:webHidden/>
              </w:rPr>
              <w:instrText xml:space="preserve"> PAGEREF _Toc415441535 \h </w:instrText>
            </w:r>
            <w:r w:rsidR="0076293B">
              <w:rPr>
                <w:noProof/>
                <w:webHidden/>
              </w:rPr>
            </w:r>
            <w:r w:rsidR="0076293B">
              <w:rPr>
                <w:noProof/>
                <w:webHidden/>
              </w:rPr>
              <w:fldChar w:fldCharType="separate"/>
            </w:r>
            <w:r w:rsidR="00726DE6">
              <w:rPr>
                <w:noProof/>
                <w:webHidden/>
              </w:rPr>
              <w:t>31</w:t>
            </w:r>
            <w:r w:rsidR="0076293B">
              <w:rPr>
                <w:noProof/>
                <w:webHidden/>
              </w:rPr>
              <w:fldChar w:fldCharType="end"/>
            </w:r>
          </w:hyperlink>
        </w:p>
        <w:p w14:paraId="69A96F8F" w14:textId="77777777" w:rsidR="0076293B" w:rsidRDefault="00822D97">
          <w:pPr>
            <w:pStyle w:val="TOC3"/>
            <w:rPr>
              <w:rFonts w:cstheme="minorBidi"/>
              <w:noProof/>
              <w:lang w:val="en-GB" w:eastAsia="en-GB"/>
            </w:rPr>
          </w:pPr>
          <w:hyperlink w:anchor="_Toc415441536" w:history="1">
            <w:r w:rsidR="0076293B" w:rsidRPr="005E427C">
              <w:rPr>
                <w:rStyle w:val="Hyperlink"/>
                <w:noProof/>
              </w:rPr>
              <w:t>Extruded Polystyrene Foam</w:t>
            </w:r>
            <w:r w:rsidR="0076293B">
              <w:rPr>
                <w:noProof/>
                <w:webHidden/>
              </w:rPr>
              <w:tab/>
            </w:r>
            <w:r w:rsidR="0076293B">
              <w:rPr>
                <w:noProof/>
                <w:webHidden/>
              </w:rPr>
              <w:fldChar w:fldCharType="begin"/>
            </w:r>
            <w:r w:rsidR="0076293B">
              <w:rPr>
                <w:noProof/>
                <w:webHidden/>
              </w:rPr>
              <w:instrText xml:space="preserve"> PAGEREF _Toc415441536 \h </w:instrText>
            </w:r>
            <w:r w:rsidR="0076293B">
              <w:rPr>
                <w:noProof/>
                <w:webHidden/>
              </w:rPr>
            </w:r>
            <w:r w:rsidR="0076293B">
              <w:rPr>
                <w:noProof/>
                <w:webHidden/>
              </w:rPr>
              <w:fldChar w:fldCharType="separate"/>
            </w:r>
            <w:r w:rsidR="00726DE6">
              <w:rPr>
                <w:noProof/>
                <w:webHidden/>
              </w:rPr>
              <w:t>34</w:t>
            </w:r>
            <w:r w:rsidR="0076293B">
              <w:rPr>
                <w:noProof/>
                <w:webHidden/>
              </w:rPr>
              <w:fldChar w:fldCharType="end"/>
            </w:r>
          </w:hyperlink>
        </w:p>
        <w:p w14:paraId="2429A235" w14:textId="77777777" w:rsidR="0076293B" w:rsidRDefault="00822D97">
          <w:pPr>
            <w:pStyle w:val="TOC3"/>
            <w:rPr>
              <w:rFonts w:cstheme="minorBidi"/>
              <w:noProof/>
              <w:lang w:val="en-GB" w:eastAsia="en-GB"/>
            </w:rPr>
          </w:pPr>
          <w:hyperlink w:anchor="_Toc415441537" w:history="1">
            <w:r w:rsidR="0076293B" w:rsidRPr="005E427C">
              <w:rPr>
                <w:rStyle w:val="Hyperlink"/>
                <w:noProof/>
              </w:rPr>
              <w:t>Phenolic Foam</w:t>
            </w:r>
            <w:r w:rsidR="0076293B">
              <w:rPr>
                <w:noProof/>
                <w:webHidden/>
              </w:rPr>
              <w:tab/>
            </w:r>
            <w:r w:rsidR="0076293B">
              <w:rPr>
                <w:noProof/>
                <w:webHidden/>
              </w:rPr>
              <w:fldChar w:fldCharType="begin"/>
            </w:r>
            <w:r w:rsidR="0076293B">
              <w:rPr>
                <w:noProof/>
                <w:webHidden/>
              </w:rPr>
              <w:instrText xml:space="preserve"> PAGEREF _Toc415441537 \h </w:instrText>
            </w:r>
            <w:r w:rsidR="0076293B">
              <w:rPr>
                <w:noProof/>
                <w:webHidden/>
              </w:rPr>
            </w:r>
            <w:r w:rsidR="0076293B">
              <w:rPr>
                <w:noProof/>
                <w:webHidden/>
              </w:rPr>
              <w:fldChar w:fldCharType="separate"/>
            </w:r>
            <w:r w:rsidR="00726DE6">
              <w:rPr>
                <w:noProof/>
                <w:webHidden/>
              </w:rPr>
              <w:t>36</w:t>
            </w:r>
            <w:r w:rsidR="0076293B">
              <w:rPr>
                <w:noProof/>
                <w:webHidden/>
              </w:rPr>
              <w:fldChar w:fldCharType="end"/>
            </w:r>
          </w:hyperlink>
        </w:p>
        <w:p w14:paraId="6C409C40" w14:textId="77777777" w:rsidR="0076293B" w:rsidRDefault="00822D97">
          <w:pPr>
            <w:pStyle w:val="TOC2"/>
            <w:tabs>
              <w:tab w:val="left" w:pos="660"/>
              <w:tab w:val="right" w:leader="dot" w:pos="9016"/>
            </w:tabs>
            <w:rPr>
              <w:rFonts w:eastAsiaTheme="minorEastAsia"/>
              <w:noProof/>
              <w:lang w:eastAsia="en-GB"/>
            </w:rPr>
          </w:pPr>
          <w:hyperlink w:anchor="_Toc415441538" w:history="1">
            <w:r w:rsidR="0076293B" w:rsidRPr="005E427C">
              <w:rPr>
                <w:rStyle w:val="Hyperlink"/>
                <w:noProof/>
              </w:rPr>
              <w:t>7.</w:t>
            </w:r>
            <w:r w:rsidR="0076293B">
              <w:rPr>
                <w:rFonts w:eastAsiaTheme="minorEastAsia"/>
                <w:noProof/>
                <w:lang w:eastAsia="en-GB"/>
              </w:rPr>
              <w:tab/>
            </w:r>
            <w:r w:rsidR="0076293B" w:rsidRPr="005E427C">
              <w:rPr>
                <w:rStyle w:val="Hyperlink"/>
                <w:noProof/>
              </w:rPr>
              <w:t>Update on Bank Estimates and Emerging Management Strategies</w:t>
            </w:r>
            <w:r w:rsidR="0076293B">
              <w:rPr>
                <w:noProof/>
                <w:webHidden/>
              </w:rPr>
              <w:tab/>
            </w:r>
            <w:r w:rsidR="0076293B">
              <w:rPr>
                <w:noProof/>
                <w:webHidden/>
              </w:rPr>
              <w:fldChar w:fldCharType="begin"/>
            </w:r>
            <w:r w:rsidR="0076293B">
              <w:rPr>
                <w:noProof/>
                <w:webHidden/>
              </w:rPr>
              <w:instrText xml:space="preserve"> PAGEREF _Toc415441538 \h </w:instrText>
            </w:r>
            <w:r w:rsidR="0076293B">
              <w:rPr>
                <w:noProof/>
                <w:webHidden/>
              </w:rPr>
            </w:r>
            <w:r w:rsidR="0076293B">
              <w:rPr>
                <w:noProof/>
                <w:webHidden/>
              </w:rPr>
              <w:fldChar w:fldCharType="separate"/>
            </w:r>
            <w:r w:rsidR="00726DE6">
              <w:rPr>
                <w:noProof/>
                <w:webHidden/>
              </w:rPr>
              <w:t>39</w:t>
            </w:r>
            <w:r w:rsidR="0076293B">
              <w:rPr>
                <w:noProof/>
                <w:webHidden/>
              </w:rPr>
              <w:fldChar w:fldCharType="end"/>
            </w:r>
          </w:hyperlink>
        </w:p>
        <w:p w14:paraId="05B72AA8" w14:textId="77777777" w:rsidR="0076293B" w:rsidRDefault="00822D97">
          <w:pPr>
            <w:pStyle w:val="TOC3"/>
            <w:rPr>
              <w:rFonts w:cstheme="minorBidi"/>
              <w:noProof/>
              <w:lang w:val="en-GB" w:eastAsia="en-GB"/>
            </w:rPr>
          </w:pPr>
          <w:hyperlink w:anchor="_Toc415441539" w:history="1">
            <w:r w:rsidR="0076293B" w:rsidRPr="005E427C">
              <w:rPr>
                <w:rStyle w:val="Hyperlink"/>
                <w:noProof/>
              </w:rPr>
              <w:t>Estimated size of current Blowing Agent Banks and predicted growth to 2020</w:t>
            </w:r>
            <w:r w:rsidR="0076293B">
              <w:rPr>
                <w:noProof/>
                <w:webHidden/>
              </w:rPr>
              <w:tab/>
            </w:r>
            <w:r w:rsidR="0076293B">
              <w:rPr>
                <w:noProof/>
                <w:webHidden/>
              </w:rPr>
              <w:fldChar w:fldCharType="begin"/>
            </w:r>
            <w:r w:rsidR="0076293B">
              <w:rPr>
                <w:noProof/>
                <w:webHidden/>
              </w:rPr>
              <w:instrText xml:space="preserve"> PAGEREF _Toc415441539 \h </w:instrText>
            </w:r>
            <w:r w:rsidR="0076293B">
              <w:rPr>
                <w:noProof/>
                <w:webHidden/>
              </w:rPr>
            </w:r>
            <w:r w:rsidR="0076293B">
              <w:rPr>
                <w:noProof/>
                <w:webHidden/>
              </w:rPr>
              <w:fldChar w:fldCharType="separate"/>
            </w:r>
            <w:r w:rsidR="00726DE6">
              <w:rPr>
                <w:noProof/>
                <w:webHidden/>
              </w:rPr>
              <w:t>39</w:t>
            </w:r>
            <w:r w:rsidR="0076293B">
              <w:rPr>
                <w:noProof/>
                <w:webHidden/>
              </w:rPr>
              <w:fldChar w:fldCharType="end"/>
            </w:r>
          </w:hyperlink>
        </w:p>
        <w:p w14:paraId="5EEC159E" w14:textId="77777777" w:rsidR="0076293B" w:rsidRDefault="00822D97">
          <w:pPr>
            <w:pStyle w:val="TOC3"/>
            <w:rPr>
              <w:rFonts w:cstheme="minorBidi"/>
              <w:noProof/>
              <w:lang w:val="en-GB" w:eastAsia="en-GB"/>
            </w:rPr>
          </w:pPr>
          <w:hyperlink w:anchor="_Toc415441540" w:history="1">
            <w:r w:rsidR="0076293B" w:rsidRPr="005E427C">
              <w:rPr>
                <w:rStyle w:val="Hyperlink"/>
                <w:noProof/>
              </w:rPr>
              <w:t>Identifying Blowing Agents in the Waste Stream and other Waste Management challenges</w:t>
            </w:r>
            <w:r w:rsidR="0076293B">
              <w:rPr>
                <w:noProof/>
                <w:webHidden/>
              </w:rPr>
              <w:tab/>
            </w:r>
            <w:r w:rsidR="0076293B">
              <w:rPr>
                <w:noProof/>
                <w:webHidden/>
              </w:rPr>
              <w:fldChar w:fldCharType="begin"/>
            </w:r>
            <w:r w:rsidR="0076293B">
              <w:rPr>
                <w:noProof/>
                <w:webHidden/>
              </w:rPr>
              <w:instrText xml:space="preserve"> PAGEREF _Toc415441540 \h </w:instrText>
            </w:r>
            <w:r w:rsidR="0076293B">
              <w:rPr>
                <w:noProof/>
                <w:webHidden/>
              </w:rPr>
            </w:r>
            <w:r w:rsidR="0076293B">
              <w:rPr>
                <w:noProof/>
                <w:webHidden/>
              </w:rPr>
              <w:fldChar w:fldCharType="separate"/>
            </w:r>
            <w:r w:rsidR="00726DE6">
              <w:rPr>
                <w:noProof/>
                <w:webHidden/>
              </w:rPr>
              <w:t>39</w:t>
            </w:r>
            <w:r w:rsidR="0076293B">
              <w:rPr>
                <w:noProof/>
                <w:webHidden/>
              </w:rPr>
              <w:fldChar w:fldCharType="end"/>
            </w:r>
          </w:hyperlink>
        </w:p>
        <w:p w14:paraId="22063D25" w14:textId="77777777" w:rsidR="0076293B" w:rsidRDefault="00822D97">
          <w:pPr>
            <w:pStyle w:val="TOC3"/>
            <w:rPr>
              <w:rFonts w:cstheme="minorBidi"/>
              <w:noProof/>
              <w:lang w:val="en-GB" w:eastAsia="en-GB"/>
            </w:rPr>
          </w:pPr>
          <w:hyperlink w:anchor="_Toc415441541" w:history="1">
            <w:r w:rsidR="0076293B" w:rsidRPr="005E427C">
              <w:rPr>
                <w:rStyle w:val="Hyperlink"/>
                <w:noProof/>
              </w:rPr>
              <w:t>Assigning value to Blowing Agent recovery and likely impact on trends going forward</w:t>
            </w:r>
            <w:r w:rsidR="0076293B">
              <w:rPr>
                <w:noProof/>
                <w:webHidden/>
              </w:rPr>
              <w:tab/>
            </w:r>
            <w:r w:rsidR="0076293B">
              <w:rPr>
                <w:noProof/>
                <w:webHidden/>
              </w:rPr>
              <w:fldChar w:fldCharType="begin"/>
            </w:r>
            <w:r w:rsidR="0076293B">
              <w:rPr>
                <w:noProof/>
                <w:webHidden/>
              </w:rPr>
              <w:instrText xml:space="preserve"> PAGEREF _Toc415441541 \h </w:instrText>
            </w:r>
            <w:r w:rsidR="0076293B">
              <w:rPr>
                <w:noProof/>
                <w:webHidden/>
              </w:rPr>
            </w:r>
            <w:r w:rsidR="0076293B">
              <w:rPr>
                <w:noProof/>
                <w:webHidden/>
              </w:rPr>
              <w:fldChar w:fldCharType="separate"/>
            </w:r>
            <w:r w:rsidR="00726DE6">
              <w:rPr>
                <w:noProof/>
                <w:webHidden/>
              </w:rPr>
              <w:t>39</w:t>
            </w:r>
            <w:r w:rsidR="0076293B">
              <w:rPr>
                <w:noProof/>
                <w:webHidden/>
              </w:rPr>
              <w:fldChar w:fldCharType="end"/>
            </w:r>
          </w:hyperlink>
        </w:p>
        <w:p w14:paraId="646479C0" w14:textId="77777777" w:rsidR="0076293B" w:rsidRDefault="00822D97">
          <w:pPr>
            <w:pStyle w:val="TOC3"/>
            <w:rPr>
              <w:rFonts w:cstheme="minorBidi"/>
              <w:noProof/>
              <w:lang w:val="en-GB" w:eastAsia="en-GB"/>
            </w:rPr>
          </w:pPr>
          <w:hyperlink w:anchor="_Toc415441542" w:history="1">
            <w:r w:rsidR="0076293B" w:rsidRPr="005E427C">
              <w:rPr>
                <w:rStyle w:val="Hyperlink"/>
                <w:noProof/>
              </w:rPr>
              <w:t>Best Practice in the management of Insulation Foams and the importance of Segregation</w:t>
            </w:r>
            <w:r w:rsidR="0076293B">
              <w:rPr>
                <w:noProof/>
                <w:webHidden/>
              </w:rPr>
              <w:tab/>
            </w:r>
            <w:r w:rsidR="0076293B">
              <w:rPr>
                <w:noProof/>
                <w:webHidden/>
              </w:rPr>
              <w:fldChar w:fldCharType="begin"/>
            </w:r>
            <w:r w:rsidR="0076293B">
              <w:rPr>
                <w:noProof/>
                <w:webHidden/>
              </w:rPr>
              <w:instrText xml:space="preserve"> PAGEREF _Toc415441542 \h </w:instrText>
            </w:r>
            <w:r w:rsidR="0076293B">
              <w:rPr>
                <w:noProof/>
                <w:webHidden/>
              </w:rPr>
            </w:r>
            <w:r w:rsidR="0076293B">
              <w:rPr>
                <w:noProof/>
                <w:webHidden/>
              </w:rPr>
              <w:fldChar w:fldCharType="separate"/>
            </w:r>
            <w:r w:rsidR="00726DE6">
              <w:rPr>
                <w:noProof/>
                <w:webHidden/>
              </w:rPr>
              <w:t>40</w:t>
            </w:r>
            <w:r w:rsidR="0076293B">
              <w:rPr>
                <w:noProof/>
                <w:webHidden/>
              </w:rPr>
              <w:fldChar w:fldCharType="end"/>
            </w:r>
          </w:hyperlink>
        </w:p>
        <w:p w14:paraId="7D9F9543" w14:textId="77777777" w:rsidR="0076293B" w:rsidRDefault="00822D97">
          <w:pPr>
            <w:pStyle w:val="TOC2"/>
            <w:tabs>
              <w:tab w:val="left" w:pos="660"/>
              <w:tab w:val="right" w:leader="dot" w:pos="9016"/>
            </w:tabs>
            <w:rPr>
              <w:rFonts w:eastAsiaTheme="minorEastAsia"/>
              <w:noProof/>
              <w:lang w:eastAsia="en-GB"/>
            </w:rPr>
          </w:pPr>
          <w:hyperlink w:anchor="_Toc415441543" w:history="1">
            <w:r w:rsidR="0076293B" w:rsidRPr="005E427C">
              <w:rPr>
                <w:rStyle w:val="Hyperlink"/>
                <w:noProof/>
              </w:rPr>
              <w:t>8.</w:t>
            </w:r>
            <w:r w:rsidR="0076293B">
              <w:rPr>
                <w:rFonts w:eastAsiaTheme="minorEastAsia"/>
                <w:noProof/>
                <w:lang w:eastAsia="en-GB"/>
              </w:rPr>
              <w:tab/>
            </w:r>
            <w:r w:rsidR="0076293B" w:rsidRPr="005E427C">
              <w:rPr>
                <w:rStyle w:val="Hyperlink"/>
                <w:noProof/>
              </w:rPr>
              <w:t>Membership of the Foams Technical Options Committee</w:t>
            </w:r>
            <w:r w:rsidR="0076293B">
              <w:rPr>
                <w:noProof/>
                <w:webHidden/>
              </w:rPr>
              <w:tab/>
            </w:r>
            <w:r w:rsidR="0076293B">
              <w:rPr>
                <w:noProof/>
                <w:webHidden/>
              </w:rPr>
              <w:fldChar w:fldCharType="begin"/>
            </w:r>
            <w:r w:rsidR="0076293B">
              <w:rPr>
                <w:noProof/>
                <w:webHidden/>
              </w:rPr>
              <w:instrText xml:space="preserve"> PAGEREF _Toc415441543 \h </w:instrText>
            </w:r>
            <w:r w:rsidR="0076293B">
              <w:rPr>
                <w:noProof/>
                <w:webHidden/>
              </w:rPr>
            </w:r>
            <w:r w:rsidR="0076293B">
              <w:rPr>
                <w:noProof/>
                <w:webHidden/>
              </w:rPr>
              <w:fldChar w:fldCharType="separate"/>
            </w:r>
            <w:r w:rsidR="00726DE6">
              <w:rPr>
                <w:noProof/>
                <w:webHidden/>
              </w:rPr>
              <w:t>42</w:t>
            </w:r>
            <w:r w:rsidR="0076293B">
              <w:rPr>
                <w:noProof/>
                <w:webHidden/>
              </w:rPr>
              <w:fldChar w:fldCharType="end"/>
            </w:r>
          </w:hyperlink>
        </w:p>
        <w:p w14:paraId="19BEDB56" w14:textId="77777777" w:rsidR="000E02F3" w:rsidRDefault="00DB6CE3">
          <w:r>
            <w:rPr>
              <w:b/>
              <w:bCs/>
              <w:noProof/>
            </w:rPr>
            <w:lastRenderedPageBreak/>
            <w:fldChar w:fldCharType="end"/>
          </w:r>
        </w:p>
      </w:sdtContent>
    </w:sdt>
    <w:p w14:paraId="49F143B0" w14:textId="77777777" w:rsidR="00CC5BB2" w:rsidRDefault="00CC5BB2" w:rsidP="00176163">
      <w:pPr>
        <w:jc w:val="center"/>
        <w:rPr>
          <w:sz w:val="36"/>
          <w:szCs w:val="36"/>
        </w:rPr>
      </w:pPr>
    </w:p>
    <w:p w14:paraId="47BEA1C9" w14:textId="77777777" w:rsidR="00CC5BB2" w:rsidRDefault="00CC5BB2">
      <w:pPr>
        <w:spacing w:after="160" w:line="259" w:lineRule="auto"/>
        <w:rPr>
          <w:sz w:val="36"/>
          <w:szCs w:val="36"/>
        </w:rPr>
      </w:pPr>
      <w:r>
        <w:rPr>
          <w:sz w:val="36"/>
          <w:szCs w:val="36"/>
        </w:rPr>
        <w:br w:type="page"/>
      </w:r>
    </w:p>
    <w:p w14:paraId="7751769B" w14:textId="77777777" w:rsidR="001463B4" w:rsidRDefault="001463B4" w:rsidP="000E02F3">
      <w:pPr>
        <w:pStyle w:val="Heading2"/>
        <w:numPr>
          <w:ilvl w:val="0"/>
          <w:numId w:val="1"/>
        </w:numPr>
      </w:pPr>
      <w:bookmarkStart w:id="8" w:name="_Toc415441509"/>
      <w:r>
        <w:lastRenderedPageBreak/>
        <w:t>Key Messages</w:t>
      </w:r>
      <w:bookmarkEnd w:id="8"/>
      <w:r>
        <w:t xml:space="preserve"> </w:t>
      </w:r>
    </w:p>
    <w:p w14:paraId="0B40094E" w14:textId="77777777" w:rsidR="001463B4" w:rsidRPr="000C5D64" w:rsidRDefault="001463B4" w:rsidP="001463B4">
      <w:pPr>
        <w:rPr>
          <w:sz w:val="16"/>
          <w:szCs w:val="16"/>
        </w:rPr>
      </w:pPr>
    </w:p>
    <w:p w14:paraId="32B1A584" w14:textId="77777777" w:rsidR="001463B4" w:rsidRDefault="001463B4" w:rsidP="001463B4">
      <w:pPr>
        <w:pStyle w:val="ListParagraph"/>
        <w:numPr>
          <w:ilvl w:val="0"/>
          <w:numId w:val="2"/>
        </w:numPr>
        <w:jc w:val="both"/>
      </w:pPr>
      <w:r>
        <w:t>Growth in the construction sector in Article 5 parties, coupled with the adoption of enhanced energy efficiency criteria for buildings has led to a growth in demand for thermal insulation materials in these regions</w:t>
      </w:r>
    </w:p>
    <w:p w14:paraId="64278AEC" w14:textId="77777777" w:rsidR="001463B4" w:rsidRPr="000C5D64" w:rsidRDefault="001463B4" w:rsidP="001463B4">
      <w:pPr>
        <w:pStyle w:val="ListParagraph"/>
        <w:rPr>
          <w:sz w:val="16"/>
          <w:szCs w:val="16"/>
        </w:rPr>
      </w:pPr>
    </w:p>
    <w:p w14:paraId="5C0974FF" w14:textId="2238B0E3" w:rsidR="001463B4" w:rsidRDefault="001463B4" w:rsidP="001463B4">
      <w:pPr>
        <w:pStyle w:val="ListParagraph"/>
        <w:numPr>
          <w:ilvl w:val="0"/>
          <w:numId w:val="2"/>
        </w:numPr>
        <w:jc w:val="both"/>
      </w:pPr>
      <w:r>
        <w:t>Insulation foams have been the material of choice, although concerns over flammability have hindered adoption in some key markets</w:t>
      </w:r>
      <w:r w:rsidR="00D2448F">
        <w:t>, particularly where construction methods expose hazards</w:t>
      </w:r>
      <w:r>
        <w:t>. Differentiation between product types is increasingly occurring</w:t>
      </w:r>
    </w:p>
    <w:p w14:paraId="71DA3EBD" w14:textId="77777777" w:rsidR="001463B4" w:rsidRPr="000C5D64" w:rsidRDefault="001463B4" w:rsidP="001463B4">
      <w:pPr>
        <w:pStyle w:val="ListParagraph"/>
        <w:rPr>
          <w:sz w:val="16"/>
          <w:szCs w:val="16"/>
        </w:rPr>
      </w:pPr>
    </w:p>
    <w:p w14:paraId="5CA5CC46" w14:textId="77777777" w:rsidR="001463B4" w:rsidRDefault="001463B4" w:rsidP="001463B4">
      <w:pPr>
        <w:pStyle w:val="ListParagraph"/>
        <w:numPr>
          <w:ilvl w:val="0"/>
          <w:numId w:val="2"/>
        </w:numPr>
        <w:jc w:val="both"/>
      </w:pPr>
      <w:r>
        <w:t xml:space="preserve">In non-Article 5 parties, an increasing focus for insulation use has been in existing buildings, where solutions are required to be both efficient and cost-effective. PU Spray foam has made considerable inroads as a result. </w:t>
      </w:r>
    </w:p>
    <w:p w14:paraId="5F9A7DC2" w14:textId="77777777" w:rsidR="001463B4" w:rsidRPr="000C5D64" w:rsidRDefault="001463B4" w:rsidP="001463B4">
      <w:pPr>
        <w:pStyle w:val="ListParagraph"/>
        <w:rPr>
          <w:sz w:val="16"/>
          <w:szCs w:val="16"/>
        </w:rPr>
      </w:pPr>
    </w:p>
    <w:p w14:paraId="44D75DA2" w14:textId="77777777" w:rsidR="001463B4" w:rsidRDefault="001463B4" w:rsidP="001463B4">
      <w:pPr>
        <w:pStyle w:val="ListParagraph"/>
        <w:numPr>
          <w:ilvl w:val="0"/>
          <w:numId w:val="2"/>
        </w:numPr>
        <w:jc w:val="both"/>
      </w:pPr>
      <w:r>
        <w:t>Global blowing agent consumption is estimated to have reached approximately 390,000 tonnes annually in 2014 and is expected to continue to grow at around 4.8% per year through to 2020, leading to an overall consumption in excess of 520,000 tonnes with hydrocarbons representing over 50% of the total.</w:t>
      </w:r>
    </w:p>
    <w:p w14:paraId="152FE7BF" w14:textId="77777777" w:rsidR="001463B4" w:rsidRPr="000C5D64" w:rsidRDefault="001463B4" w:rsidP="001463B4">
      <w:pPr>
        <w:pStyle w:val="ListParagraph"/>
        <w:rPr>
          <w:sz w:val="16"/>
          <w:szCs w:val="16"/>
        </w:rPr>
      </w:pPr>
    </w:p>
    <w:p w14:paraId="69DA4055" w14:textId="77777777" w:rsidR="001463B4" w:rsidRDefault="001463B4" w:rsidP="001463B4">
      <w:pPr>
        <w:pStyle w:val="ListParagraph"/>
        <w:numPr>
          <w:ilvl w:val="0"/>
          <w:numId w:val="2"/>
        </w:numPr>
        <w:jc w:val="both"/>
      </w:pPr>
      <w:r>
        <w:t xml:space="preserve">The enactment of Decision XIX/6 has been the major driver for blowing agent transitions since 2010, although the implementation of Stage 1 of HCFC Phase-out Management Plans (HPMPs) has been hampered in some regions by administrative procedures. </w:t>
      </w:r>
    </w:p>
    <w:p w14:paraId="74E2F4B0" w14:textId="77777777" w:rsidR="001463B4" w:rsidRPr="000C5D64" w:rsidRDefault="001463B4" w:rsidP="001463B4">
      <w:pPr>
        <w:pStyle w:val="ListParagraph"/>
        <w:rPr>
          <w:sz w:val="16"/>
          <w:szCs w:val="16"/>
        </w:rPr>
      </w:pPr>
    </w:p>
    <w:p w14:paraId="41D1EEC9" w14:textId="77777777" w:rsidR="001463B4" w:rsidRDefault="001463B4" w:rsidP="001463B4">
      <w:pPr>
        <w:pStyle w:val="ListParagraph"/>
        <w:numPr>
          <w:ilvl w:val="0"/>
          <w:numId w:val="2"/>
        </w:numPr>
        <w:jc w:val="both"/>
      </w:pPr>
      <w:r>
        <w:t xml:space="preserve">The focus of HCFC phase-out in the foam sector to date has been HCFC-141b based on the “worst-first” principle. However, this has led to a significant tail of HCFC-142b/22 use in the XPS sector which has continued to grow rapidly since 2010, particularly in Asia. </w:t>
      </w:r>
    </w:p>
    <w:p w14:paraId="2DC26FC2" w14:textId="77777777" w:rsidR="001463B4" w:rsidRPr="000C5D64" w:rsidRDefault="001463B4" w:rsidP="001463B4">
      <w:pPr>
        <w:pStyle w:val="ListParagraph"/>
        <w:rPr>
          <w:sz w:val="16"/>
          <w:szCs w:val="16"/>
        </w:rPr>
      </w:pPr>
    </w:p>
    <w:p w14:paraId="17463E0B" w14:textId="77777777" w:rsidR="001463B4" w:rsidRDefault="001463B4" w:rsidP="001463B4">
      <w:pPr>
        <w:pStyle w:val="ListParagraph"/>
        <w:numPr>
          <w:ilvl w:val="0"/>
          <w:numId w:val="2"/>
        </w:numPr>
        <w:jc w:val="both"/>
      </w:pPr>
      <w:r>
        <w:t xml:space="preserve">There is some evidence to suggest that the XPS growth may have caused a nominal ‘breach’ in the 2013 freeze for Article 5 parties when taking the foam sector in isolation. However, this is unlikely to show at the reporting level because of potential counter-balances within other sectors of HCFC use. </w:t>
      </w:r>
    </w:p>
    <w:p w14:paraId="7CC6FA4B" w14:textId="77777777" w:rsidR="001463B4" w:rsidRPr="000C5D64" w:rsidRDefault="001463B4" w:rsidP="001463B4">
      <w:pPr>
        <w:pStyle w:val="ListParagraph"/>
        <w:rPr>
          <w:sz w:val="16"/>
          <w:szCs w:val="16"/>
        </w:rPr>
      </w:pPr>
    </w:p>
    <w:p w14:paraId="787D0854" w14:textId="145AF2BF" w:rsidR="001463B4" w:rsidRDefault="001463B4" w:rsidP="001463B4">
      <w:pPr>
        <w:pStyle w:val="ListParagraph"/>
        <w:numPr>
          <w:ilvl w:val="0"/>
          <w:numId w:val="2"/>
        </w:numPr>
        <w:jc w:val="both"/>
      </w:pPr>
      <w:r>
        <w:t xml:space="preserve">HFOs continue to be evaluated within the foam sector and are showing considerable promise, particularly as a result of their contributions to thermal efficiency even at relatively low levels within formulations. One manufacturer </w:t>
      </w:r>
      <w:r w:rsidR="000C5CB0">
        <w:t xml:space="preserve">is </w:t>
      </w:r>
      <w:r>
        <w:t>already producing commercially with others likely to follow within the next two years. Ultimate system costs</w:t>
      </w:r>
      <w:r w:rsidR="00C552CE">
        <w:t xml:space="preserve"> remain uncertain, as does the</w:t>
      </w:r>
      <w:r>
        <w:t xml:space="preserve"> geographic availability </w:t>
      </w:r>
      <w:r w:rsidR="000C5CB0">
        <w:t>of those HFOs still to be fully commercialised</w:t>
      </w:r>
      <w:r>
        <w:t xml:space="preserve">. </w:t>
      </w:r>
    </w:p>
    <w:p w14:paraId="6FB56CBC" w14:textId="77777777" w:rsidR="000C5D64" w:rsidRDefault="000C5D64" w:rsidP="000C5D64">
      <w:pPr>
        <w:pStyle w:val="ListParagraph"/>
      </w:pPr>
    </w:p>
    <w:p w14:paraId="1E1949A2" w14:textId="77777777" w:rsidR="000C5D64" w:rsidRDefault="000C5D64" w:rsidP="000C5D64">
      <w:pPr>
        <w:pStyle w:val="ListParagraph"/>
        <w:numPr>
          <w:ilvl w:val="0"/>
          <w:numId w:val="2"/>
        </w:numPr>
        <w:jc w:val="both"/>
      </w:pPr>
      <w:r>
        <w:t xml:space="preserve">The challenge of dealing with a multitude of SMEs in both Article 5 and non-Article 5 parties remains. Lack of economies of scale prevents the investment in flammable solutions, leaving high GWP solutions as the only option, often with considerable emissions.  </w:t>
      </w:r>
    </w:p>
    <w:p w14:paraId="4B2A7D87" w14:textId="77777777" w:rsidR="001463B4" w:rsidRPr="000C5D64" w:rsidRDefault="001463B4" w:rsidP="001463B4">
      <w:pPr>
        <w:pStyle w:val="ListParagraph"/>
        <w:rPr>
          <w:sz w:val="16"/>
          <w:szCs w:val="16"/>
        </w:rPr>
      </w:pPr>
    </w:p>
    <w:p w14:paraId="381E8E4B" w14:textId="77777777" w:rsidR="001463B4" w:rsidRDefault="001463B4" w:rsidP="001463B4">
      <w:pPr>
        <w:pStyle w:val="ListParagraph"/>
        <w:numPr>
          <w:ilvl w:val="0"/>
          <w:numId w:val="2"/>
        </w:numPr>
        <w:jc w:val="both"/>
      </w:pPr>
      <w:r>
        <w:t xml:space="preserve">Oxygenated hydrocarbons such as methyl </w:t>
      </w:r>
      <w:proofErr w:type="spellStart"/>
      <w:r>
        <w:t>formate</w:t>
      </w:r>
      <w:proofErr w:type="spellEnd"/>
      <w:r>
        <w:t xml:space="preserve"> and </w:t>
      </w:r>
      <w:proofErr w:type="spellStart"/>
      <w:r>
        <w:t>methylal</w:t>
      </w:r>
      <w:proofErr w:type="spellEnd"/>
      <w:r>
        <w:t xml:space="preserve"> are being increasingly used</w:t>
      </w:r>
      <w:r w:rsidR="000C5D64">
        <w:t xml:space="preserve"> in Article 5 parties, especially</w:t>
      </w:r>
      <w:r>
        <w:t xml:space="preserve"> in integral skin applications, although flammability remains an issue to be managed. There are also some minor HFO stability issues to be resolved in some low pressure PU Spray formulations.  </w:t>
      </w:r>
    </w:p>
    <w:p w14:paraId="07459C74" w14:textId="77777777" w:rsidR="001463B4" w:rsidRPr="000C5D64" w:rsidRDefault="001463B4" w:rsidP="001463B4">
      <w:pPr>
        <w:pStyle w:val="ListParagraph"/>
        <w:rPr>
          <w:sz w:val="16"/>
          <w:szCs w:val="16"/>
        </w:rPr>
      </w:pPr>
    </w:p>
    <w:p w14:paraId="148FD361" w14:textId="77777777" w:rsidR="001463B4" w:rsidRDefault="001463B4" w:rsidP="001463B4">
      <w:pPr>
        <w:pStyle w:val="ListParagraph"/>
        <w:numPr>
          <w:ilvl w:val="0"/>
          <w:numId w:val="2"/>
        </w:numPr>
        <w:jc w:val="both"/>
      </w:pPr>
      <w:r>
        <w:t xml:space="preserve">Banks of blowing agents are expected to exceed 5 million tonnes, inclusive of hydrocarbons by 2020. Much of the ODS component of these banks will already be in the waste stream by then as products with more limited lifecycles (e.g. appliances) reach end of life. </w:t>
      </w:r>
    </w:p>
    <w:p w14:paraId="6CACDD6B" w14:textId="77777777" w:rsidR="001463B4" w:rsidRPr="000C5D64" w:rsidRDefault="001463B4" w:rsidP="001463B4">
      <w:pPr>
        <w:pStyle w:val="ListParagraph"/>
        <w:rPr>
          <w:sz w:val="16"/>
          <w:szCs w:val="16"/>
        </w:rPr>
      </w:pPr>
    </w:p>
    <w:p w14:paraId="3EB74004" w14:textId="77777777" w:rsidR="00D151AC" w:rsidRPr="000C5D64" w:rsidRDefault="001463B4" w:rsidP="00D7702E">
      <w:pPr>
        <w:pStyle w:val="ListParagraph"/>
        <w:numPr>
          <w:ilvl w:val="0"/>
          <w:numId w:val="2"/>
        </w:numPr>
        <w:spacing w:after="160" w:line="259" w:lineRule="auto"/>
        <w:jc w:val="both"/>
        <w:rPr>
          <w:rFonts w:asciiTheme="majorHAnsi" w:eastAsiaTheme="majorEastAsia" w:hAnsiTheme="majorHAnsi" w:cstheme="majorBidi"/>
          <w:color w:val="2E74B5" w:themeColor="accent1" w:themeShade="BF"/>
          <w:sz w:val="26"/>
          <w:szCs w:val="26"/>
        </w:rPr>
      </w:pPr>
      <w:r>
        <w:t>Based on the climate benefit accruing from recovery, the average global warming potential of blowing agents in the waste stream will only further decline over the period through to 2020 making the economic justification for recovery</w:t>
      </w:r>
      <w:r w:rsidR="000C5D64">
        <w:t xml:space="preserve"> more challenging.</w:t>
      </w:r>
      <w:r w:rsidR="00D151AC">
        <w:br w:type="page"/>
      </w:r>
    </w:p>
    <w:p w14:paraId="171FB3E5" w14:textId="77777777" w:rsidR="00491BA3" w:rsidRDefault="00CC5BB2" w:rsidP="000E02F3">
      <w:pPr>
        <w:pStyle w:val="Heading2"/>
        <w:numPr>
          <w:ilvl w:val="0"/>
          <w:numId w:val="1"/>
        </w:numPr>
      </w:pPr>
      <w:bookmarkStart w:id="9" w:name="_Toc415441510"/>
      <w:r>
        <w:lastRenderedPageBreak/>
        <w:t>Executive Summary</w:t>
      </w:r>
      <w:bookmarkEnd w:id="9"/>
      <w:r>
        <w:t xml:space="preserve"> </w:t>
      </w:r>
    </w:p>
    <w:p w14:paraId="364514E2" w14:textId="77777777" w:rsidR="00CC5BB2" w:rsidRPr="00D151AC" w:rsidRDefault="00CC5BB2" w:rsidP="00CC5BB2">
      <w:pPr>
        <w:rPr>
          <w:sz w:val="8"/>
          <w:szCs w:val="8"/>
        </w:rPr>
      </w:pPr>
    </w:p>
    <w:p w14:paraId="133F00E4" w14:textId="77777777" w:rsidR="00492026" w:rsidRDefault="00492026" w:rsidP="00492026">
      <w:pPr>
        <w:pStyle w:val="Heading3"/>
      </w:pPr>
      <w:bookmarkStart w:id="10" w:name="_Toc415441511"/>
      <w:r>
        <w:t>Trends in Global Foam Use and Impacts on Blowing Agent Consumption</w:t>
      </w:r>
      <w:bookmarkEnd w:id="10"/>
    </w:p>
    <w:p w14:paraId="7311D5AF" w14:textId="77777777" w:rsidR="00492026" w:rsidRPr="00D151AC" w:rsidRDefault="00492026" w:rsidP="00CC5BB2">
      <w:pPr>
        <w:rPr>
          <w:sz w:val="8"/>
          <w:szCs w:val="8"/>
        </w:rPr>
      </w:pPr>
    </w:p>
    <w:p w14:paraId="0E3F96E2" w14:textId="77777777" w:rsidR="00D151AC" w:rsidRDefault="00D151AC" w:rsidP="00D151AC">
      <w:pPr>
        <w:jc w:val="both"/>
      </w:pPr>
      <w:r>
        <w:t>The global economic recession of 2008/9 has had some significant impact on investment within the construction sector since 2010, particularly in non-Article 5 parties. Project lead times associated with new-build projects (typically 2-3 years from initiation to completion) have meant that recovery of activities has only really surfaced in 2012/13. However, investment in new construction in Article 5 parties has continued broadly unabated. Building renovation projects in Europe have been less affected by the downturn, partly because their lead times are shorter and partly because the investments are lower in magnitude. There is also recognition that, in most non-Article 5 parties, over 50% of the buildings that will be operational in 2050 have already been built. If progress on building energy efficiency and related CO</w:t>
      </w:r>
      <w:r>
        <w:rPr>
          <w:vertAlign w:val="subscript"/>
        </w:rPr>
        <w:t>2</w:t>
      </w:r>
      <w:r>
        <w:t xml:space="preserve"> emissions is going to be made, then significant renovation will be necessary. </w:t>
      </w:r>
    </w:p>
    <w:p w14:paraId="388C1CC4" w14:textId="77777777" w:rsidR="00D151AC" w:rsidRPr="00D151AC" w:rsidRDefault="00D151AC" w:rsidP="00D151AC">
      <w:pPr>
        <w:rPr>
          <w:sz w:val="12"/>
          <w:szCs w:val="12"/>
        </w:rPr>
      </w:pPr>
    </w:p>
    <w:p w14:paraId="72385BAC" w14:textId="6D9405A4" w:rsidR="00D151AC" w:rsidRDefault="00D151AC" w:rsidP="00D151AC">
      <w:pPr>
        <w:jc w:val="both"/>
      </w:pPr>
      <w:r>
        <w:t>In all buildings, the demand for thermal insulation has increased substantially as their role in reducing energy dependency and greenhouse gas emissions has been recognised. New or improved thermal insulation requirements have emerged across the Middle East and throughout India, China</w:t>
      </w:r>
      <w:r w:rsidR="0067660E">
        <w:t xml:space="preserve">, </w:t>
      </w:r>
      <w:r>
        <w:t>South Africa</w:t>
      </w:r>
      <w:r w:rsidR="0067660E">
        <w:t xml:space="preserve"> and Latin America</w:t>
      </w:r>
      <w:r>
        <w:t>. Even though there has been some shift between fibre and foam market shares in China during the period, mostly as a result of fire concerns, the production of polyurethane chemicals had grown globally to just under 18 million tonnes by 2014. Of this total production, an estimated 9.7 million tonnes is consumed in the foam sector annually with approximately 5.9 million tonnes being in rigid insulation foam, where it consumes blowing agents of interest to the Montreal Protocol. Other competing foam insulation materials are expanded polystyrene (never used ozone depleting substances), extruded polystyrene (XPS), phenolic and polyethylene foams. XPS foams are understood to consume about 1.25 million tonnes of polystyrene globally. Based on average blowing agent percentages of 5.5% w/w for polyurethane and 4.5% w/w for XPS, this leads to an estimated demand of approximately 380,000 tonnes between them with a further 10,000 tonnes being consumed by other foam types.</w:t>
      </w:r>
    </w:p>
    <w:p w14:paraId="7721D8D5" w14:textId="77777777" w:rsidR="00D151AC" w:rsidRPr="00D151AC" w:rsidRDefault="00D151AC" w:rsidP="00D151AC">
      <w:pPr>
        <w:jc w:val="both"/>
        <w:rPr>
          <w:sz w:val="12"/>
          <w:szCs w:val="12"/>
        </w:rPr>
      </w:pPr>
    </w:p>
    <w:p w14:paraId="68884D40" w14:textId="77777777" w:rsidR="00D151AC" w:rsidRDefault="00D151AC" w:rsidP="00D151AC">
      <w:pPr>
        <w:jc w:val="both"/>
      </w:pPr>
      <w:r>
        <w:t>Current foam projections</w:t>
      </w:r>
      <w:r>
        <w:rPr>
          <w:rStyle w:val="FootnoteReference"/>
        </w:rPr>
        <w:footnoteReference w:id="1"/>
      </w:r>
      <w:r>
        <w:t xml:space="preserve"> predict on-going growth to 2019 of 4.8% per year, compared with 4.4% per year for 2009-2014. On this basis global blowing agent consumption will exceed 520,000 tonnes by 2020 unless there are further gains in blowing efficiency as technologies develop. Based on these trends, the historic, current and future demand for physical blowing agents is summarised in Figure ES-1 below:</w:t>
      </w:r>
    </w:p>
    <w:p w14:paraId="5008836A" w14:textId="77777777" w:rsidR="00D151AC" w:rsidRPr="004F2A4E" w:rsidRDefault="00D151AC" w:rsidP="00D151AC">
      <w:pPr>
        <w:jc w:val="both"/>
        <w:rPr>
          <w:sz w:val="8"/>
          <w:szCs w:val="8"/>
        </w:rPr>
      </w:pPr>
    </w:p>
    <w:p w14:paraId="71A65A50" w14:textId="77777777" w:rsidR="00D151AC" w:rsidRPr="00FC0E37" w:rsidRDefault="00D151AC" w:rsidP="00FC0E37">
      <w:pPr>
        <w:jc w:val="center"/>
      </w:pPr>
      <w:r>
        <w:rPr>
          <w:noProof/>
          <w:lang w:val="en-US"/>
        </w:rPr>
        <w:drawing>
          <wp:inline distT="0" distB="0" distL="0" distR="0" wp14:anchorId="3AFAC9F0" wp14:editId="4221CAB6">
            <wp:extent cx="3800475" cy="24846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3205" cy="2538780"/>
                    </a:xfrm>
                    <a:prstGeom prst="rect">
                      <a:avLst/>
                    </a:prstGeom>
                    <a:noFill/>
                  </pic:spPr>
                </pic:pic>
              </a:graphicData>
            </a:graphic>
          </wp:inline>
        </w:drawing>
      </w:r>
      <w:r w:rsidR="00FC0E37">
        <w:t xml:space="preserve">       </w:t>
      </w:r>
      <w:r>
        <w:rPr>
          <w:sz w:val="18"/>
          <w:szCs w:val="18"/>
        </w:rPr>
        <w:t xml:space="preserve">Source: FTOC </w:t>
      </w:r>
    </w:p>
    <w:p w14:paraId="15E3A2FB" w14:textId="77777777" w:rsidR="006955A0" w:rsidRPr="002A505F" w:rsidRDefault="00D151AC" w:rsidP="00D151AC">
      <w:pPr>
        <w:spacing w:before="120"/>
        <w:jc w:val="center"/>
        <w:rPr>
          <w:b/>
        </w:rPr>
      </w:pPr>
      <w:r w:rsidRPr="002A505F">
        <w:rPr>
          <w:b/>
          <w:i/>
          <w:sz w:val="20"/>
          <w:szCs w:val="20"/>
        </w:rPr>
        <w:t>Figure ES-1: Growth in the use of Physical Blowing Agents by Type over the period from 1990 to 2020</w:t>
      </w:r>
    </w:p>
    <w:p w14:paraId="58F02AA8" w14:textId="77777777" w:rsidR="00492026" w:rsidRDefault="00492026" w:rsidP="00492026">
      <w:pPr>
        <w:pStyle w:val="Heading3"/>
      </w:pPr>
      <w:bookmarkStart w:id="11" w:name="_Toc415441512"/>
      <w:r>
        <w:lastRenderedPageBreak/>
        <w:t>Overview of Progress and Challenges related to Blowing Agent Transitions</w:t>
      </w:r>
      <w:bookmarkEnd w:id="11"/>
      <w:r>
        <w:t xml:space="preserve"> </w:t>
      </w:r>
    </w:p>
    <w:p w14:paraId="10A16712" w14:textId="77777777" w:rsidR="00492026" w:rsidRPr="00D151AC" w:rsidRDefault="00492026" w:rsidP="001A6AB8">
      <w:pPr>
        <w:spacing w:line="259" w:lineRule="auto"/>
        <w:rPr>
          <w:sz w:val="8"/>
          <w:szCs w:val="8"/>
        </w:rPr>
      </w:pPr>
    </w:p>
    <w:p w14:paraId="1AFBD091" w14:textId="77777777" w:rsidR="00D151AC" w:rsidRDefault="00D151AC" w:rsidP="00D151AC">
      <w:pPr>
        <w:spacing w:line="259" w:lineRule="auto"/>
        <w:jc w:val="both"/>
      </w:pPr>
      <w:r>
        <w:t xml:space="preserve">The major blowing agent transitions being driven by regulation currently are those in Article 5 parties resulting from Decision XIX/6 and being funded under national HCFC Phase-out Management Plans (HPMPs). First phase HPMP implementation is generally running smoothly, although there have been delays in the initiation of some plans owing to the significant administration involved. Since Decision XIX/6 requires a “worst first” approach, the phase-out of HCFC-141b has been particularly targeted over the period covered by this report. This has been broadly successful within larger enterprises where the critical mass of the operation is sufficient to justify investment in hydrocarbon technologies, often with individual enterprises being willing to co-fund the investment where the funding thresholds available under the Multilateral Fund have been insufficient. </w:t>
      </w:r>
    </w:p>
    <w:p w14:paraId="497D18E7" w14:textId="77777777" w:rsidR="00D151AC" w:rsidRPr="00D151AC" w:rsidRDefault="00D151AC" w:rsidP="00D151AC">
      <w:pPr>
        <w:spacing w:line="259" w:lineRule="auto"/>
        <w:jc w:val="both"/>
        <w:rPr>
          <w:sz w:val="12"/>
          <w:szCs w:val="12"/>
        </w:rPr>
      </w:pPr>
    </w:p>
    <w:p w14:paraId="5F3121AB" w14:textId="54825237" w:rsidR="00D151AC" w:rsidRDefault="00D151AC" w:rsidP="00D151AC">
      <w:pPr>
        <w:spacing w:line="259" w:lineRule="auto"/>
        <w:jc w:val="both"/>
      </w:pPr>
      <w:r>
        <w:t>Foams manufactured using other blowing agents, notably extruded polystyrene (XPS), have not typically been part of the first phase of most HPMPs. This is because there are no proven low-GWP alternatives to HCFC-142b/22 currently available. Although CO</w:t>
      </w:r>
      <w:r>
        <w:rPr>
          <w:vertAlign w:val="subscript"/>
        </w:rPr>
        <w:t xml:space="preserve">2 </w:t>
      </w:r>
      <w:r>
        <w:t xml:space="preserve">technology is prevalent in Europe, it is still not clear whether it is sufficiently versatile for the variety of manufacturing plants operating in Article 5 parties. Other alternatives include hydrocarbons and ethers, but the flammability of these blowing agents is problematic when coupled with polystyrene itself which is also facing reformulation of brominated flame retardants. The situation has been further compounded in Asia since 2010 by a series of significant fires associated with insulation which have taken place during the construction phase of some high-rise buildings. Despite these concerns, investment in XPS manufacturing capacity has spiralled in response to increased demand for inexpensive and effective insulation. This has particularly been the case in Russia, the Middle East and parts of Eastern Europe and North Africa. The current choice of blowing agent in these regions are blends of HFC-134a/HFC-152a - not </w:t>
      </w:r>
      <w:r w:rsidR="009679AB">
        <w:t>ideal</w:t>
      </w:r>
      <w:r>
        <w:t xml:space="preserve"> for the climate, since these have relatively high GWP and the manufacturing process is typically quite emissive. There may be some hope that blends based on a combination of hydro </w:t>
      </w:r>
      <w:proofErr w:type="spellStart"/>
      <w:r>
        <w:t>fluoro</w:t>
      </w:r>
      <w:proofErr w:type="spellEnd"/>
      <w:r>
        <w:t xml:space="preserve"> olefins (HFOs) and/or hydro </w:t>
      </w:r>
      <w:proofErr w:type="spellStart"/>
      <w:r>
        <w:t>chloro</w:t>
      </w:r>
      <w:proofErr w:type="spellEnd"/>
      <w:r>
        <w:t xml:space="preserve"> </w:t>
      </w:r>
      <w:proofErr w:type="spellStart"/>
      <w:r>
        <w:t>fluoro</w:t>
      </w:r>
      <w:proofErr w:type="spellEnd"/>
      <w:r>
        <w:t xml:space="preserve"> olefins (HCFOs) together with hydrocarbons or ethers may ultimately satisfy the process and product requirements of XPS, but the continuing uncertainty is causing delay on conversions under relevant HPMPs. The net impact of these trends is projected in the Figure ES-2 below:                 </w:t>
      </w:r>
    </w:p>
    <w:p w14:paraId="7AE58F75" w14:textId="77777777" w:rsidR="00D151AC" w:rsidRPr="00836131" w:rsidRDefault="00D151AC" w:rsidP="00D151AC">
      <w:pPr>
        <w:spacing w:line="259" w:lineRule="auto"/>
        <w:rPr>
          <w:sz w:val="8"/>
          <w:szCs w:val="8"/>
        </w:rPr>
      </w:pPr>
    </w:p>
    <w:p w14:paraId="53BD82C0" w14:textId="77777777" w:rsidR="00D151AC" w:rsidRDefault="00D151AC" w:rsidP="00D151AC">
      <w:pPr>
        <w:spacing w:line="259" w:lineRule="auto"/>
        <w:jc w:val="center"/>
      </w:pPr>
      <w:r>
        <w:rPr>
          <w:noProof/>
          <w:lang w:val="en-US"/>
        </w:rPr>
        <w:drawing>
          <wp:inline distT="0" distB="0" distL="0" distR="0" wp14:anchorId="256A8FBF" wp14:editId="04194DE2">
            <wp:extent cx="4895850" cy="32079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04798" cy="3213779"/>
                    </a:xfrm>
                    <a:prstGeom prst="rect">
                      <a:avLst/>
                    </a:prstGeom>
                    <a:noFill/>
                    <a:ln>
                      <a:noFill/>
                    </a:ln>
                  </pic:spPr>
                </pic:pic>
              </a:graphicData>
            </a:graphic>
          </wp:inline>
        </w:drawing>
      </w:r>
    </w:p>
    <w:p w14:paraId="284DD459" w14:textId="77777777" w:rsidR="00D151AC" w:rsidRDefault="00D151AC" w:rsidP="00D151AC">
      <w:pPr>
        <w:spacing w:line="259" w:lineRule="auto"/>
        <w:jc w:val="center"/>
        <w:rPr>
          <w:sz w:val="8"/>
          <w:szCs w:val="8"/>
        </w:rPr>
      </w:pPr>
    </w:p>
    <w:p w14:paraId="4CD81094" w14:textId="77777777" w:rsidR="00D151AC" w:rsidRPr="002A505F" w:rsidRDefault="00D151AC" w:rsidP="00D151AC">
      <w:pPr>
        <w:spacing w:line="259" w:lineRule="auto"/>
        <w:jc w:val="center"/>
        <w:rPr>
          <w:b/>
          <w:sz w:val="20"/>
          <w:szCs w:val="20"/>
        </w:rPr>
      </w:pPr>
      <w:r w:rsidRPr="002A505F">
        <w:rPr>
          <w:b/>
          <w:i/>
          <w:sz w:val="20"/>
          <w:szCs w:val="20"/>
        </w:rPr>
        <w:t>Figure ES-2: Evolution of consumption patterns for blowing agents in Article 5 Parties with time</w:t>
      </w:r>
    </w:p>
    <w:p w14:paraId="1800EB17" w14:textId="77777777" w:rsidR="00D151AC" w:rsidRDefault="00D151AC" w:rsidP="00D151AC">
      <w:pPr>
        <w:jc w:val="both"/>
      </w:pPr>
      <w:r>
        <w:lastRenderedPageBreak/>
        <w:t xml:space="preserve">The growth in XPS can be seen as potentially responsible for a breach of the 2013 Freeze – at least for the foams sector. However, this does not automatically mean that parties will be non-compliant with the Protocol, since there is always the potential to compensate in other sectors. </w:t>
      </w:r>
    </w:p>
    <w:p w14:paraId="7647855A" w14:textId="77777777" w:rsidR="00D151AC" w:rsidRPr="00024AE5" w:rsidRDefault="00D151AC" w:rsidP="00D151AC">
      <w:pPr>
        <w:jc w:val="both"/>
        <w:rPr>
          <w:sz w:val="10"/>
          <w:szCs w:val="10"/>
        </w:rPr>
      </w:pPr>
    </w:p>
    <w:p w14:paraId="30D3D026" w14:textId="57C180F1" w:rsidR="00D151AC" w:rsidRDefault="00D151AC" w:rsidP="00D151AC">
      <w:pPr>
        <w:jc w:val="both"/>
      </w:pPr>
      <w:r>
        <w:t xml:space="preserve">The other major factor that threatens the smooth phase-out of blowing agents is dealing with the challenge of small medium enterprises (SMEs). Lack of economies of scale prevents the adoption of hydrocarbons, while the adoption of high GWP alternatives results in high climate impact within processes which are typically less well engineered or are unavoidably emissive. Although transitions from HCFCs to HFCs were largely unavoidable in many non-Article 5 parties during phase-out of HCFCs, there is increasing pressure to switch to low-GWP technologies. In view of hydrocarbon flammability, the focus is on the potential role of </w:t>
      </w:r>
      <w:r w:rsidR="009679AB">
        <w:t xml:space="preserve">less </w:t>
      </w:r>
      <w:r>
        <w:t xml:space="preserve">flammable blowing agents such as HFOs/HCFOs or all water-blown formulations. For integral skin, oxygenated hydrocarbons such as methyl </w:t>
      </w:r>
      <w:proofErr w:type="spellStart"/>
      <w:r>
        <w:t>formate</w:t>
      </w:r>
      <w:proofErr w:type="spellEnd"/>
      <w:r>
        <w:t xml:space="preserve"> and </w:t>
      </w:r>
      <w:proofErr w:type="spellStart"/>
      <w:r>
        <w:t>methylal</w:t>
      </w:r>
      <w:proofErr w:type="spellEnd"/>
      <w:r>
        <w:t xml:space="preserve"> are becoming the blowing agent of choice while the major PU Spray Foam markets of the USA and </w:t>
      </w:r>
      <w:proofErr w:type="gramStart"/>
      <w:r>
        <w:t>Canada,</w:t>
      </w:r>
      <w:proofErr w:type="gramEnd"/>
      <w:r>
        <w:t xml:space="preserve"> look likely to adopt HFOs/HCFOs, with commercial systems now beginning to emerge. </w:t>
      </w:r>
    </w:p>
    <w:p w14:paraId="48E4FE6C" w14:textId="77777777" w:rsidR="00D151AC" w:rsidRPr="00024AE5" w:rsidRDefault="00D151AC" w:rsidP="00D151AC">
      <w:pPr>
        <w:jc w:val="both"/>
        <w:rPr>
          <w:sz w:val="10"/>
          <w:szCs w:val="10"/>
        </w:rPr>
      </w:pPr>
    </w:p>
    <w:p w14:paraId="14014D0E" w14:textId="7024C43E" w:rsidR="00D151AC" w:rsidRDefault="00D151AC" w:rsidP="00D151AC">
      <w:pPr>
        <w:jc w:val="both"/>
      </w:pPr>
      <w:r>
        <w:t xml:space="preserve">Non-Article 5 parties in North America, Europe and Japan are now pursuing regulatory strategies to encourage the phase-out of HFC use in the foam sector. In Europe, this has been enacted under the re-cast F-Gas Regulation, while in the </w:t>
      </w:r>
      <w:proofErr w:type="gramStart"/>
      <w:r>
        <w:t>USA,</w:t>
      </w:r>
      <w:proofErr w:type="gramEnd"/>
      <w:r>
        <w:t xml:space="preserve"> the existing Significant New Alternatives Program (SNAP) is being explored as a tool for the de-selection of some blowing agent options. These regulatory initiatives could place particular pressure on the XPS industry in these regions, since universally acceptable alternatives are still to emerge. </w:t>
      </w:r>
      <w:r w:rsidR="00363770">
        <w:t>In Japan, GWP limits have been set on PU Spray foam from 2020 and reporting requirements continue for HFC-245fa and HFC-365mfc.</w:t>
      </w:r>
      <w:r>
        <w:t xml:space="preserve"> </w:t>
      </w:r>
    </w:p>
    <w:p w14:paraId="10F5C112" w14:textId="77777777" w:rsidR="00375D1D" w:rsidRPr="00024AE5" w:rsidRDefault="00375D1D" w:rsidP="004F1C34">
      <w:pPr>
        <w:jc w:val="both"/>
        <w:rPr>
          <w:sz w:val="12"/>
          <w:szCs w:val="12"/>
        </w:rPr>
      </w:pPr>
    </w:p>
    <w:p w14:paraId="3EFC7EBF" w14:textId="77777777" w:rsidR="00375D1D" w:rsidRDefault="00492026" w:rsidP="00024AE5">
      <w:pPr>
        <w:pStyle w:val="Heading3"/>
        <w:spacing w:before="0"/>
      </w:pPr>
      <w:bookmarkStart w:id="12" w:name="_Toc415441513"/>
      <w:r>
        <w:t>Update on Bank Estimates and Emerging Management Strategies</w:t>
      </w:r>
      <w:bookmarkEnd w:id="12"/>
      <w:r>
        <w:t xml:space="preserve">   </w:t>
      </w:r>
    </w:p>
    <w:p w14:paraId="7797297E" w14:textId="77777777" w:rsidR="00375D1D" w:rsidRPr="00045187" w:rsidRDefault="00375D1D" w:rsidP="00492026">
      <w:pPr>
        <w:pStyle w:val="Heading3"/>
        <w:rPr>
          <w:sz w:val="8"/>
          <w:szCs w:val="8"/>
        </w:rPr>
      </w:pPr>
    </w:p>
    <w:p w14:paraId="7D1FCB3E" w14:textId="77777777" w:rsidR="00D151AC" w:rsidRDefault="00D151AC" w:rsidP="00D151AC">
      <w:pPr>
        <w:jc w:val="both"/>
      </w:pPr>
      <w:r>
        <w:t>Global banks of blowing agents in foams are estimated to have grown from around 3 million tonnes in 2002 to an estimated 4.45 million tonnes in 2015</w:t>
      </w:r>
      <w:r>
        <w:rPr>
          <w:rStyle w:val="FootnoteReference"/>
        </w:rPr>
        <w:footnoteReference w:id="2"/>
      </w:r>
      <w:r>
        <w:t xml:space="preserve">. Based on current consumption estimates, these will grow to well in excess of 5 million tonnes by 2020. However, a significant proportion of this bank will already have moved into the waste stream (typically landfill) by then. To deter this, ODS-containing foam is being increasingly treated as hazardous waste, but policing shipments is difficult when no simple way of determining foam blowing agent exists. The search for appropriate detection equipment continues for both the characterisation of waste and the monitoring of cross-border trade.  A further option is to encourage voluntary intervention at decommissioning by assigning value to the process. Although climate benefits are the focus, the average global warming potential (GWP) of the waste stream will decrease with time as the average GWP decreases. Figure ES-3 illustrates this trend: </w:t>
      </w:r>
    </w:p>
    <w:p w14:paraId="47C50F1F" w14:textId="77777777" w:rsidR="00D151AC" w:rsidRPr="00447A7C" w:rsidRDefault="00D151AC" w:rsidP="00D151AC">
      <w:pPr>
        <w:jc w:val="both"/>
        <w:rPr>
          <w:sz w:val="8"/>
          <w:szCs w:val="8"/>
        </w:rPr>
      </w:pPr>
    </w:p>
    <w:p w14:paraId="6DE1ED01" w14:textId="77777777" w:rsidR="00D151AC" w:rsidRDefault="00D151AC" w:rsidP="00D151AC">
      <w:pPr>
        <w:jc w:val="center"/>
      </w:pPr>
      <w:r w:rsidRPr="00622409">
        <w:rPr>
          <w:noProof/>
          <w:lang w:val="en-US"/>
        </w:rPr>
        <w:lastRenderedPageBreak/>
        <w:drawing>
          <wp:inline distT="0" distB="0" distL="0" distR="0" wp14:anchorId="59CD931E" wp14:editId="3E91D2B2">
            <wp:extent cx="4024498" cy="26289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017" cy="2637731"/>
                    </a:xfrm>
                    <a:prstGeom prst="rect">
                      <a:avLst/>
                    </a:prstGeom>
                    <a:noFill/>
                    <a:ln>
                      <a:noFill/>
                    </a:ln>
                    <a:effectLst/>
                    <a:extLst/>
                  </pic:spPr>
                </pic:pic>
              </a:graphicData>
            </a:graphic>
          </wp:inline>
        </w:drawing>
      </w:r>
    </w:p>
    <w:p w14:paraId="44AAB4DF" w14:textId="77777777" w:rsidR="00D151AC" w:rsidRPr="002A505F" w:rsidRDefault="00D151AC" w:rsidP="00024AE5">
      <w:pPr>
        <w:spacing w:before="80"/>
        <w:jc w:val="center"/>
        <w:rPr>
          <w:b/>
          <w:i/>
          <w:sz w:val="20"/>
          <w:szCs w:val="20"/>
        </w:rPr>
      </w:pPr>
      <w:r>
        <w:t xml:space="preserve">     </w:t>
      </w:r>
      <w:r w:rsidRPr="002A505F">
        <w:rPr>
          <w:b/>
          <w:i/>
          <w:sz w:val="20"/>
          <w:szCs w:val="20"/>
        </w:rPr>
        <w:t xml:space="preserve">Figure ES-3: Expected decline in average GWP of the waste streams for typical foam applications </w:t>
      </w:r>
    </w:p>
    <w:p w14:paraId="63E9B80F" w14:textId="77777777" w:rsidR="00D151AC" w:rsidRDefault="00D151AC" w:rsidP="00D151AC">
      <w:pPr>
        <w:spacing w:after="160" w:line="259" w:lineRule="auto"/>
        <w:jc w:val="both"/>
      </w:pPr>
      <w:r>
        <w:t xml:space="preserve">These trends imply that there is an urgent need to introduce effective waste management practices. Indeed, much of the climate benefit arising from appliances foams has already passed. This is being borne out in practice for many appliance recycling plants, where the associated climate benefit cannot now be relied upon as a justification for investment. As a result contractors are looking to minimise their upfront investment costs by adopting manual dismantling practices, even though there are associated emissions. This is especially the case in areas of low population density, where the economies of scale are more limited.      </w:t>
      </w:r>
    </w:p>
    <w:p w14:paraId="18470A9E" w14:textId="77777777" w:rsidR="00375D1D" w:rsidRPr="00375D1D" w:rsidRDefault="00375D1D" w:rsidP="00375D1D">
      <w:pPr>
        <w:rPr>
          <w:i/>
        </w:rPr>
      </w:pPr>
    </w:p>
    <w:p w14:paraId="786F09D7" w14:textId="77777777" w:rsidR="00CC5BB2" w:rsidRDefault="00CC5BB2" w:rsidP="00492026">
      <w:pPr>
        <w:pStyle w:val="Heading3"/>
      </w:pPr>
      <w:r>
        <w:br w:type="page"/>
      </w:r>
    </w:p>
    <w:p w14:paraId="56D97105" w14:textId="77777777" w:rsidR="000E02F3" w:rsidRDefault="000E02F3" w:rsidP="000E02F3">
      <w:pPr>
        <w:pStyle w:val="Heading2"/>
        <w:numPr>
          <w:ilvl w:val="0"/>
          <w:numId w:val="1"/>
        </w:numPr>
      </w:pPr>
      <w:bookmarkStart w:id="13" w:name="_Toc415441514"/>
      <w:r>
        <w:lastRenderedPageBreak/>
        <w:t>Trends in Global Foam Use and impacts on Blowing Agent Consumption</w:t>
      </w:r>
      <w:bookmarkEnd w:id="13"/>
      <w:r>
        <w:t xml:space="preserve"> </w:t>
      </w:r>
    </w:p>
    <w:p w14:paraId="6ED1A6A7" w14:textId="77777777" w:rsidR="000E02F3" w:rsidRPr="00135D05" w:rsidRDefault="000E02F3" w:rsidP="000E02F3">
      <w:pPr>
        <w:pStyle w:val="Heading2"/>
        <w:rPr>
          <w:sz w:val="22"/>
          <w:szCs w:val="22"/>
        </w:rPr>
      </w:pPr>
    </w:p>
    <w:p w14:paraId="7BF34CB3" w14:textId="77777777" w:rsidR="000E02F3" w:rsidRDefault="000E02F3" w:rsidP="000E02F3">
      <w:pPr>
        <w:pStyle w:val="Heading3"/>
      </w:pPr>
      <w:bookmarkStart w:id="14" w:name="_Toc415441515"/>
      <w:r>
        <w:t>Growth in Global Foam Use</w:t>
      </w:r>
      <w:bookmarkEnd w:id="14"/>
    </w:p>
    <w:p w14:paraId="3FD26EEE" w14:textId="77777777" w:rsidR="000E02F3" w:rsidRDefault="000E02F3" w:rsidP="000E02F3">
      <w:pPr>
        <w:pStyle w:val="Heading3"/>
      </w:pPr>
    </w:p>
    <w:p w14:paraId="06F67CB4" w14:textId="77777777" w:rsidR="001463B4" w:rsidRDefault="001463B4" w:rsidP="001463B4">
      <w:pPr>
        <w:jc w:val="both"/>
      </w:pPr>
      <w:r>
        <w:t xml:space="preserve">The global economic recession of 2008/9 has had some significant impact on investment within the construction sector since 2010, particularly in non-Article 5 parties. The project lead times associated with new-build construction projects (typically 2-3 years from initiation to completion) has meant that recovery of new construction activities has only really surfaced in 2012/13. However, investment in new construction in Article 5 countries has continued broadly unabated. This is indicated in the Figure 1 below: </w:t>
      </w:r>
    </w:p>
    <w:p w14:paraId="391AA982" w14:textId="77777777" w:rsidR="001463B4" w:rsidRDefault="001463B4" w:rsidP="001463B4">
      <w:pPr>
        <w:jc w:val="both"/>
      </w:pPr>
    </w:p>
    <w:p w14:paraId="4EE5A8D5" w14:textId="77777777" w:rsidR="001463B4" w:rsidRDefault="001463B4" w:rsidP="001463B4">
      <w:pPr>
        <w:jc w:val="center"/>
      </w:pPr>
      <w:r w:rsidRPr="00052AAF">
        <w:rPr>
          <w:noProof/>
          <w:lang w:val="en-US"/>
        </w:rPr>
        <w:drawing>
          <wp:inline distT="0" distB="0" distL="0" distR="0" wp14:anchorId="7B4CC69C" wp14:editId="4B6C479B">
            <wp:extent cx="5108174" cy="2657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0581" cy="2663929"/>
                    </a:xfrm>
                    <a:prstGeom prst="rect">
                      <a:avLst/>
                    </a:prstGeom>
                    <a:noFill/>
                    <a:ln>
                      <a:noFill/>
                    </a:ln>
                  </pic:spPr>
                </pic:pic>
              </a:graphicData>
            </a:graphic>
          </wp:inline>
        </w:drawing>
      </w:r>
    </w:p>
    <w:p w14:paraId="5B8ACD97" w14:textId="77777777" w:rsidR="001463B4" w:rsidRDefault="001463B4" w:rsidP="001463B4">
      <w:pPr>
        <w:jc w:val="right"/>
        <w:rPr>
          <w:sz w:val="18"/>
          <w:szCs w:val="18"/>
        </w:rPr>
      </w:pPr>
      <w:r>
        <w:rPr>
          <w:sz w:val="18"/>
          <w:szCs w:val="18"/>
        </w:rPr>
        <w:t>Source: IHS Global Insight</w:t>
      </w:r>
    </w:p>
    <w:p w14:paraId="76FE0E5E" w14:textId="77777777" w:rsidR="001463B4" w:rsidRDefault="001463B4" w:rsidP="001463B4">
      <w:pPr>
        <w:jc w:val="right"/>
        <w:rPr>
          <w:sz w:val="18"/>
          <w:szCs w:val="18"/>
        </w:rPr>
      </w:pPr>
    </w:p>
    <w:p w14:paraId="0B7A174D" w14:textId="77777777" w:rsidR="001463B4" w:rsidRPr="002A505F" w:rsidRDefault="001463B4" w:rsidP="001463B4">
      <w:pPr>
        <w:jc w:val="center"/>
        <w:rPr>
          <w:b/>
          <w:i/>
        </w:rPr>
      </w:pPr>
      <w:r w:rsidRPr="002A505F">
        <w:rPr>
          <w:b/>
          <w:i/>
        </w:rPr>
        <w:t xml:space="preserve">Figure 1: Growth in Construction Spending 2010/11 </w:t>
      </w:r>
      <w:proofErr w:type="spellStart"/>
      <w:r w:rsidRPr="002A505F">
        <w:rPr>
          <w:b/>
          <w:i/>
        </w:rPr>
        <w:t>vs</w:t>
      </w:r>
      <w:proofErr w:type="spellEnd"/>
      <w:r w:rsidRPr="002A505F">
        <w:rPr>
          <w:b/>
          <w:i/>
        </w:rPr>
        <w:t xml:space="preserve"> 2012/13 (%)</w:t>
      </w:r>
    </w:p>
    <w:p w14:paraId="65DC8EDB" w14:textId="77777777" w:rsidR="001463B4" w:rsidRDefault="001463B4" w:rsidP="001463B4">
      <w:pPr>
        <w:jc w:val="both"/>
      </w:pPr>
    </w:p>
    <w:p w14:paraId="59615600" w14:textId="77777777" w:rsidR="001463B4" w:rsidRDefault="001463B4" w:rsidP="001463B4">
      <w:pPr>
        <w:jc w:val="both"/>
      </w:pPr>
      <w:r>
        <w:t xml:space="preserve">Building renovation projects in Europe have been less affected during the period, partly because their lead times are shorter and partly because the investments are lower in magnitude. Typically, Article 5 parties are focused primarily in new construction, while non-Article 5 parties are increasingly turning to renovation strategies. This is partly </w:t>
      </w:r>
      <w:proofErr w:type="gramStart"/>
      <w:r>
        <w:t>a recognition</w:t>
      </w:r>
      <w:proofErr w:type="gramEnd"/>
      <w:r>
        <w:t xml:space="preserve"> that, in most non-Article 5 parties, over 50% of the buildings that will be operational in 2050 have already been built. If impacts on building energy efficiency and related CO</w:t>
      </w:r>
      <w:r>
        <w:rPr>
          <w:vertAlign w:val="subscript"/>
        </w:rPr>
        <w:t>2</w:t>
      </w:r>
      <w:r>
        <w:t xml:space="preserve"> emissions are going to be made, then significant renovation programmes will be required. </w:t>
      </w:r>
    </w:p>
    <w:p w14:paraId="062D342A" w14:textId="77777777" w:rsidR="001463B4" w:rsidRDefault="001463B4" w:rsidP="001463B4">
      <w:pPr>
        <w:jc w:val="both"/>
      </w:pPr>
    </w:p>
    <w:p w14:paraId="0F36F3E5" w14:textId="213B1DAD" w:rsidR="001463B4" w:rsidRDefault="001463B4" w:rsidP="001463B4">
      <w:pPr>
        <w:jc w:val="both"/>
      </w:pPr>
      <w:r>
        <w:t>In both new construction and renovation, the demand for thermal insulation has increased substantially as the role of buildings in reducing energy dependency and greenhouse gas emissions has been recognised. New or improved thermal insulation requirements have emerged across the Middle East and throughout India, China</w:t>
      </w:r>
      <w:r w:rsidR="0067660E">
        <w:t xml:space="preserve">, </w:t>
      </w:r>
      <w:r>
        <w:t>South Africa</w:t>
      </w:r>
      <w:r w:rsidR="0067660E">
        <w:t xml:space="preserve"> and Latin America</w:t>
      </w:r>
      <w:r>
        <w:t>. Although there has been some shifting between fibre and foam market shares in China during the period, partially as a result of a temporary moratorium</w:t>
      </w:r>
      <w:r>
        <w:rPr>
          <w:rStyle w:val="FootnoteReference"/>
        </w:rPr>
        <w:footnoteReference w:id="3"/>
      </w:r>
      <w:r>
        <w:t xml:space="preserve"> on the installation organic insulation materials (including polyurethane and polystyrene) arising from fire concerns, the production of polyurethane chemicals globally has grown by 8.8% over the same time period to just under 18 million tonnes. Figure 2 illustrates the geographic spread of this production and indicates the growing importance of Article 5 regions in both the production and consumption of polyurethane chemicals. </w:t>
      </w:r>
    </w:p>
    <w:p w14:paraId="4A375A5A" w14:textId="77777777" w:rsidR="001463B4" w:rsidRDefault="001463B4" w:rsidP="001463B4">
      <w:pPr>
        <w:jc w:val="both"/>
      </w:pPr>
    </w:p>
    <w:p w14:paraId="48921772" w14:textId="77777777" w:rsidR="001463B4" w:rsidRDefault="001463B4" w:rsidP="001463B4">
      <w:pPr>
        <w:jc w:val="center"/>
      </w:pPr>
      <w:r>
        <w:rPr>
          <w:noProof/>
          <w:lang w:val="en-US"/>
        </w:rPr>
        <w:lastRenderedPageBreak/>
        <w:drawing>
          <wp:inline distT="0" distB="0" distL="0" distR="0" wp14:anchorId="1403E5BF" wp14:editId="74917B18">
            <wp:extent cx="5609391" cy="337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0297" cy="3390428"/>
                    </a:xfrm>
                    <a:prstGeom prst="rect">
                      <a:avLst/>
                    </a:prstGeom>
                    <a:noFill/>
                  </pic:spPr>
                </pic:pic>
              </a:graphicData>
            </a:graphic>
          </wp:inline>
        </w:drawing>
      </w:r>
    </w:p>
    <w:p w14:paraId="279A47B5" w14:textId="77777777" w:rsidR="001463B4" w:rsidRDefault="001463B4" w:rsidP="001463B4">
      <w:pPr>
        <w:jc w:val="both"/>
      </w:pPr>
    </w:p>
    <w:p w14:paraId="64BDB5AE" w14:textId="77777777" w:rsidR="001463B4" w:rsidRDefault="001463B4" w:rsidP="001463B4">
      <w:pPr>
        <w:ind w:right="95"/>
        <w:jc w:val="right"/>
        <w:rPr>
          <w:sz w:val="18"/>
          <w:szCs w:val="18"/>
        </w:rPr>
      </w:pPr>
      <w:r>
        <w:rPr>
          <w:sz w:val="18"/>
          <w:szCs w:val="18"/>
        </w:rPr>
        <w:t xml:space="preserve">Source: PU Magazine  </w:t>
      </w:r>
    </w:p>
    <w:p w14:paraId="5CEFC6A0" w14:textId="77777777" w:rsidR="001463B4" w:rsidRDefault="001463B4" w:rsidP="001463B4">
      <w:pPr>
        <w:jc w:val="right"/>
        <w:rPr>
          <w:sz w:val="18"/>
          <w:szCs w:val="18"/>
        </w:rPr>
      </w:pPr>
    </w:p>
    <w:p w14:paraId="75A3CFF9" w14:textId="77777777" w:rsidR="001463B4" w:rsidRPr="002A505F" w:rsidRDefault="001463B4" w:rsidP="001463B4">
      <w:pPr>
        <w:jc w:val="center"/>
        <w:rPr>
          <w:b/>
          <w:i/>
        </w:rPr>
      </w:pPr>
      <w:r w:rsidRPr="002A505F">
        <w:rPr>
          <w:b/>
          <w:i/>
        </w:rPr>
        <w:t>Figure 2: Regional Distribution of PU Chemical Production in 2012 (~18 million tonnes)</w:t>
      </w:r>
    </w:p>
    <w:p w14:paraId="286E7A38" w14:textId="77777777" w:rsidR="001463B4" w:rsidRDefault="001463B4" w:rsidP="001463B4">
      <w:pPr>
        <w:jc w:val="center"/>
      </w:pPr>
    </w:p>
    <w:p w14:paraId="31538C70" w14:textId="77777777" w:rsidR="001463B4" w:rsidRPr="001463B4" w:rsidRDefault="001463B4" w:rsidP="001463B4"/>
    <w:p w14:paraId="6D3F7336" w14:textId="77777777" w:rsidR="000E02F3" w:rsidRDefault="000E02F3" w:rsidP="000E02F3">
      <w:pPr>
        <w:pStyle w:val="Heading3"/>
      </w:pPr>
      <w:bookmarkStart w:id="15" w:name="_Toc415441516"/>
      <w:r>
        <w:t>Impact on Blowing Agent Consumption</w:t>
      </w:r>
      <w:bookmarkEnd w:id="15"/>
    </w:p>
    <w:p w14:paraId="3633C63E" w14:textId="77777777" w:rsidR="000E02F3" w:rsidRDefault="000E02F3" w:rsidP="000E02F3">
      <w:pPr>
        <w:pStyle w:val="Heading3"/>
      </w:pPr>
    </w:p>
    <w:p w14:paraId="7B491A74" w14:textId="77777777" w:rsidR="001463B4" w:rsidRDefault="001463B4" w:rsidP="001463B4">
      <w:pPr>
        <w:jc w:val="both"/>
      </w:pPr>
      <w:r>
        <w:t xml:space="preserve">Of the total polyurethane production, 9.7 million tonnes is estimated to be consumed in the foam sector annually with approximately 5.9 million tonnes being in the rigid insulation foam sector, where it consumes blowing agents of interest to the Montreal Protocol. Other competing foam insulation materials are Expanded Polystyrene (never used ozone depleting substances), Extruded Polystyrene (XPS), </w:t>
      </w:r>
      <w:proofErr w:type="gramStart"/>
      <w:r>
        <w:t>phenolic</w:t>
      </w:r>
      <w:proofErr w:type="gramEnd"/>
      <w:r>
        <w:t xml:space="preserve"> and polyethylene foams. XPS foams are understood to consume approximately 1.25 million tonnes of polystyrene globally. Based on average blowing agent percentages of 5.5% w/w for polyurethane and 4.5% w/w for XPS, this leads to an estimated demand of approximately 380,000 tonnes between them with a further 10,000 tonnes being consumed by other foam types.  </w:t>
      </w:r>
    </w:p>
    <w:p w14:paraId="3E88BD7D" w14:textId="77777777" w:rsidR="001463B4" w:rsidRPr="001463B4" w:rsidRDefault="001463B4" w:rsidP="001463B4"/>
    <w:p w14:paraId="1EDA4D3D" w14:textId="77777777" w:rsidR="001463B4" w:rsidRDefault="000E02F3" w:rsidP="000E02F3">
      <w:pPr>
        <w:pStyle w:val="Heading3"/>
      </w:pPr>
      <w:bookmarkStart w:id="16" w:name="_Toc415441517"/>
      <w:r>
        <w:t>Projection of Business-as-Usual Trends to 2020</w:t>
      </w:r>
      <w:bookmarkEnd w:id="16"/>
      <w:r>
        <w:t xml:space="preserve"> </w:t>
      </w:r>
    </w:p>
    <w:p w14:paraId="37D1D50F" w14:textId="77777777" w:rsidR="001463B4" w:rsidRDefault="001463B4" w:rsidP="000E02F3">
      <w:pPr>
        <w:pStyle w:val="Heading3"/>
      </w:pPr>
    </w:p>
    <w:p w14:paraId="07E76743" w14:textId="77777777" w:rsidR="001463B4" w:rsidRDefault="001463B4" w:rsidP="001463B4">
      <w:pPr>
        <w:jc w:val="both"/>
      </w:pPr>
      <w:r>
        <w:t>Current polymer foam projections</w:t>
      </w:r>
      <w:r>
        <w:rPr>
          <w:rStyle w:val="FootnoteReference"/>
        </w:rPr>
        <w:footnoteReference w:id="4"/>
      </w:r>
      <w:r>
        <w:t xml:space="preserve"> suggest on-going growth to 2019 of an average of 4.8% per year, which is slightly more rapid than the 4.4% per year achieved in the period 2009-2014. On this basis global blowing agent consumption can expect to exceed 520,000 tonnes by 2020 unless there are further gains in blowing efficiency as technologies develop. Based on trends in blowing agent selection monitored by the Foams Technical Options Committee, the historic, current a future demand for physical blowing agents is summarised in Figure 3 below:</w:t>
      </w:r>
    </w:p>
    <w:p w14:paraId="53711B67" w14:textId="77777777" w:rsidR="001463B4" w:rsidRDefault="001463B4" w:rsidP="001463B4">
      <w:pPr>
        <w:jc w:val="both"/>
      </w:pPr>
    </w:p>
    <w:p w14:paraId="353522BF" w14:textId="77777777" w:rsidR="001463B4" w:rsidRDefault="001463B4" w:rsidP="001463B4">
      <w:pPr>
        <w:jc w:val="center"/>
      </w:pPr>
      <w:r>
        <w:rPr>
          <w:noProof/>
          <w:lang w:val="en-US"/>
        </w:rPr>
        <w:lastRenderedPageBreak/>
        <w:drawing>
          <wp:inline distT="0" distB="0" distL="0" distR="0" wp14:anchorId="0C2C3617" wp14:editId="1723D943">
            <wp:extent cx="5734050" cy="374883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8291" cy="3797376"/>
                    </a:xfrm>
                    <a:prstGeom prst="rect">
                      <a:avLst/>
                    </a:prstGeom>
                    <a:noFill/>
                  </pic:spPr>
                </pic:pic>
              </a:graphicData>
            </a:graphic>
          </wp:inline>
        </w:drawing>
      </w:r>
    </w:p>
    <w:p w14:paraId="5282DB8B" w14:textId="77777777" w:rsidR="001463B4" w:rsidRDefault="001463B4" w:rsidP="001463B4">
      <w:pPr>
        <w:jc w:val="center"/>
      </w:pPr>
    </w:p>
    <w:p w14:paraId="012D3B64" w14:textId="77777777" w:rsidR="001463B4" w:rsidRPr="00AB1AB6" w:rsidRDefault="001463B4" w:rsidP="001463B4">
      <w:pPr>
        <w:jc w:val="right"/>
        <w:rPr>
          <w:sz w:val="18"/>
          <w:szCs w:val="18"/>
        </w:rPr>
      </w:pPr>
      <w:r>
        <w:rPr>
          <w:sz w:val="18"/>
          <w:szCs w:val="18"/>
        </w:rPr>
        <w:t>Source: FTOC</w:t>
      </w:r>
    </w:p>
    <w:p w14:paraId="3F4C2147" w14:textId="77777777" w:rsidR="001463B4" w:rsidRDefault="001463B4" w:rsidP="001463B4">
      <w:pPr>
        <w:jc w:val="center"/>
      </w:pPr>
    </w:p>
    <w:p w14:paraId="66A5723D" w14:textId="77777777" w:rsidR="001463B4" w:rsidRPr="002A505F" w:rsidRDefault="001463B4" w:rsidP="001463B4">
      <w:pPr>
        <w:jc w:val="center"/>
        <w:rPr>
          <w:b/>
          <w:i/>
        </w:rPr>
      </w:pPr>
      <w:r w:rsidRPr="002A505F">
        <w:rPr>
          <w:b/>
          <w:i/>
        </w:rPr>
        <w:t>Figure 3: Growth in the use of Physical Blowing Agents by Type over the period from 1990 to 2020</w:t>
      </w:r>
    </w:p>
    <w:p w14:paraId="741C8478" w14:textId="77777777" w:rsidR="001463B4" w:rsidRDefault="001463B4" w:rsidP="001463B4">
      <w:pPr>
        <w:jc w:val="both"/>
      </w:pPr>
    </w:p>
    <w:p w14:paraId="0512E888" w14:textId="77777777" w:rsidR="001463B4" w:rsidRDefault="001463B4" w:rsidP="001463B4">
      <w:pPr>
        <w:jc w:val="both"/>
      </w:pPr>
    </w:p>
    <w:p w14:paraId="416F637A" w14:textId="77777777" w:rsidR="00CC5BB2" w:rsidRDefault="00CC5BB2" w:rsidP="000E02F3">
      <w:pPr>
        <w:pStyle w:val="Heading2"/>
        <w:numPr>
          <w:ilvl w:val="0"/>
          <w:numId w:val="1"/>
        </w:numPr>
      </w:pPr>
      <w:bookmarkStart w:id="17" w:name="_Toc415441518"/>
      <w:r>
        <w:t>Overview of Progress and Challenges Related to Blowing Agent Transitions</w:t>
      </w:r>
      <w:bookmarkEnd w:id="17"/>
      <w:r>
        <w:t xml:space="preserve"> </w:t>
      </w:r>
    </w:p>
    <w:p w14:paraId="69481064" w14:textId="77777777" w:rsidR="00CC5BB2" w:rsidRDefault="00CC5BB2" w:rsidP="00CC5BB2"/>
    <w:p w14:paraId="0CA9BAB3" w14:textId="77777777" w:rsidR="00CC5BB2" w:rsidRDefault="00CC5BB2" w:rsidP="000E02F3">
      <w:pPr>
        <w:pStyle w:val="Heading3"/>
      </w:pPr>
      <w:bookmarkStart w:id="18" w:name="_Toc415441519"/>
      <w:r>
        <w:t>Progress with HCFC Phase-out Management Plans (HPMPs) in the Foam Sector</w:t>
      </w:r>
      <w:bookmarkEnd w:id="18"/>
      <w:r>
        <w:t xml:space="preserve"> </w:t>
      </w:r>
    </w:p>
    <w:p w14:paraId="666C2DDB" w14:textId="77777777" w:rsidR="00CC5BB2" w:rsidRDefault="00CC5BB2" w:rsidP="00CC5BB2"/>
    <w:p w14:paraId="5F2819AD" w14:textId="77777777" w:rsidR="001463B4" w:rsidRDefault="001463B4" w:rsidP="001463B4">
      <w:pPr>
        <w:spacing w:line="259" w:lineRule="auto"/>
        <w:jc w:val="both"/>
      </w:pPr>
      <w:r>
        <w:t xml:space="preserve">The major blowing agent transitions being driven by regulation at present are those in Article 5 parties resulting from the enactment of Decision XIX/6 and being funded under a series of national HCFC Phase-out Management Plans (HPMPs). HPMPs are currently in their first phase and implementation is generally running smoothly, although there have been delays in the initiation of some plans owing to the significant administration involved. Since Decision XIX/6 requires a “worst first” approach, the phase-out of HCFC-141b has particularly been targeted over the period covered by this report. This has been largely successful within larger enterprises where the critical mass of the operation is sufficient to justify investment in hydrocarbon technologies. Indeed, in several instances, individual enterprises have been willing to co-fund the investment where the funding thresholds available under the Multilateral Fund have been insufficient, despite the economies of scale. </w:t>
      </w:r>
    </w:p>
    <w:p w14:paraId="206DEA00" w14:textId="77777777" w:rsidR="001463B4" w:rsidRDefault="001463B4" w:rsidP="00CC5BB2"/>
    <w:p w14:paraId="33B6C7E9" w14:textId="77777777" w:rsidR="00CC5BB2" w:rsidRDefault="00CC5BB2" w:rsidP="000E02F3">
      <w:pPr>
        <w:pStyle w:val="Heading3"/>
      </w:pPr>
      <w:bookmarkStart w:id="19" w:name="_Toc415441520"/>
      <w:r>
        <w:t>Particular Challenges with PU Spray Foams and Extruded Polystyrene</w:t>
      </w:r>
      <w:bookmarkEnd w:id="19"/>
    </w:p>
    <w:p w14:paraId="061FFB2F" w14:textId="77777777" w:rsidR="00CC5BB2" w:rsidRDefault="00CC5BB2" w:rsidP="00CC5BB2"/>
    <w:p w14:paraId="13F3DCC5" w14:textId="77777777" w:rsidR="001463B4" w:rsidRDefault="00050445" w:rsidP="001463B4">
      <w:pPr>
        <w:jc w:val="both"/>
      </w:pPr>
      <w:r>
        <w:t xml:space="preserve">For PU Spray foam the major challenge relates to the safe processing of these systems under in-situ conditions within a building. </w:t>
      </w:r>
      <w:proofErr w:type="gramStart"/>
      <w:r>
        <w:t>The potential for the accumulation of blowing agent in ‘pockets’ creates the risk of fire or explosion if flammable materials are used.</w:t>
      </w:r>
      <w:proofErr w:type="gramEnd"/>
      <w:r>
        <w:t xml:space="preserve"> Therefore, hydrocarbons have broadly been ruled out for these applications. This has led to the retention of HCFC-141b as a blowing agent </w:t>
      </w:r>
      <w:r>
        <w:lastRenderedPageBreak/>
        <w:t xml:space="preserve">in Article 5 parties, while formulators and contractors have switched to high-GWP HFCs such as HFC-245fa and HFC-365mfc/227ea in non-Article 5 parties, where HCFCs have already been phased out.  </w:t>
      </w:r>
    </w:p>
    <w:p w14:paraId="0D6928DE" w14:textId="77777777" w:rsidR="001463B4" w:rsidRDefault="001463B4" w:rsidP="001463B4">
      <w:pPr>
        <w:jc w:val="both"/>
      </w:pPr>
    </w:p>
    <w:p w14:paraId="16518213" w14:textId="20D5124C" w:rsidR="001463B4" w:rsidRDefault="001463B4" w:rsidP="001463B4">
      <w:pPr>
        <w:jc w:val="both"/>
      </w:pPr>
      <w:r>
        <w:t>Foams manufactured using other blowing agents, notably extruded polystyrene (XPS) which uses HCFC-142b, HCFC-22 or blends thereof, have not typically been part of the first phase of most HPMPs. Apart from the fact that the ozone depletion potentials (ODPs) of the blowing agents are lower than for HCFC-141b, there are no obvious alternatives currently available. Although CO</w:t>
      </w:r>
      <w:r>
        <w:rPr>
          <w:vertAlign w:val="subscript"/>
        </w:rPr>
        <w:t xml:space="preserve">2 </w:t>
      </w:r>
      <w:r>
        <w:t xml:space="preserve">technology is prevalent in Europe, it is still not clear whether this will be sufficiently versatile to be used in the variety of manufacturing plants operating in Article 5 parties. Other alternatives include hydrocarbons and ethers, but the flammability of these blowing agents is viewed by many as problematic when coupled with a polystyrene matrix which is also facing reformulation of flame retardants following the action being taken on </w:t>
      </w:r>
      <w:proofErr w:type="spellStart"/>
      <w:r>
        <w:t>hexa-bromo-cyclo-dodecane</w:t>
      </w:r>
      <w:proofErr w:type="spellEnd"/>
      <w:r>
        <w:t xml:space="preserve"> (HBCD) under the Stockholm Convention. The situation has been further compounded in Asia since 2010 by a series of significant fires associated with insulation which have taken place in high-rise buildings (typically during the construction phase). Despite these concerns, investment in XPS manufacturing capacity has continued to spiral as demand for inexpensive and effective insulation has increased. This has particularly been the case in Russia, the Middle East and parts of Eastern Europe and North Africa. The current </w:t>
      </w:r>
      <w:proofErr w:type="gramStart"/>
      <w:r>
        <w:t>choice of blowing agent for these new installations, as well as for the existing ones, are</w:t>
      </w:r>
      <w:proofErr w:type="gramEnd"/>
      <w:r>
        <w:t xml:space="preserve"> blends of HFC-134a/HFC-152a. This is not a</w:t>
      </w:r>
      <w:r w:rsidR="009679AB">
        <w:t>n</w:t>
      </w:r>
      <w:r>
        <w:t xml:space="preserve"> </w:t>
      </w:r>
      <w:r w:rsidR="009679AB">
        <w:t>ideal</w:t>
      </w:r>
      <w:r>
        <w:t xml:space="preserve"> choice for the climate, since these blends have relatively high Global Warming Potential (GWP) and the manufacturing process for XPS is relatively emissive. There may be some hope that blends based on a combination of hydro </w:t>
      </w:r>
      <w:proofErr w:type="spellStart"/>
      <w:r>
        <w:t>fluoro</w:t>
      </w:r>
      <w:proofErr w:type="spellEnd"/>
      <w:r>
        <w:t xml:space="preserve"> olefins (HFOs) and/or hydro </w:t>
      </w:r>
      <w:proofErr w:type="spellStart"/>
      <w:r>
        <w:t>chloro</w:t>
      </w:r>
      <w:proofErr w:type="spellEnd"/>
      <w:r>
        <w:t xml:space="preserve"> </w:t>
      </w:r>
      <w:proofErr w:type="spellStart"/>
      <w:r>
        <w:t>fluoro</w:t>
      </w:r>
      <w:proofErr w:type="spellEnd"/>
      <w:r>
        <w:t xml:space="preserve"> olefins (HCFOs) together with hydrocarbons or ethers may ultimately satisfy the process and product requirements of XPS, but the continuing uncertainty is certainly causing delay on conversions under relevant HPMPs. The net impact of these trends is projected in the Figure 4 below:  </w:t>
      </w:r>
    </w:p>
    <w:p w14:paraId="4FF7D9EF" w14:textId="77777777" w:rsidR="001463B4" w:rsidRDefault="001463B4" w:rsidP="00CC5BB2"/>
    <w:p w14:paraId="72708727" w14:textId="77777777" w:rsidR="001463B4" w:rsidRDefault="001463B4" w:rsidP="001463B4">
      <w:pPr>
        <w:jc w:val="center"/>
        <w:rPr>
          <w:i/>
        </w:rPr>
      </w:pPr>
      <w:r>
        <w:rPr>
          <w:noProof/>
          <w:lang w:val="en-US"/>
        </w:rPr>
        <w:drawing>
          <wp:inline distT="0" distB="0" distL="0" distR="0" wp14:anchorId="5552AF10" wp14:editId="6012DCD7">
            <wp:extent cx="5553075" cy="3638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3075" cy="3638550"/>
                    </a:xfrm>
                    <a:prstGeom prst="rect">
                      <a:avLst/>
                    </a:prstGeom>
                    <a:noFill/>
                    <a:ln>
                      <a:noFill/>
                    </a:ln>
                  </pic:spPr>
                </pic:pic>
              </a:graphicData>
            </a:graphic>
          </wp:inline>
        </w:drawing>
      </w:r>
    </w:p>
    <w:p w14:paraId="61FDE17F" w14:textId="77777777" w:rsidR="001463B4" w:rsidRDefault="001463B4" w:rsidP="001463B4">
      <w:pPr>
        <w:jc w:val="center"/>
        <w:rPr>
          <w:i/>
        </w:rPr>
      </w:pPr>
    </w:p>
    <w:p w14:paraId="63C0A891" w14:textId="77777777" w:rsidR="001463B4" w:rsidRPr="002A505F" w:rsidRDefault="001463B4" w:rsidP="001463B4">
      <w:pPr>
        <w:jc w:val="center"/>
        <w:rPr>
          <w:b/>
          <w:i/>
        </w:rPr>
      </w:pPr>
      <w:r w:rsidRPr="002A505F">
        <w:rPr>
          <w:b/>
          <w:i/>
        </w:rPr>
        <w:t>Figure 4: Evolution of consumption patterns for blowing agents in Article 5 Parties with time</w:t>
      </w:r>
    </w:p>
    <w:p w14:paraId="710F9DF0" w14:textId="77777777" w:rsidR="001463B4" w:rsidRDefault="001463B4" w:rsidP="001463B4"/>
    <w:p w14:paraId="7F2AE32A" w14:textId="77777777" w:rsidR="001463B4" w:rsidRDefault="001463B4" w:rsidP="001463B4">
      <w:pPr>
        <w:jc w:val="both"/>
      </w:pPr>
      <w:r>
        <w:lastRenderedPageBreak/>
        <w:t xml:space="preserve">The growth in XPS can be seen as potentially responsible for a breach of the 2013 Freeze – at least for the foams sector. However, this does not automatically mean that parties will be non-compliant with the Protocol, since there is always the potential to compensate in other sectors. Nevertheless, the significance of the XPS challenge is self-evident. </w:t>
      </w:r>
    </w:p>
    <w:p w14:paraId="2B59C083" w14:textId="77777777" w:rsidR="001463B4" w:rsidRDefault="001463B4" w:rsidP="00CC5BB2"/>
    <w:p w14:paraId="2D3B3DFA" w14:textId="77777777" w:rsidR="00CC5BB2" w:rsidRDefault="000E02F3" w:rsidP="000E02F3">
      <w:pPr>
        <w:pStyle w:val="Heading3"/>
      </w:pPr>
      <w:bookmarkStart w:id="20" w:name="_Toc415441521"/>
      <w:r>
        <w:t>Enterprise Size and Economies of Scale</w:t>
      </w:r>
      <w:bookmarkEnd w:id="20"/>
    </w:p>
    <w:p w14:paraId="54C5783C" w14:textId="77777777" w:rsidR="000E02F3" w:rsidRDefault="000E02F3" w:rsidP="000E02F3"/>
    <w:p w14:paraId="36A27C86" w14:textId="7397191B" w:rsidR="001463B4" w:rsidRDefault="001463B4" w:rsidP="001463B4">
      <w:pPr>
        <w:jc w:val="both"/>
      </w:pPr>
      <w:r>
        <w:t xml:space="preserve">The other major factor that threatens the smooth phase-out of blowing agents in both Article 5 and non-Article 5 parties is the challenge of dealing with a multitude of small medium enterprises (SMEs). In these instances, the lack of economies of scale does not allow for the adoption of hydrocarbons, while the adoption of high GWP alternatives such as HFCs will result in high levels of emission within processes which are either less well engineered or are unavoidably emissive because they are used in-situ (e.g. PU Spray Foams). Although transitions from HCFCs to HFCs were largely unavoidable in many non-Article 5 jurisdictions at the time of phase-out of HCFCs, there is increasing pressure now to switch to low-GWP technologies. With hydrocarbons being problematic from a safety perspective, the focus </w:t>
      </w:r>
      <w:r w:rsidR="006D21A9">
        <w:t xml:space="preserve">is on the potential role of less </w:t>
      </w:r>
      <w:r>
        <w:t xml:space="preserve">flammable blowing agents such as HFOs/HCFOs or all water-blown formulations. In some specific market niches such as integral skin, oxygenated hydrocarbons such as methyl </w:t>
      </w:r>
      <w:proofErr w:type="spellStart"/>
      <w:r>
        <w:t>formate</w:t>
      </w:r>
      <w:proofErr w:type="spellEnd"/>
      <w:r>
        <w:t xml:space="preserve"> and </w:t>
      </w:r>
      <w:proofErr w:type="spellStart"/>
      <w:r>
        <w:t>methylal</w:t>
      </w:r>
      <w:proofErr w:type="spellEnd"/>
      <w:r>
        <w:t xml:space="preserve"> are becoming the blowing agent of choice. In the major PU Spray Foam markets of the USA and Canada, there are increasing signs that HFOs/HCFOs may have a significant role to play, with commercial systems now beginning to emerge. </w:t>
      </w:r>
    </w:p>
    <w:p w14:paraId="128FFBA5" w14:textId="77777777" w:rsidR="001463B4" w:rsidRDefault="001463B4" w:rsidP="000E02F3"/>
    <w:p w14:paraId="38B5B00D" w14:textId="77777777" w:rsidR="000E02F3" w:rsidRDefault="000E02F3" w:rsidP="000E02F3">
      <w:pPr>
        <w:pStyle w:val="Heading3"/>
      </w:pPr>
      <w:bookmarkStart w:id="21" w:name="_Toc415441522"/>
      <w:r>
        <w:t>Drivers for reducing Saturated HFC use in Non-Article 5 Parties</w:t>
      </w:r>
      <w:bookmarkEnd w:id="21"/>
      <w:r>
        <w:t xml:space="preserve"> </w:t>
      </w:r>
    </w:p>
    <w:p w14:paraId="2D2FA4A9" w14:textId="77777777" w:rsidR="001463B4" w:rsidRDefault="001463B4" w:rsidP="00545C51">
      <w:pPr>
        <w:spacing w:line="259" w:lineRule="auto"/>
      </w:pPr>
    </w:p>
    <w:p w14:paraId="17CCBB3E" w14:textId="77777777" w:rsidR="00545C51" w:rsidRDefault="00545C51" w:rsidP="00545C51">
      <w:pPr>
        <w:jc w:val="both"/>
      </w:pPr>
      <w:r>
        <w:t xml:space="preserve">Non-Article 5 parties in North America, Europe and Japan are now actively pursuing regulatory strategies to encourage the phase-out of HFC use in the foam sector, wherever possible. In Europe, this has been enacted under the re-cast F-Gas Regulation, while in the USA, the potential to utilise the existing Significant New Alternatives Program (SNAP) is being explored as a tool for the de-selection of some blowing agent options. These regulatory initiatives could place particular pressure on the XPS industry in these regions, since universally acceptable alternatives are still to emerge.  </w:t>
      </w:r>
    </w:p>
    <w:p w14:paraId="2437F6D1" w14:textId="77777777" w:rsidR="00545C51" w:rsidRDefault="00545C51">
      <w:pPr>
        <w:spacing w:after="160" w:line="259" w:lineRule="auto"/>
      </w:pPr>
    </w:p>
    <w:p w14:paraId="120479BC" w14:textId="77777777" w:rsidR="00D151AC" w:rsidRDefault="00D151AC" w:rsidP="00D151AC">
      <w:pPr>
        <w:pStyle w:val="Heading3"/>
      </w:pPr>
      <w:bookmarkStart w:id="22" w:name="_Toc415441523"/>
      <w:r>
        <w:t>Summary</w:t>
      </w:r>
      <w:bookmarkEnd w:id="22"/>
      <w:r>
        <w:t xml:space="preserve">  </w:t>
      </w:r>
    </w:p>
    <w:p w14:paraId="50BED18D" w14:textId="77777777" w:rsidR="00D151AC" w:rsidRDefault="00D151AC" w:rsidP="00D151AC">
      <w:pPr>
        <w:spacing w:line="259" w:lineRule="auto"/>
      </w:pPr>
    </w:p>
    <w:p w14:paraId="4379E72A" w14:textId="77777777" w:rsidR="00D151AC" w:rsidRDefault="00D151AC" w:rsidP="00D151AC">
      <w:pPr>
        <w:jc w:val="both"/>
      </w:pPr>
      <w:r>
        <w:t xml:space="preserve">In summary, while HCFC phase-out and HFC avoidance are being pursued in tandem, the more challenging areas are yet to be fully tackled. Much still depends on the future availability and cost of low-GWP blowing agents. One encouraging factor, particularly with HFOs/HCFOs, is that the thermal performance of the foams is, as a minimum, retained and in many cases improved over the HCFCs and HFCs that they are likely to replace. The commercialisation plans for these blowing agents remain on track and the next 2-3 years should confirm acceptability within the various foam sectors.     </w:t>
      </w:r>
    </w:p>
    <w:p w14:paraId="36A6010A" w14:textId="77777777" w:rsidR="00D151AC" w:rsidRDefault="00D151AC" w:rsidP="00D151AC">
      <w:pPr>
        <w:spacing w:line="259" w:lineRule="auto"/>
      </w:pPr>
    </w:p>
    <w:p w14:paraId="19829AC0" w14:textId="77777777" w:rsidR="00D151AC" w:rsidRDefault="00D151AC">
      <w:pPr>
        <w:spacing w:after="160" w:line="259" w:lineRule="auto"/>
      </w:pPr>
    </w:p>
    <w:p w14:paraId="4277817B" w14:textId="77777777" w:rsidR="000E02F3" w:rsidRDefault="000E02F3">
      <w:pPr>
        <w:spacing w:after="160" w:line="259" w:lineRule="auto"/>
        <w:rPr>
          <w:rFonts w:asciiTheme="majorHAnsi" w:eastAsiaTheme="majorEastAsia" w:hAnsiTheme="majorHAnsi" w:cstheme="majorBidi"/>
          <w:color w:val="1F4D78" w:themeColor="accent1" w:themeShade="7F"/>
          <w:sz w:val="24"/>
          <w:szCs w:val="24"/>
        </w:rPr>
      </w:pPr>
      <w:r>
        <w:br w:type="page"/>
      </w:r>
    </w:p>
    <w:p w14:paraId="7DAF1B54" w14:textId="77777777" w:rsidR="000E02F3" w:rsidRDefault="000E02F3" w:rsidP="000E02F3">
      <w:pPr>
        <w:pStyle w:val="Heading2"/>
        <w:numPr>
          <w:ilvl w:val="0"/>
          <w:numId w:val="1"/>
        </w:numPr>
      </w:pPr>
      <w:bookmarkStart w:id="23" w:name="_Toc415441524"/>
      <w:r>
        <w:lastRenderedPageBreak/>
        <w:t xml:space="preserve">Low-GWP Alternatives </w:t>
      </w:r>
      <w:r w:rsidR="00A5112C">
        <w:t xml:space="preserve">by type </w:t>
      </w:r>
      <w:r>
        <w:t>and their significance in the Foam Sector</w:t>
      </w:r>
      <w:bookmarkEnd w:id="23"/>
    </w:p>
    <w:p w14:paraId="41B868F1" w14:textId="77777777" w:rsidR="001E5111" w:rsidRDefault="001E5111" w:rsidP="001E5111"/>
    <w:p w14:paraId="5A9EB01A" w14:textId="77777777" w:rsidR="00A5112C" w:rsidRDefault="00A5112C" w:rsidP="00A5112C">
      <w:pPr>
        <w:pStyle w:val="Heading3"/>
      </w:pPr>
      <w:bookmarkStart w:id="24" w:name="_Toc415441525"/>
      <w:r>
        <w:t>Broadening acceptance of Hydrocarbons</w:t>
      </w:r>
      <w:bookmarkEnd w:id="24"/>
      <w:r>
        <w:t xml:space="preserve"> </w:t>
      </w:r>
    </w:p>
    <w:p w14:paraId="14D6CB63" w14:textId="77777777" w:rsidR="00A5112C" w:rsidRPr="00A5112C" w:rsidRDefault="00A5112C" w:rsidP="00A5112C">
      <w:pPr>
        <w:rPr>
          <w:sz w:val="16"/>
          <w:szCs w:val="16"/>
        </w:rPr>
      </w:pPr>
    </w:p>
    <w:p w14:paraId="0F4544B3" w14:textId="77777777" w:rsidR="00A5112C" w:rsidRDefault="00A5112C" w:rsidP="00A5112C">
      <w:pPr>
        <w:jc w:val="both"/>
      </w:pPr>
      <w:r>
        <w:t>The availability of hydrocarbons at an early stage of the transition from CFCs has made it that a genuine low-GWP and cost-effective alternative has been available for large parts of the foam sector throughout that period, even at the time of the phase-out of CFCs in non-Article 5 Parties. Therefore, the account of the transition history since 1987 in the polyurethane and phenolic product sectors is dominated by whether a specific foam sub-sector could adopt hydrocarbon technologies or not. There have been a number of reasons cited over the period to explain why hydrocarbon solutions were not appropriate. These have included:</w:t>
      </w:r>
    </w:p>
    <w:p w14:paraId="6F692F30" w14:textId="77777777" w:rsidR="00A5112C" w:rsidRDefault="00A5112C" w:rsidP="00A5112C">
      <w:pPr>
        <w:rPr>
          <w:sz w:val="10"/>
        </w:rPr>
      </w:pPr>
    </w:p>
    <w:p w14:paraId="31442C11" w14:textId="77777777" w:rsidR="00A5112C" w:rsidRDefault="00A5112C" w:rsidP="00A5112C">
      <w:pPr>
        <w:numPr>
          <w:ilvl w:val="0"/>
          <w:numId w:val="4"/>
        </w:numPr>
        <w:spacing w:after="60"/>
      </w:pPr>
      <w:r>
        <w:t>The flammability risks associated with the production/deposition process</w:t>
      </w:r>
    </w:p>
    <w:p w14:paraId="1F5B43BF" w14:textId="77777777" w:rsidR="00A5112C" w:rsidRDefault="00A5112C" w:rsidP="00A5112C">
      <w:pPr>
        <w:numPr>
          <w:ilvl w:val="0"/>
          <w:numId w:val="4"/>
        </w:numPr>
        <w:spacing w:after="60"/>
      </w:pPr>
      <w:r>
        <w:t>The flammability risks associated with product installation and use</w:t>
      </w:r>
    </w:p>
    <w:p w14:paraId="0B42B960" w14:textId="77777777" w:rsidR="00A5112C" w:rsidRDefault="00A5112C" w:rsidP="00A5112C">
      <w:pPr>
        <w:numPr>
          <w:ilvl w:val="0"/>
          <w:numId w:val="4"/>
        </w:numPr>
        <w:spacing w:after="60"/>
      </w:pPr>
      <w:r>
        <w:t>The higher gaseous thermal conductivity leading to poorer thermal efficiency of the foam</w:t>
      </w:r>
    </w:p>
    <w:p w14:paraId="19CE5A30" w14:textId="77777777" w:rsidR="00A5112C" w:rsidRDefault="00A5112C" w:rsidP="00A5112C">
      <w:pPr>
        <w:numPr>
          <w:ilvl w:val="0"/>
          <w:numId w:val="4"/>
        </w:numPr>
        <w:spacing w:after="60"/>
        <w:rPr>
          <w:lang w:eastAsia="ja-JP"/>
        </w:rPr>
      </w:pPr>
      <w:r>
        <w:rPr>
          <w:lang w:eastAsia="ja-JP"/>
        </w:rPr>
        <w:t xml:space="preserve">The cost of flame-proofing measures for production processes in relation to the size of the manufacturing plant (lack of economies of scale) </w:t>
      </w:r>
    </w:p>
    <w:p w14:paraId="1C66B3C3" w14:textId="77777777" w:rsidR="00A5112C" w:rsidRDefault="00A5112C" w:rsidP="00A5112C">
      <w:pPr>
        <w:numPr>
          <w:ilvl w:val="0"/>
          <w:numId w:val="4"/>
        </w:numPr>
        <w:spacing w:after="60"/>
        <w:rPr>
          <w:lang w:eastAsia="ja-JP"/>
        </w:rPr>
      </w:pPr>
      <w:r>
        <w:rPr>
          <w:lang w:eastAsia="ja-JP"/>
        </w:rPr>
        <w:t>Local health &amp; safety regulations</w:t>
      </w:r>
    </w:p>
    <w:p w14:paraId="2B0B0EE4" w14:textId="77777777" w:rsidR="00A5112C" w:rsidRDefault="00A5112C" w:rsidP="00A5112C">
      <w:pPr>
        <w:numPr>
          <w:ilvl w:val="0"/>
          <w:numId w:val="4"/>
        </w:numPr>
        <w:spacing w:after="60"/>
        <w:rPr>
          <w:lang w:eastAsia="ja-JP"/>
        </w:rPr>
      </w:pPr>
      <w:r>
        <w:rPr>
          <w:lang w:eastAsia="ja-JP"/>
        </w:rPr>
        <w:t xml:space="preserve">Local regulations on volatile organic compounds (VOCs) </w:t>
      </w:r>
    </w:p>
    <w:p w14:paraId="62470C81" w14:textId="77777777" w:rsidR="00A5112C" w:rsidRDefault="00A5112C" w:rsidP="00A5112C">
      <w:pPr>
        <w:numPr>
          <w:ilvl w:val="0"/>
          <w:numId w:val="4"/>
        </w:numPr>
        <w:spacing w:after="80"/>
        <w:ind w:left="714" w:hanging="357"/>
        <w:rPr>
          <w:lang w:eastAsia="ja-JP"/>
        </w:rPr>
      </w:pPr>
      <w:r>
        <w:rPr>
          <w:lang w:eastAsia="ja-JP"/>
        </w:rPr>
        <w:t>Waste management issues</w:t>
      </w:r>
    </w:p>
    <w:p w14:paraId="5AB79C3C" w14:textId="77777777" w:rsidR="00A5112C" w:rsidRPr="00A5112C" w:rsidRDefault="00A5112C" w:rsidP="00A5112C">
      <w:pPr>
        <w:jc w:val="both"/>
      </w:pPr>
      <w:r>
        <w:rPr>
          <w:lang w:eastAsia="ja-JP"/>
        </w:rPr>
        <w:t>Some of these have largely been discounted in more recent times, but others continue to be of importance and some are even growing in significance (e.g. waste management issues) as hydrocarbon blown foams reach end-of-life. Nevertheless, the market penetration of hydrocarbon technologies has had a substant</w:t>
      </w:r>
      <w:r w:rsidR="00FE52AF">
        <w:rPr>
          <w:lang w:eastAsia="ja-JP"/>
        </w:rPr>
        <w:t>ial impact as shown in Figure 5</w:t>
      </w:r>
      <w:r>
        <w:rPr>
          <w:lang w:eastAsia="ja-JP"/>
        </w:rPr>
        <w:t xml:space="preserve"> below:</w:t>
      </w:r>
    </w:p>
    <w:p w14:paraId="50F18ECD" w14:textId="77777777" w:rsidR="00A5112C" w:rsidRPr="00FE52AF" w:rsidRDefault="00A5112C" w:rsidP="00A5112C">
      <w:pPr>
        <w:pStyle w:val="Heading3"/>
        <w:rPr>
          <w:sz w:val="16"/>
          <w:szCs w:val="16"/>
        </w:rPr>
      </w:pPr>
    </w:p>
    <w:p w14:paraId="5E00229E" w14:textId="77777777" w:rsidR="00A5112C" w:rsidRPr="00A5112C" w:rsidRDefault="00FE52AF" w:rsidP="00FE52AF">
      <w:pPr>
        <w:jc w:val="center"/>
      </w:pPr>
      <w:r>
        <w:rPr>
          <w:noProof/>
          <w:lang w:val="en-US"/>
        </w:rPr>
        <w:drawing>
          <wp:inline distT="0" distB="0" distL="0" distR="0" wp14:anchorId="4EAF10C0" wp14:editId="2D227E20">
            <wp:extent cx="5196104" cy="339714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3014" cy="3401658"/>
                    </a:xfrm>
                    <a:prstGeom prst="rect">
                      <a:avLst/>
                    </a:prstGeom>
                    <a:noFill/>
                  </pic:spPr>
                </pic:pic>
              </a:graphicData>
            </a:graphic>
          </wp:inline>
        </w:drawing>
      </w:r>
    </w:p>
    <w:p w14:paraId="463CE090" w14:textId="77777777" w:rsidR="00A5112C" w:rsidRDefault="00A5112C" w:rsidP="00A5112C">
      <w:pPr>
        <w:pStyle w:val="Heading3"/>
      </w:pPr>
      <w:r>
        <w:t xml:space="preserve"> </w:t>
      </w:r>
    </w:p>
    <w:p w14:paraId="287FD3FF" w14:textId="77777777" w:rsidR="00FE52AF" w:rsidRPr="002A505F" w:rsidRDefault="00FE52AF" w:rsidP="00FE52AF">
      <w:pPr>
        <w:jc w:val="center"/>
        <w:rPr>
          <w:b/>
          <w:lang w:eastAsia="ja-JP"/>
        </w:rPr>
      </w:pPr>
      <w:r w:rsidRPr="002A505F">
        <w:rPr>
          <w:b/>
          <w:i/>
        </w:rPr>
        <w:t>Figure 5: Evolution of market share of foam sector met by hydrocarbons</w:t>
      </w:r>
      <w:r w:rsidRPr="002A505F">
        <w:rPr>
          <w:b/>
          <w:lang w:eastAsia="ja-JP"/>
        </w:rPr>
        <w:t xml:space="preserve"> </w:t>
      </w:r>
    </w:p>
    <w:p w14:paraId="4AF4B5C1" w14:textId="77777777" w:rsidR="00FE52AF" w:rsidRDefault="00FE52AF" w:rsidP="00FE52AF">
      <w:pPr>
        <w:jc w:val="center"/>
        <w:rPr>
          <w:lang w:eastAsia="ja-JP"/>
        </w:rPr>
      </w:pPr>
    </w:p>
    <w:p w14:paraId="28ED77F8" w14:textId="77777777" w:rsidR="00FE52AF" w:rsidRDefault="00FE52AF" w:rsidP="004B1269">
      <w:pPr>
        <w:spacing w:after="120"/>
        <w:jc w:val="both"/>
        <w:rPr>
          <w:lang w:eastAsia="ja-JP"/>
        </w:rPr>
      </w:pPr>
      <w:r>
        <w:rPr>
          <w:lang w:eastAsia="ja-JP"/>
        </w:rPr>
        <w:t xml:space="preserve">The slight stall in the growth of market share in hydrocarbon blowing agent in the period 2008-2010 has occurred as a result of growth in non-dependent foam types such as extruded polystyrene. </w:t>
      </w:r>
      <w:r>
        <w:rPr>
          <w:lang w:eastAsia="ja-JP"/>
        </w:rPr>
        <w:lastRenderedPageBreak/>
        <w:t xml:space="preserve">However, hydrocarbons are still expected to play an increasing role in the period to 2020 as means are found to cost-effectively engineer hydrocarbon solutions for medium-sized enterprises.  </w:t>
      </w:r>
    </w:p>
    <w:p w14:paraId="39202A2E" w14:textId="77777777" w:rsidR="00FE52AF" w:rsidRDefault="00FE52AF" w:rsidP="00FE52AF">
      <w:pPr>
        <w:spacing w:after="120"/>
        <w:jc w:val="both"/>
        <w:rPr>
          <w:lang w:eastAsia="ja-JP"/>
        </w:rPr>
      </w:pPr>
      <w:r>
        <w:rPr>
          <w:lang w:eastAsia="ja-JP"/>
        </w:rPr>
        <w:t>The dominance of the hydrocarbon technologies is even greater than it appears from the graph, since the blowing efficiency of hydrocarbon blowing agents is considerably better than the CFCs and HCFCs that were replaced. This means that the</w:t>
      </w:r>
      <w:r w:rsidR="005345B5">
        <w:rPr>
          <w:lang w:eastAsia="ja-JP"/>
        </w:rPr>
        <w:t xml:space="preserve"> amount of foam blown by the 290</w:t>
      </w:r>
      <w:r>
        <w:rPr>
          <w:lang w:eastAsia="ja-JP"/>
        </w:rPr>
        <w:t>,000</w:t>
      </w:r>
      <w:r w:rsidR="005345B5">
        <w:rPr>
          <w:lang w:eastAsia="ja-JP"/>
        </w:rPr>
        <w:t>-295,000</w:t>
      </w:r>
      <w:r>
        <w:rPr>
          <w:lang w:eastAsia="ja-JP"/>
        </w:rPr>
        <w:t xml:space="preserve"> tonnes of hydrocarbons predicted to be u</w:t>
      </w:r>
      <w:r w:rsidR="005345B5">
        <w:rPr>
          <w:lang w:eastAsia="ja-JP"/>
        </w:rPr>
        <w:t>sed in the foam industry in 2020</w:t>
      </w:r>
      <w:r>
        <w:rPr>
          <w:lang w:eastAsia="ja-JP"/>
        </w:rPr>
        <w:t xml:space="preserve"> will be 30-40% greater than would be achieved by the same quantity of CFCs. The optimisation of hydrocarbon technologies over the years has also resulted in improvements in thermal performance through improved cell structure, thereby negating some of the earlier concerns about poorer thermal efficiency. </w:t>
      </w:r>
    </w:p>
    <w:p w14:paraId="21FEEC52" w14:textId="77777777" w:rsidR="00FE52AF" w:rsidRPr="005345B5" w:rsidRDefault="00FE52AF" w:rsidP="00FE52AF">
      <w:pPr>
        <w:jc w:val="both"/>
      </w:pPr>
    </w:p>
    <w:p w14:paraId="4BBCD5D0" w14:textId="77777777" w:rsidR="00FE52AF" w:rsidRDefault="005345B5" w:rsidP="001E5111">
      <w:pPr>
        <w:pStyle w:val="Heading3"/>
      </w:pPr>
      <w:bookmarkStart w:id="25" w:name="_Toc415441526"/>
      <w:r>
        <w:t>Carbon Dioxide as a blowing agent</w:t>
      </w:r>
      <w:bookmarkEnd w:id="25"/>
    </w:p>
    <w:p w14:paraId="2663661B" w14:textId="77777777" w:rsidR="005345B5" w:rsidRPr="005345B5" w:rsidRDefault="005345B5" w:rsidP="005345B5">
      <w:pPr>
        <w:rPr>
          <w:sz w:val="16"/>
          <w:szCs w:val="16"/>
        </w:rPr>
      </w:pPr>
    </w:p>
    <w:p w14:paraId="4E50CF9B" w14:textId="77777777" w:rsidR="005345B5" w:rsidRDefault="005345B5" w:rsidP="005345B5">
      <w:pPr>
        <w:jc w:val="both"/>
        <w:rPr>
          <w:lang w:eastAsia="ja-JP"/>
        </w:rPr>
      </w:pPr>
      <w:r>
        <w:rPr>
          <w:lang w:eastAsia="ja-JP"/>
        </w:rPr>
        <w:t>Although carbon dioxide (CO</w:t>
      </w:r>
      <w:r>
        <w:rPr>
          <w:vertAlign w:val="subscript"/>
          <w:lang w:eastAsia="ja-JP"/>
        </w:rPr>
        <w:t>2</w:t>
      </w:r>
      <w:r>
        <w:rPr>
          <w:lang w:eastAsia="ja-JP"/>
        </w:rPr>
        <w:t xml:space="preserve">) is generated as a by-product of the reaction between </w:t>
      </w:r>
      <w:proofErr w:type="spellStart"/>
      <w:r>
        <w:rPr>
          <w:lang w:eastAsia="ja-JP"/>
        </w:rPr>
        <w:t>isocyanates</w:t>
      </w:r>
      <w:proofErr w:type="spellEnd"/>
      <w:r>
        <w:rPr>
          <w:lang w:eastAsia="ja-JP"/>
        </w:rPr>
        <w:t xml:space="preserve"> and water in polyurethane chemistry (so called CO</w:t>
      </w:r>
      <w:r>
        <w:rPr>
          <w:vertAlign w:val="subscript"/>
          <w:lang w:eastAsia="ja-JP"/>
        </w:rPr>
        <w:t>2</w:t>
      </w:r>
      <w:r w:rsidR="00A84889">
        <w:rPr>
          <w:vertAlign w:val="subscript"/>
          <w:lang w:eastAsia="ja-JP"/>
        </w:rPr>
        <w:t xml:space="preserve"> </w:t>
      </w:r>
      <w:r>
        <w:rPr>
          <w:lang w:eastAsia="ja-JP"/>
        </w:rPr>
        <w:t>(water) technology), the main focus of this section is on the external addition of gaseous CO</w:t>
      </w:r>
      <w:r>
        <w:rPr>
          <w:vertAlign w:val="subscript"/>
          <w:lang w:eastAsia="ja-JP"/>
        </w:rPr>
        <w:t xml:space="preserve">2 </w:t>
      </w:r>
      <w:r>
        <w:rPr>
          <w:lang w:eastAsia="ja-JP"/>
        </w:rPr>
        <w:t>as a blowing agent. This is particularly a technology practiced in the Extruded Polystyrene sector, where the main low-GWP and cost-effective alternative has been CO</w:t>
      </w:r>
      <w:r>
        <w:rPr>
          <w:vertAlign w:val="subscript"/>
          <w:lang w:eastAsia="ja-JP"/>
        </w:rPr>
        <w:t>2</w:t>
      </w:r>
      <w:r>
        <w:rPr>
          <w:lang w:eastAsia="ja-JP"/>
        </w:rPr>
        <w:t xml:space="preserve"> injected into the extruder itself. Again, the main challenge throughout has been to understand why this solution could not be universal in its application. Reasons have included:</w:t>
      </w:r>
    </w:p>
    <w:p w14:paraId="0D395730" w14:textId="77777777" w:rsidR="005345B5" w:rsidRPr="005345B5" w:rsidRDefault="005345B5" w:rsidP="005345B5">
      <w:pPr>
        <w:jc w:val="both"/>
        <w:rPr>
          <w:sz w:val="8"/>
          <w:szCs w:val="8"/>
          <w:lang w:eastAsia="ja-JP"/>
        </w:rPr>
      </w:pPr>
    </w:p>
    <w:p w14:paraId="6BD272CC" w14:textId="77777777" w:rsidR="005345B5" w:rsidRDefault="005345B5" w:rsidP="005345B5">
      <w:pPr>
        <w:numPr>
          <w:ilvl w:val="0"/>
          <w:numId w:val="5"/>
        </w:numPr>
        <w:spacing w:after="80"/>
      </w:pPr>
      <w:r>
        <w:t>Processing difficulties with CO</w:t>
      </w:r>
      <w:r>
        <w:rPr>
          <w:vertAlign w:val="subscript"/>
        </w:rPr>
        <w:t>2</w:t>
      </w:r>
      <w:r>
        <w:t xml:space="preserve"> and even CO</w:t>
      </w:r>
      <w:r>
        <w:rPr>
          <w:vertAlign w:val="subscript"/>
        </w:rPr>
        <w:t>2</w:t>
      </w:r>
      <w:r>
        <w:t>/HCO or CO</w:t>
      </w:r>
      <w:r>
        <w:rPr>
          <w:vertAlign w:val="subscript"/>
        </w:rPr>
        <w:t>2</w:t>
      </w:r>
      <w:r>
        <w:t>/HC blends</w:t>
      </w:r>
    </w:p>
    <w:p w14:paraId="038AFC51" w14:textId="77777777" w:rsidR="005345B5" w:rsidRDefault="005345B5" w:rsidP="005345B5">
      <w:pPr>
        <w:numPr>
          <w:ilvl w:val="0"/>
          <w:numId w:val="5"/>
        </w:numPr>
        <w:spacing w:after="80"/>
      </w:pPr>
      <w:r>
        <w:t xml:space="preserve">The higher gaseous thermal conductivity leading to poorer thermal efficiency of the foam  </w:t>
      </w:r>
    </w:p>
    <w:p w14:paraId="05FE5AD0" w14:textId="77777777" w:rsidR="005345B5" w:rsidRDefault="005345B5" w:rsidP="005345B5">
      <w:pPr>
        <w:numPr>
          <w:ilvl w:val="0"/>
          <w:numId w:val="5"/>
        </w:numPr>
        <w:spacing w:after="80"/>
      </w:pPr>
      <w:r>
        <w:t>Costs of conversion - including licensing constraints resulting from patents</w:t>
      </w:r>
    </w:p>
    <w:p w14:paraId="09EE9790" w14:textId="77777777" w:rsidR="005345B5" w:rsidRDefault="005345B5" w:rsidP="005345B5">
      <w:pPr>
        <w:numPr>
          <w:ilvl w:val="0"/>
          <w:numId w:val="5"/>
        </w:numPr>
        <w:spacing w:after="80"/>
      </w:pPr>
      <w:r>
        <w:t>Loss of processing flexibility ruling out some board geometries completely</w:t>
      </w:r>
    </w:p>
    <w:p w14:paraId="2139130E" w14:textId="77777777" w:rsidR="00A84889" w:rsidRDefault="005345B5" w:rsidP="005345B5">
      <w:pPr>
        <w:jc w:val="both"/>
        <w:rPr>
          <w:lang w:eastAsia="ja-JP"/>
        </w:rPr>
      </w:pPr>
      <w:r>
        <w:rPr>
          <w:lang w:eastAsia="ja-JP"/>
        </w:rPr>
        <w:t>For these reasons considerable proportions of the extruded polystyrene (XPS) industry have remained using HCFCs and HFCs rather than CO</w:t>
      </w:r>
      <w:r>
        <w:rPr>
          <w:vertAlign w:val="subscript"/>
          <w:lang w:eastAsia="ja-JP"/>
        </w:rPr>
        <w:t>2</w:t>
      </w:r>
      <w:r>
        <w:rPr>
          <w:lang w:eastAsia="ja-JP"/>
        </w:rPr>
        <w:t>. This has been particularly the case in North America where the product requirements are for wide and thin boards to meet the residential sheathing market. By contrast, much of the</w:t>
      </w:r>
      <w:r w:rsidR="00A84889">
        <w:rPr>
          <w:lang w:eastAsia="ja-JP"/>
        </w:rPr>
        <w:t xml:space="preserve"> European XPS market is targeted at requirements, such as floor insulation, where its moisture resistance is particularly valuable. In these applications, board geometries are less critical.  </w:t>
      </w:r>
    </w:p>
    <w:p w14:paraId="259CCC37" w14:textId="77777777" w:rsidR="00A84889" w:rsidRDefault="00A84889" w:rsidP="005345B5">
      <w:pPr>
        <w:jc w:val="both"/>
        <w:rPr>
          <w:lang w:eastAsia="ja-JP"/>
        </w:rPr>
      </w:pPr>
    </w:p>
    <w:p w14:paraId="0B532271" w14:textId="77777777" w:rsidR="005345B5" w:rsidRPr="005345B5" w:rsidRDefault="00A84889" w:rsidP="005345B5">
      <w:pPr>
        <w:jc w:val="both"/>
      </w:pPr>
      <w:r>
        <w:rPr>
          <w:lang w:eastAsia="ja-JP"/>
        </w:rPr>
        <w:t>Injected (super-critical) CO</w:t>
      </w:r>
      <w:r>
        <w:rPr>
          <w:vertAlign w:val="subscript"/>
          <w:lang w:eastAsia="ja-JP"/>
        </w:rPr>
        <w:t>2</w:t>
      </w:r>
      <w:r>
        <w:rPr>
          <w:lang w:eastAsia="ja-JP"/>
        </w:rPr>
        <w:t xml:space="preserve"> is also used for PU Spray Foam applications – most notably in Japan, where PU Spray Foam is widely used. The technology is proprietary to one company and this has arguably limited its adoption on a wider basis. </w:t>
      </w:r>
      <w:r w:rsidR="009633DB">
        <w:rPr>
          <w:lang w:eastAsia="ja-JP"/>
        </w:rPr>
        <w:t xml:space="preserve">There are also some short-comings in thermal performance against other technological solutions in the sector, especially in relation to the emerging unsaturated fluorocarbons (see next section). </w:t>
      </w:r>
      <w:r w:rsidR="005345B5">
        <w:rPr>
          <w:lang w:eastAsia="ja-JP"/>
        </w:rPr>
        <w:t xml:space="preserve">    </w:t>
      </w:r>
    </w:p>
    <w:p w14:paraId="0F5CEEF8" w14:textId="77777777" w:rsidR="00A84889" w:rsidRPr="00A84889" w:rsidRDefault="00A84889" w:rsidP="00A84889"/>
    <w:p w14:paraId="7B48501F" w14:textId="77777777" w:rsidR="001E5111" w:rsidRDefault="001E5111" w:rsidP="001E5111">
      <w:pPr>
        <w:pStyle w:val="Heading3"/>
      </w:pPr>
      <w:bookmarkStart w:id="26" w:name="_Toc415441527"/>
      <w:r>
        <w:t>Latest Status of Unsaturated HFC/HCFC Developments</w:t>
      </w:r>
      <w:bookmarkEnd w:id="26"/>
      <w:r>
        <w:t xml:space="preserve"> </w:t>
      </w:r>
    </w:p>
    <w:p w14:paraId="20369FAA" w14:textId="77777777" w:rsidR="001E5111" w:rsidRPr="009633DB" w:rsidRDefault="001E5111" w:rsidP="001E5111">
      <w:pPr>
        <w:rPr>
          <w:sz w:val="12"/>
          <w:szCs w:val="12"/>
        </w:rPr>
      </w:pPr>
    </w:p>
    <w:p w14:paraId="6A97ED89" w14:textId="1F545B34" w:rsidR="009633DB" w:rsidRDefault="009633DB" w:rsidP="004B1269">
      <w:pPr>
        <w:jc w:val="both"/>
        <w:rPr>
          <w:lang w:eastAsia="ja-JP"/>
        </w:rPr>
      </w:pPr>
      <w:r>
        <w:rPr>
          <w:lang w:eastAsia="ja-JP"/>
        </w:rPr>
        <w:t>In recent</w:t>
      </w:r>
      <w:r w:rsidR="00A84889">
        <w:rPr>
          <w:lang w:eastAsia="ja-JP"/>
        </w:rPr>
        <w:t xml:space="preserve"> years, the search for low-GWP, high performance blowing agents without the limitations of hydrocarbons and CO</w:t>
      </w:r>
      <w:r w:rsidR="00A84889">
        <w:rPr>
          <w:vertAlign w:val="subscript"/>
          <w:lang w:eastAsia="ja-JP"/>
        </w:rPr>
        <w:t>2</w:t>
      </w:r>
      <w:r w:rsidR="00A84889">
        <w:rPr>
          <w:lang w:eastAsia="ja-JP"/>
        </w:rPr>
        <w:t xml:space="preserve"> has been continuing. For the first time, the emergence of unsaturated HCFCs and HFCs (often commercially referred to as HFOs) seems to be offering a level of performance which not only allows the replacement of blowing agents with high-GWPs such as HCFCs and sa</w:t>
      </w:r>
      <w:r>
        <w:rPr>
          <w:lang w:eastAsia="ja-JP"/>
        </w:rPr>
        <w:t>turated HFCs, but also has the potential</w:t>
      </w:r>
      <w:r w:rsidR="00A84889">
        <w:rPr>
          <w:lang w:eastAsia="ja-JP"/>
        </w:rPr>
        <w:t xml:space="preserve"> to replace some elements of the hydrocarbon and CO</w:t>
      </w:r>
      <w:r w:rsidR="00A84889">
        <w:rPr>
          <w:vertAlign w:val="subscript"/>
          <w:lang w:eastAsia="ja-JP"/>
        </w:rPr>
        <w:t>2</w:t>
      </w:r>
      <w:r w:rsidR="00A84889">
        <w:rPr>
          <w:lang w:eastAsia="ja-JP"/>
        </w:rPr>
        <w:t xml:space="preserve">-blown sectors, based primarily on improved thermal properties. </w:t>
      </w:r>
      <w:r w:rsidR="008C0C24">
        <w:rPr>
          <w:lang w:eastAsia="ja-JP"/>
        </w:rPr>
        <w:t xml:space="preserve">This is particularly the case </w:t>
      </w:r>
      <w:r w:rsidR="00A762E4">
        <w:rPr>
          <w:lang w:eastAsia="ja-JP"/>
        </w:rPr>
        <w:t>in the PU Appliance sector, where at least three Asian manufacturers have already adopted HFO technology alongside their non-Article 5 competitors</w:t>
      </w:r>
      <w:r w:rsidR="008C0C24">
        <w:rPr>
          <w:lang w:eastAsia="ja-JP"/>
        </w:rPr>
        <w:t xml:space="preserve">. </w:t>
      </w:r>
      <w:r>
        <w:rPr>
          <w:lang w:eastAsia="ja-JP"/>
        </w:rPr>
        <w:t>In practice, and for cost reasons, blends</w:t>
      </w:r>
      <w:r w:rsidR="008C0C24">
        <w:rPr>
          <w:lang w:eastAsia="ja-JP"/>
        </w:rPr>
        <w:t xml:space="preserve"> of HFOs with other blowing agents are likely to be favoured</w:t>
      </w:r>
      <w:r>
        <w:rPr>
          <w:lang w:eastAsia="ja-JP"/>
        </w:rPr>
        <w:t>. A</w:t>
      </w:r>
      <w:r w:rsidR="00A84889">
        <w:rPr>
          <w:lang w:eastAsia="ja-JP"/>
        </w:rPr>
        <w:t>lthough the situation is becoming clearer with these technologies, there are still some uncertainties over the overall system cost and t</w:t>
      </w:r>
      <w:r>
        <w:rPr>
          <w:lang w:eastAsia="ja-JP"/>
        </w:rPr>
        <w:t>he global availability. C</w:t>
      </w:r>
      <w:r w:rsidR="00A84889">
        <w:rPr>
          <w:lang w:eastAsia="ja-JP"/>
        </w:rPr>
        <w:t>ommercial availability has already been established for HFO-</w:t>
      </w:r>
      <w:proofErr w:type="gramStart"/>
      <w:r w:rsidR="00A84889">
        <w:rPr>
          <w:lang w:eastAsia="ja-JP"/>
        </w:rPr>
        <w:t>1234ze(</w:t>
      </w:r>
      <w:proofErr w:type="gramEnd"/>
      <w:r w:rsidR="00A84889">
        <w:rPr>
          <w:lang w:eastAsia="ja-JP"/>
        </w:rPr>
        <w:t xml:space="preserve">E) (gaseous </w:t>
      </w:r>
      <w:r w:rsidR="00A84889">
        <w:rPr>
          <w:lang w:eastAsia="ja-JP"/>
        </w:rPr>
        <w:lastRenderedPageBreak/>
        <w:t>blowing agent) and HFO-1233zd(E) (liquid blowing agent). Pilot scale production of HFO</w:t>
      </w:r>
      <w:r>
        <w:rPr>
          <w:lang w:eastAsia="ja-JP"/>
        </w:rPr>
        <w:t>-</w:t>
      </w:r>
      <w:proofErr w:type="gramStart"/>
      <w:r>
        <w:rPr>
          <w:lang w:eastAsia="ja-JP"/>
        </w:rPr>
        <w:t>1336mzzm(</w:t>
      </w:r>
      <w:proofErr w:type="gramEnd"/>
      <w:r>
        <w:rPr>
          <w:lang w:eastAsia="ja-JP"/>
        </w:rPr>
        <w:t>Z) commenced in</w:t>
      </w:r>
      <w:r w:rsidR="00A84889">
        <w:rPr>
          <w:lang w:eastAsia="ja-JP"/>
        </w:rPr>
        <w:t xml:space="preserve"> </w:t>
      </w:r>
      <w:r>
        <w:rPr>
          <w:lang w:eastAsia="ja-JP"/>
        </w:rPr>
        <w:t xml:space="preserve">late </w:t>
      </w:r>
      <w:r w:rsidR="00A84889">
        <w:rPr>
          <w:lang w:eastAsia="ja-JP"/>
        </w:rPr>
        <w:t xml:space="preserve">2014, with full commercialisation </w:t>
      </w:r>
      <w:r>
        <w:rPr>
          <w:lang w:eastAsia="ja-JP"/>
        </w:rPr>
        <w:t xml:space="preserve">expected </w:t>
      </w:r>
      <w:r w:rsidR="00A84889">
        <w:rPr>
          <w:lang w:eastAsia="ja-JP"/>
        </w:rPr>
        <w:t>in 2016. Howe</w:t>
      </w:r>
      <w:r>
        <w:rPr>
          <w:lang w:eastAsia="ja-JP"/>
        </w:rPr>
        <w:t>ver, for all of these options</w:t>
      </w:r>
      <w:r w:rsidR="00A84889">
        <w:rPr>
          <w:lang w:eastAsia="ja-JP"/>
        </w:rPr>
        <w:t xml:space="preserve"> availability is likely to be targeted mostly in markets where the requirement for improved thermal efficiency is best identified. </w:t>
      </w:r>
      <w:r w:rsidR="008C0C24">
        <w:rPr>
          <w:lang w:eastAsia="ja-JP"/>
        </w:rPr>
        <w:t>In addition</w:t>
      </w:r>
      <w:r>
        <w:rPr>
          <w:lang w:eastAsia="ja-JP"/>
        </w:rPr>
        <w:t xml:space="preserve">, the demand to leap-frog high GWP </w:t>
      </w:r>
      <w:r w:rsidR="008C0C24">
        <w:rPr>
          <w:lang w:eastAsia="ja-JP"/>
        </w:rPr>
        <w:t xml:space="preserve">HCFC </w:t>
      </w:r>
      <w:r>
        <w:rPr>
          <w:lang w:eastAsia="ja-JP"/>
        </w:rPr>
        <w:t>alternatives</w:t>
      </w:r>
      <w:r w:rsidR="008C0C24">
        <w:rPr>
          <w:lang w:eastAsia="ja-JP"/>
        </w:rPr>
        <w:t xml:space="preserve"> in other sectors</w:t>
      </w:r>
      <w:r>
        <w:rPr>
          <w:lang w:eastAsia="ja-JP"/>
        </w:rPr>
        <w:t xml:space="preserve"> could </w:t>
      </w:r>
      <w:r w:rsidR="008C0C24">
        <w:rPr>
          <w:lang w:eastAsia="ja-JP"/>
        </w:rPr>
        <w:t xml:space="preserve">further </w:t>
      </w:r>
      <w:r>
        <w:rPr>
          <w:lang w:eastAsia="ja-JP"/>
        </w:rPr>
        <w:t xml:space="preserve">accelerate distribution </w:t>
      </w:r>
      <w:r w:rsidR="008C0C24">
        <w:rPr>
          <w:lang w:eastAsia="ja-JP"/>
        </w:rPr>
        <w:t xml:space="preserve">in </w:t>
      </w:r>
      <w:r>
        <w:rPr>
          <w:lang w:eastAsia="ja-JP"/>
        </w:rPr>
        <w:t>Article 5 regions</w:t>
      </w:r>
      <w:r w:rsidR="00A84889">
        <w:rPr>
          <w:lang w:eastAsia="ja-JP"/>
        </w:rPr>
        <w:t>.</w:t>
      </w:r>
      <w:r w:rsidR="004B1269">
        <w:rPr>
          <w:lang w:eastAsia="ja-JP"/>
        </w:rPr>
        <w:t xml:space="preserve"> This is especially the case in the rapidly growing XPS sector where t</w:t>
      </w:r>
      <w:r>
        <w:rPr>
          <w:lang w:eastAsia="ja-JP"/>
        </w:rPr>
        <w:t>he emergence of gaseous unsaturated HFCs such as HFO-1234ze presents a significant opportunity to replace any remaining HCFCs, saturated HFCs and even CO</w:t>
      </w:r>
      <w:r>
        <w:rPr>
          <w:vertAlign w:val="subscript"/>
          <w:lang w:eastAsia="ja-JP"/>
        </w:rPr>
        <w:t>2</w:t>
      </w:r>
      <w:r>
        <w:rPr>
          <w:lang w:eastAsia="ja-JP"/>
        </w:rPr>
        <w:t xml:space="preserve"> in some instances. However, cost remains a key issue and blending with oxygenated hydrocarbons (e.g. dimethyl ether) may well be required to deliver a commercially viable alternative technology. </w:t>
      </w:r>
    </w:p>
    <w:p w14:paraId="6180841F" w14:textId="77777777" w:rsidR="001E5111" w:rsidRDefault="001E5111" w:rsidP="001E5111"/>
    <w:p w14:paraId="1A5993EC" w14:textId="77777777" w:rsidR="001E5111" w:rsidRDefault="001E5111" w:rsidP="001E5111">
      <w:pPr>
        <w:pStyle w:val="Heading3"/>
      </w:pPr>
      <w:bookmarkStart w:id="27" w:name="_Toc415441528"/>
      <w:r>
        <w:t>Progress with other Low GWP Alternative Blowing Agents</w:t>
      </w:r>
      <w:bookmarkEnd w:id="27"/>
      <w:r>
        <w:t xml:space="preserve"> </w:t>
      </w:r>
    </w:p>
    <w:p w14:paraId="798C8578" w14:textId="77777777" w:rsidR="009633DB" w:rsidRPr="00726F05" w:rsidRDefault="009633DB" w:rsidP="001E5111">
      <w:pPr>
        <w:rPr>
          <w:sz w:val="8"/>
          <w:szCs w:val="8"/>
        </w:rPr>
      </w:pPr>
    </w:p>
    <w:p w14:paraId="1EE94A67" w14:textId="77777777" w:rsidR="004B1269" w:rsidRDefault="004B1269" w:rsidP="004B1269">
      <w:pPr>
        <w:jc w:val="both"/>
      </w:pPr>
      <w:r>
        <w:rPr>
          <w:lang w:eastAsia="ja-JP"/>
        </w:rPr>
        <w:t xml:space="preserve">Other blowing agents are also emerging as potential replacements for HCFCs and HFCs. These include a group of oxygenated hydrocarbons (HCOs) which include methyl </w:t>
      </w:r>
      <w:proofErr w:type="spellStart"/>
      <w:r>
        <w:rPr>
          <w:lang w:eastAsia="ja-JP"/>
        </w:rPr>
        <w:t>formate</w:t>
      </w:r>
      <w:proofErr w:type="spellEnd"/>
      <w:r>
        <w:rPr>
          <w:lang w:eastAsia="ja-JP"/>
        </w:rPr>
        <w:t xml:space="preserve"> and </w:t>
      </w:r>
      <w:proofErr w:type="spellStart"/>
      <w:r>
        <w:rPr>
          <w:lang w:eastAsia="ja-JP"/>
        </w:rPr>
        <w:t>methylal</w:t>
      </w:r>
      <w:proofErr w:type="spellEnd"/>
      <w:r>
        <w:rPr>
          <w:lang w:eastAsia="ja-JP"/>
        </w:rPr>
        <w:t xml:space="preserve">. These are generally seen as less flammable than the hydrocarbons themselves, although the significance of those differences can often depend on local product codes and the regulatory frameworks governing foam manufacture. Again, there is a growing tendency to see these used as components of tailored blends where they can contribute to overall performance criteria.       </w:t>
      </w:r>
    </w:p>
    <w:p w14:paraId="76D803FE" w14:textId="77777777" w:rsidR="004B1269" w:rsidRDefault="004B1269" w:rsidP="001E5111"/>
    <w:p w14:paraId="581E186A" w14:textId="77777777" w:rsidR="004B1269" w:rsidRDefault="004B1269" w:rsidP="004B1269">
      <w:pPr>
        <w:jc w:val="both"/>
        <w:rPr>
          <w:lang w:eastAsia="ja-JP"/>
        </w:rPr>
      </w:pPr>
      <w:r>
        <w:rPr>
          <w:lang w:eastAsia="ja-JP"/>
        </w:rPr>
        <w:t>In summary, Table 1 provides an overview of the blowing agent classes which have either been previously offered, or are currently being offered, alternatives to ozone depleting substances in the sectors being specifi</w:t>
      </w:r>
      <w:r w:rsidR="00BB34B3">
        <w:rPr>
          <w:lang w:eastAsia="ja-JP"/>
        </w:rPr>
        <w:t>cally considered in this report</w:t>
      </w:r>
      <w:r>
        <w:rPr>
          <w:lang w:eastAsia="ja-JP"/>
        </w:rPr>
        <w:t xml:space="preserve">. The table has been simplified over that of previous years by the fact that the </w:t>
      </w:r>
      <w:proofErr w:type="spellStart"/>
      <w:r>
        <w:rPr>
          <w:lang w:eastAsia="ja-JP"/>
        </w:rPr>
        <w:t>Arkema</w:t>
      </w:r>
      <w:proofErr w:type="spellEnd"/>
      <w:r>
        <w:rPr>
          <w:lang w:eastAsia="ja-JP"/>
        </w:rPr>
        <w:t xml:space="preserve"> product previously described as AFA-1 has now been confirmed as HFO-</w:t>
      </w:r>
      <w:proofErr w:type="gramStart"/>
      <w:r>
        <w:rPr>
          <w:lang w:eastAsia="ja-JP"/>
        </w:rPr>
        <w:t>1233zd(</w:t>
      </w:r>
      <w:proofErr w:type="gramEnd"/>
      <w:r>
        <w:rPr>
          <w:lang w:eastAsia="ja-JP"/>
        </w:rPr>
        <w:t xml:space="preserve">E), which aligns it with the existing Honeywell product. </w:t>
      </w:r>
    </w:p>
    <w:p w14:paraId="159B7F24" w14:textId="77777777" w:rsidR="004B1269" w:rsidRDefault="004B1269" w:rsidP="004B1269">
      <w:pPr>
        <w:pStyle w:val="Ballontekst"/>
        <w:rPr>
          <w:rFonts w:ascii="Times New Roman"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09"/>
        <w:gridCol w:w="992"/>
        <w:gridCol w:w="1559"/>
        <w:gridCol w:w="1418"/>
        <w:gridCol w:w="850"/>
        <w:gridCol w:w="1559"/>
        <w:gridCol w:w="1276"/>
      </w:tblGrid>
      <w:tr w:rsidR="004B1269" w14:paraId="35976A7C" w14:textId="77777777" w:rsidTr="00D7702E">
        <w:tc>
          <w:tcPr>
            <w:tcW w:w="1384" w:type="dxa"/>
            <w:shd w:val="clear" w:color="auto" w:fill="C0C0C0"/>
            <w:vAlign w:val="center"/>
          </w:tcPr>
          <w:p w14:paraId="09693962" w14:textId="77777777" w:rsidR="004B1269" w:rsidRDefault="004B1269" w:rsidP="00D7702E">
            <w:pPr>
              <w:jc w:val="center"/>
              <w:rPr>
                <w:rFonts w:ascii="Calibri" w:hAnsi="Calibri"/>
                <w:b/>
                <w:i/>
                <w:sz w:val="20"/>
                <w:lang w:eastAsia="ja-JP"/>
              </w:rPr>
            </w:pPr>
            <w:r>
              <w:rPr>
                <w:rFonts w:ascii="Calibri" w:hAnsi="Calibri"/>
                <w:b/>
                <w:i/>
                <w:sz w:val="20"/>
                <w:lang w:eastAsia="ja-JP"/>
              </w:rPr>
              <w:t>Sector</w:t>
            </w:r>
          </w:p>
        </w:tc>
        <w:tc>
          <w:tcPr>
            <w:tcW w:w="709" w:type="dxa"/>
            <w:tcBorders>
              <w:bottom w:val="single" w:sz="4" w:space="0" w:color="auto"/>
            </w:tcBorders>
            <w:shd w:val="clear" w:color="auto" w:fill="C0C0C0"/>
            <w:vAlign w:val="center"/>
          </w:tcPr>
          <w:p w14:paraId="24CB2C03" w14:textId="77777777" w:rsidR="004B1269" w:rsidRDefault="004B1269" w:rsidP="00D7702E">
            <w:pPr>
              <w:jc w:val="center"/>
              <w:rPr>
                <w:rFonts w:ascii="Calibri" w:hAnsi="Calibri"/>
                <w:b/>
                <w:i/>
                <w:sz w:val="20"/>
                <w:lang w:eastAsia="ja-JP"/>
              </w:rPr>
            </w:pPr>
            <w:r>
              <w:rPr>
                <w:rFonts w:ascii="Calibri" w:hAnsi="Calibri"/>
                <w:b/>
                <w:i/>
                <w:sz w:val="20"/>
                <w:lang w:eastAsia="ja-JP"/>
              </w:rPr>
              <w:t>CFCs</w:t>
            </w:r>
          </w:p>
        </w:tc>
        <w:tc>
          <w:tcPr>
            <w:tcW w:w="992" w:type="dxa"/>
            <w:tcBorders>
              <w:bottom w:val="single" w:sz="4" w:space="0" w:color="auto"/>
            </w:tcBorders>
            <w:shd w:val="clear" w:color="auto" w:fill="C0C0C0"/>
            <w:vAlign w:val="center"/>
          </w:tcPr>
          <w:p w14:paraId="2164268A" w14:textId="77777777" w:rsidR="004B1269" w:rsidRDefault="004B1269" w:rsidP="00D7702E">
            <w:pPr>
              <w:jc w:val="center"/>
              <w:rPr>
                <w:rFonts w:ascii="Calibri" w:hAnsi="Calibri"/>
                <w:b/>
                <w:i/>
                <w:sz w:val="20"/>
                <w:lang w:eastAsia="ja-JP"/>
              </w:rPr>
            </w:pPr>
            <w:r>
              <w:rPr>
                <w:rFonts w:ascii="Calibri" w:hAnsi="Calibri"/>
                <w:b/>
                <w:i/>
                <w:sz w:val="20"/>
                <w:lang w:eastAsia="ja-JP"/>
              </w:rPr>
              <w:t>HCFCs</w:t>
            </w:r>
          </w:p>
        </w:tc>
        <w:tc>
          <w:tcPr>
            <w:tcW w:w="1559" w:type="dxa"/>
            <w:shd w:val="clear" w:color="auto" w:fill="C0C0C0"/>
            <w:vAlign w:val="center"/>
          </w:tcPr>
          <w:p w14:paraId="1A273F7F" w14:textId="77777777" w:rsidR="004B1269" w:rsidRDefault="004B1269" w:rsidP="00D7702E">
            <w:pPr>
              <w:jc w:val="center"/>
              <w:rPr>
                <w:rFonts w:ascii="Calibri" w:hAnsi="Calibri"/>
                <w:b/>
                <w:i/>
                <w:sz w:val="20"/>
                <w:lang w:eastAsia="ja-JP"/>
              </w:rPr>
            </w:pPr>
            <w:r>
              <w:rPr>
                <w:rFonts w:ascii="Calibri" w:hAnsi="Calibri"/>
                <w:b/>
                <w:i/>
                <w:sz w:val="20"/>
                <w:lang w:eastAsia="ja-JP"/>
              </w:rPr>
              <w:t>HFCs</w:t>
            </w:r>
          </w:p>
        </w:tc>
        <w:tc>
          <w:tcPr>
            <w:tcW w:w="1418" w:type="dxa"/>
            <w:tcBorders>
              <w:bottom w:val="single" w:sz="4" w:space="0" w:color="auto"/>
            </w:tcBorders>
            <w:shd w:val="clear" w:color="auto" w:fill="C0C0C0"/>
            <w:vAlign w:val="center"/>
          </w:tcPr>
          <w:p w14:paraId="6EBBA9ED" w14:textId="77777777" w:rsidR="004B1269" w:rsidRDefault="004B1269" w:rsidP="00D7702E">
            <w:pPr>
              <w:jc w:val="center"/>
              <w:rPr>
                <w:rFonts w:ascii="Calibri" w:hAnsi="Calibri"/>
                <w:b/>
                <w:i/>
                <w:sz w:val="20"/>
                <w:lang w:eastAsia="ja-JP"/>
              </w:rPr>
            </w:pPr>
            <w:r>
              <w:rPr>
                <w:rFonts w:ascii="Calibri" w:hAnsi="Calibri"/>
                <w:b/>
                <w:i/>
                <w:sz w:val="20"/>
                <w:lang w:eastAsia="ja-JP"/>
              </w:rPr>
              <w:t>HCs</w:t>
            </w:r>
          </w:p>
        </w:tc>
        <w:tc>
          <w:tcPr>
            <w:tcW w:w="850" w:type="dxa"/>
            <w:shd w:val="clear" w:color="auto" w:fill="C0C0C0"/>
            <w:vAlign w:val="center"/>
          </w:tcPr>
          <w:p w14:paraId="3072CB2E" w14:textId="77777777" w:rsidR="004B1269" w:rsidRDefault="004B1269" w:rsidP="00D7702E">
            <w:pPr>
              <w:jc w:val="center"/>
              <w:rPr>
                <w:rFonts w:ascii="Calibri" w:hAnsi="Calibri"/>
                <w:b/>
                <w:i/>
                <w:sz w:val="20"/>
                <w:lang w:eastAsia="ja-JP"/>
              </w:rPr>
            </w:pPr>
            <w:r>
              <w:rPr>
                <w:rFonts w:ascii="Calibri" w:hAnsi="Calibri"/>
                <w:b/>
                <w:i/>
                <w:sz w:val="20"/>
                <w:lang w:eastAsia="ja-JP"/>
              </w:rPr>
              <w:t>HCOs</w:t>
            </w:r>
          </w:p>
        </w:tc>
        <w:tc>
          <w:tcPr>
            <w:tcW w:w="1559" w:type="dxa"/>
            <w:shd w:val="clear" w:color="auto" w:fill="C0C0C0"/>
            <w:vAlign w:val="center"/>
          </w:tcPr>
          <w:p w14:paraId="3EE974B5" w14:textId="77777777" w:rsidR="004B1269" w:rsidRDefault="004B1269" w:rsidP="00D7702E">
            <w:pPr>
              <w:jc w:val="center"/>
              <w:rPr>
                <w:rFonts w:ascii="Calibri" w:hAnsi="Calibri"/>
                <w:b/>
                <w:i/>
                <w:sz w:val="20"/>
                <w:lang w:eastAsia="ja-JP"/>
              </w:rPr>
            </w:pPr>
            <w:r>
              <w:rPr>
                <w:rFonts w:ascii="Calibri" w:hAnsi="Calibri"/>
                <w:b/>
                <w:i/>
                <w:sz w:val="20"/>
                <w:lang w:eastAsia="ja-JP"/>
              </w:rPr>
              <w:t>HFOs</w:t>
            </w:r>
          </w:p>
        </w:tc>
        <w:tc>
          <w:tcPr>
            <w:tcW w:w="1276" w:type="dxa"/>
            <w:shd w:val="clear" w:color="auto" w:fill="C0C0C0"/>
            <w:vAlign w:val="center"/>
          </w:tcPr>
          <w:p w14:paraId="1D2F2B28" w14:textId="77777777" w:rsidR="004B1269" w:rsidRDefault="004B1269" w:rsidP="00D7702E">
            <w:pPr>
              <w:jc w:val="center"/>
              <w:rPr>
                <w:rFonts w:ascii="Calibri" w:hAnsi="Calibri"/>
                <w:b/>
                <w:i/>
                <w:sz w:val="20"/>
                <w:lang w:eastAsia="ja-JP"/>
              </w:rPr>
            </w:pPr>
            <w:r>
              <w:rPr>
                <w:rFonts w:ascii="Calibri" w:hAnsi="Calibri"/>
                <w:b/>
                <w:i/>
                <w:sz w:val="20"/>
                <w:lang w:eastAsia="ja-JP"/>
              </w:rPr>
              <w:t>CO</w:t>
            </w:r>
            <w:r>
              <w:rPr>
                <w:rFonts w:ascii="Calibri" w:hAnsi="Calibri"/>
                <w:b/>
                <w:i/>
                <w:sz w:val="20"/>
                <w:vertAlign w:val="subscript"/>
                <w:lang w:eastAsia="ja-JP"/>
              </w:rPr>
              <w:t>2</w:t>
            </w:r>
            <w:r>
              <w:rPr>
                <w:rFonts w:ascii="Calibri" w:hAnsi="Calibri"/>
                <w:b/>
                <w:i/>
                <w:sz w:val="20"/>
                <w:lang w:eastAsia="ja-JP"/>
              </w:rPr>
              <w:t>-based</w:t>
            </w:r>
          </w:p>
        </w:tc>
      </w:tr>
      <w:tr w:rsidR="004B1269" w14:paraId="11A199F2" w14:textId="77777777" w:rsidTr="00D7702E">
        <w:trPr>
          <w:trHeight w:hRule="exact" w:val="227"/>
        </w:trPr>
        <w:tc>
          <w:tcPr>
            <w:tcW w:w="1384" w:type="dxa"/>
          </w:tcPr>
          <w:p w14:paraId="0CDCDF6E" w14:textId="77777777" w:rsidR="004B1269" w:rsidRDefault="004B1269" w:rsidP="00D7702E">
            <w:pPr>
              <w:rPr>
                <w:lang w:eastAsia="ja-JP"/>
              </w:rPr>
            </w:pPr>
          </w:p>
        </w:tc>
        <w:tc>
          <w:tcPr>
            <w:tcW w:w="1701" w:type="dxa"/>
            <w:gridSpan w:val="2"/>
            <w:vAlign w:val="center"/>
          </w:tcPr>
          <w:p w14:paraId="10744446" w14:textId="77777777" w:rsidR="004B1269" w:rsidRDefault="004B1269" w:rsidP="00D7702E">
            <w:pPr>
              <w:jc w:val="center"/>
              <w:rPr>
                <w:rFonts w:ascii="Calibri" w:hAnsi="Calibri"/>
                <w:i/>
                <w:sz w:val="18"/>
                <w:lang w:eastAsia="ja-JP"/>
              </w:rPr>
            </w:pPr>
            <w:r>
              <w:rPr>
                <w:rFonts w:ascii="Calibri" w:hAnsi="Calibri"/>
                <w:i/>
                <w:sz w:val="18"/>
                <w:lang w:eastAsia="ja-JP"/>
              </w:rPr>
              <w:t>ODS being replaced</w:t>
            </w:r>
          </w:p>
        </w:tc>
        <w:tc>
          <w:tcPr>
            <w:tcW w:w="1559" w:type="dxa"/>
          </w:tcPr>
          <w:p w14:paraId="576BE594" w14:textId="77777777" w:rsidR="004B1269" w:rsidRDefault="004B1269" w:rsidP="00D7702E">
            <w:pPr>
              <w:jc w:val="center"/>
              <w:rPr>
                <w:lang w:eastAsia="ja-JP"/>
              </w:rPr>
            </w:pPr>
          </w:p>
        </w:tc>
        <w:tc>
          <w:tcPr>
            <w:tcW w:w="1418" w:type="dxa"/>
            <w:vAlign w:val="center"/>
          </w:tcPr>
          <w:p w14:paraId="615348CA" w14:textId="77777777" w:rsidR="004B1269" w:rsidRDefault="004B1269" w:rsidP="00D7702E">
            <w:pPr>
              <w:rPr>
                <w:lang w:eastAsia="ja-JP"/>
              </w:rPr>
            </w:pPr>
          </w:p>
        </w:tc>
        <w:tc>
          <w:tcPr>
            <w:tcW w:w="850" w:type="dxa"/>
          </w:tcPr>
          <w:p w14:paraId="531C480C" w14:textId="77777777" w:rsidR="004B1269" w:rsidRDefault="004B1269" w:rsidP="00D7702E">
            <w:pPr>
              <w:jc w:val="center"/>
              <w:rPr>
                <w:lang w:eastAsia="ja-JP"/>
              </w:rPr>
            </w:pPr>
          </w:p>
        </w:tc>
        <w:tc>
          <w:tcPr>
            <w:tcW w:w="1559" w:type="dxa"/>
          </w:tcPr>
          <w:p w14:paraId="7F04C5F4" w14:textId="77777777" w:rsidR="004B1269" w:rsidRDefault="004B1269" w:rsidP="00D7702E">
            <w:pPr>
              <w:jc w:val="center"/>
              <w:rPr>
                <w:lang w:eastAsia="ja-JP"/>
              </w:rPr>
            </w:pPr>
          </w:p>
        </w:tc>
        <w:tc>
          <w:tcPr>
            <w:tcW w:w="1276" w:type="dxa"/>
          </w:tcPr>
          <w:p w14:paraId="752B1A6C" w14:textId="77777777" w:rsidR="004B1269" w:rsidRDefault="004B1269" w:rsidP="00D7702E">
            <w:pPr>
              <w:jc w:val="center"/>
              <w:rPr>
                <w:lang w:eastAsia="ja-JP"/>
              </w:rPr>
            </w:pPr>
          </w:p>
        </w:tc>
      </w:tr>
      <w:tr w:rsidR="004B1269" w14:paraId="7F5554DA" w14:textId="77777777" w:rsidTr="00D7702E">
        <w:tc>
          <w:tcPr>
            <w:tcW w:w="1384" w:type="dxa"/>
            <w:vAlign w:val="center"/>
          </w:tcPr>
          <w:p w14:paraId="7F9BA45D" w14:textId="77777777" w:rsidR="004B1269" w:rsidRDefault="004B1269" w:rsidP="00D7702E">
            <w:pPr>
              <w:rPr>
                <w:rFonts w:ascii="Calibri" w:hAnsi="Calibri"/>
                <w:b/>
                <w:sz w:val="16"/>
                <w:lang w:eastAsia="ja-JP"/>
              </w:rPr>
            </w:pPr>
            <w:r>
              <w:rPr>
                <w:rFonts w:ascii="Calibri" w:hAnsi="Calibri"/>
                <w:b/>
                <w:sz w:val="16"/>
                <w:lang w:eastAsia="ja-JP"/>
              </w:rPr>
              <w:t>PU Appliances</w:t>
            </w:r>
          </w:p>
        </w:tc>
        <w:tc>
          <w:tcPr>
            <w:tcW w:w="709" w:type="dxa"/>
            <w:vAlign w:val="center"/>
          </w:tcPr>
          <w:p w14:paraId="10FD809E"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683BF88D" w14:textId="77777777" w:rsidR="004B1269" w:rsidRDefault="004B1269" w:rsidP="00D7702E">
            <w:pPr>
              <w:rPr>
                <w:rFonts w:ascii="Calibri" w:hAnsi="Calibri"/>
                <w:sz w:val="16"/>
                <w:lang w:eastAsia="ja-JP"/>
              </w:rPr>
            </w:pPr>
            <w:r>
              <w:rPr>
                <w:rFonts w:ascii="Calibri" w:hAnsi="Calibri"/>
                <w:sz w:val="16"/>
                <w:lang w:eastAsia="ja-JP"/>
              </w:rPr>
              <w:t>HCFC-141b</w:t>
            </w:r>
          </w:p>
          <w:p w14:paraId="5FBB1A2E" w14:textId="77777777" w:rsidR="004B1269" w:rsidRDefault="004B1269" w:rsidP="00D7702E">
            <w:pPr>
              <w:rPr>
                <w:rFonts w:ascii="Calibri" w:hAnsi="Calibri"/>
                <w:sz w:val="16"/>
                <w:lang w:eastAsia="ja-JP"/>
              </w:rPr>
            </w:pPr>
            <w:r>
              <w:rPr>
                <w:rFonts w:ascii="Calibri" w:hAnsi="Calibri"/>
                <w:sz w:val="16"/>
                <w:lang w:eastAsia="ja-JP"/>
              </w:rPr>
              <w:t>HCFC-22</w:t>
            </w:r>
          </w:p>
        </w:tc>
        <w:tc>
          <w:tcPr>
            <w:tcW w:w="1559" w:type="dxa"/>
            <w:vAlign w:val="center"/>
          </w:tcPr>
          <w:p w14:paraId="27E83233" w14:textId="77777777" w:rsidR="004B1269" w:rsidRDefault="004B1269" w:rsidP="00D7702E">
            <w:pPr>
              <w:rPr>
                <w:rFonts w:ascii="Calibri" w:hAnsi="Calibri"/>
                <w:sz w:val="16"/>
                <w:lang w:eastAsia="ja-JP"/>
              </w:rPr>
            </w:pPr>
            <w:r>
              <w:rPr>
                <w:rFonts w:ascii="Calibri" w:hAnsi="Calibri"/>
                <w:sz w:val="16"/>
                <w:lang w:eastAsia="ja-JP"/>
              </w:rPr>
              <w:t>HFC-245fa</w:t>
            </w:r>
          </w:p>
          <w:p w14:paraId="11DAA00D" w14:textId="77777777" w:rsidR="004B1269" w:rsidRDefault="004B1269" w:rsidP="00D7702E">
            <w:pPr>
              <w:rPr>
                <w:rFonts w:ascii="Calibri" w:hAnsi="Calibri"/>
                <w:sz w:val="16"/>
                <w:lang w:eastAsia="ja-JP"/>
              </w:rPr>
            </w:pPr>
            <w:r>
              <w:rPr>
                <w:rFonts w:ascii="Calibri" w:hAnsi="Calibri"/>
                <w:sz w:val="16"/>
                <w:lang w:eastAsia="ja-JP"/>
              </w:rPr>
              <w:t>HFC-365mfc/227ea</w:t>
            </w:r>
          </w:p>
        </w:tc>
        <w:tc>
          <w:tcPr>
            <w:tcW w:w="1418" w:type="dxa"/>
            <w:vAlign w:val="center"/>
          </w:tcPr>
          <w:p w14:paraId="0B3ADE2E" w14:textId="77777777" w:rsidR="004B1269" w:rsidRDefault="004B1269" w:rsidP="00D7702E">
            <w:pPr>
              <w:rPr>
                <w:rFonts w:ascii="Calibri" w:hAnsi="Calibri"/>
                <w:sz w:val="16"/>
                <w:lang w:eastAsia="ja-JP"/>
              </w:rPr>
            </w:pPr>
            <w:proofErr w:type="spellStart"/>
            <w:r>
              <w:rPr>
                <w:rFonts w:ascii="Calibri" w:hAnsi="Calibri"/>
                <w:sz w:val="16"/>
                <w:lang w:eastAsia="ja-JP"/>
              </w:rPr>
              <w:t>cyclo</w:t>
            </w:r>
            <w:proofErr w:type="spellEnd"/>
            <w:r>
              <w:rPr>
                <w:rFonts w:ascii="Calibri" w:hAnsi="Calibri"/>
                <w:sz w:val="16"/>
                <w:lang w:eastAsia="ja-JP"/>
              </w:rPr>
              <w:t>-pentane</w:t>
            </w:r>
          </w:p>
          <w:p w14:paraId="6C6A3AD0" w14:textId="77777777" w:rsidR="004B1269" w:rsidRDefault="004B1269" w:rsidP="00D7702E">
            <w:pPr>
              <w:rPr>
                <w:rFonts w:ascii="Calibri" w:hAnsi="Calibri"/>
                <w:sz w:val="16"/>
                <w:lang w:eastAsia="ja-JP"/>
              </w:rPr>
            </w:pPr>
            <w:proofErr w:type="spellStart"/>
            <w:r>
              <w:rPr>
                <w:rFonts w:ascii="Calibri" w:hAnsi="Calibri"/>
                <w:sz w:val="16"/>
                <w:lang w:eastAsia="ja-JP"/>
              </w:rPr>
              <w:t>cyclo</w:t>
            </w:r>
            <w:proofErr w:type="spellEnd"/>
            <w:r>
              <w:rPr>
                <w:rFonts w:ascii="Calibri" w:hAnsi="Calibri"/>
                <w:sz w:val="16"/>
                <w:lang w:eastAsia="ja-JP"/>
              </w:rPr>
              <w:t>/</w:t>
            </w:r>
            <w:proofErr w:type="spellStart"/>
            <w:r>
              <w:rPr>
                <w:rFonts w:ascii="Calibri" w:hAnsi="Calibri"/>
                <w:sz w:val="16"/>
                <w:lang w:eastAsia="ja-JP"/>
              </w:rPr>
              <w:t>iso</w:t>
            </w:r>
            <w:proofErr w:type="spellEnd"/>
            <w:r>
              <w:rPr>
                <w:rFonts w:ascii="Calibri" w:hAnsi="Calibri"/>
                <w:sz w:val="16"/>
                <w:lang w:eastAsia="ja-JP"/>
              </w:rPr>
              <w:t>-pentane</w:t>
            </w:r>
          </w:p>
        </w:tc>
        <w:tc>
          <w:tcPr>
            <w:tcW w:w="850" w:type="dxa"/>
            <w:vAlign w:val="center"/>
          </w:tcPr>
          <w:p w14:paraId="425F2EEE" w14:textId="77777777" w:rsidR="004B1269" w:rsidRDefault="004B1269" w:rsidP="00D7702E">
            <w:pPr>
              <w:rPr>
                <w:rFonts w:ascii="Calibri" w:hAnsi="Calibri"/>
                <w:sz w:val="16"/>
                <w:lang w:eastAsia="ja-JP"/>
              </w:rPr>
            </w:pPr>
            <w:proofErr w:type="spellStart"/>
            <w:r>
              <w:rPr>
                <w:rFonts w:ascii="Calibri" w:hAnsi="Calibri"/>
                <w:sz w:val="16"/>
                <w:lang w:eastAsia="ja-JP"/>
              </w:rPr>
              <w:t>Methyl</w:t>
            </w:r>
            <w:r>
              <w:rPr>
                <w:rFonts w:ascii="Calibri" w:hAnsi="Calibri"/>
                <w:sz w:val="16"/>
                <w:vertAlign w:val="superscript"/>
                <w:lang w:eastAsia="ja-JP"/>
              </w:rPr>
              <w:t>Δ</w:t>
            </w:r>
            <w:proofErr w:type="spellEnd"/>
            <w:r>
              <w:rPr>
                <w:rFonts w:ascii="Calibri" w:hAnsi="Calibri"/>
                <w:sz w:val="16"/>
                <w:lang w:eastAsia="ja-JP"/>
              </w:rPr>
              <w:t xml:space="preserve"> </w:t>
            </w:r>
            <w:proofErr w:type="spellStart"/>
            <w:r>
              <w:rPr>
                <w:rFonts w:ascii="Calibri" w:hAnsi="Calibri"/>
                <w:sz w:val="16"/>
                <w:lang w:eastAsia="ja-JP"/>
              </w:rPr>
              <w:t>Formate</w:t>
            </w:r>
            <w:proofErr w:type="spellEnd"/>
          </w:p>
        </w:tc>
        <w:tc>
          <w:tcPr>
            <w:tcW w:w="1559" w:type="dxa"/>
            <w:vAlign w:val="center"/>
          </w:tcPr>
          <w:p w14:paraId="5898338E" w14:textId="77777777" w:rsidR="004B1269" w:rsidRDefault="004B1269" w:rsidP="00D7702E">
            <w:pPr>
              <w:rPr>
                <w:rFonts w:ascii="Calibri" w:hAnsi="Calibri"/>
                <w:sz w:val="16"/>
                <w:lang w:eastAsia="ja-JP"/>
              </w:rPr>
            </w:pPr>
            <w:r>
              <w:rPr>
                <w:rFonts w:ascii="Calibri" w:hAnsi="Calibri"/>
                <w:sz w:val="16"/>
                <w:lang w:eastAsia="ja-JP"/>
              </w:rPr>
              <w:t>HFO-1233zd(E)</w:t>
            </w:r>
          </w:p>
          <w:p w14:paraId="61FEB948" w14:textId="77777777" w:rsidR="004B1269" w:rsidRDefault="004B1269" w:rsidP="00D7702E">
            <w:pPr>
              <w:rPr>
                <w:rFonts w:ascii="Calibri" w:hAnsi="Calibri"/>
                <w:sz w:val="16"/>
                <w:lang w:eastAsia="ja-JP"/>
              </w:rPr>
            </w:pPr>
            <w:r>
              <w:rPr>
                <w:rFonts w:ascii="Calibri" w:hAnsi="Calibri"/>
                <w:sz w:val="16"/>
                <w:lang w:eastAsia="ja-JP"/>
              </w:rPr>
              <w:t>HFO-1336mzzm(Z)</w:t>
            </w:r>
          </w:p>
        </w:tc>
        <w:tc>
          <w:tcPr>
            <w:tcW w:w="1276" w:type="dxa"/>
            <w:vAlign w:val="center"/>
          </w:tcPr>
          <w:p w14:paraId="0416F22D" w14:textId="77777777" w:rsidR="004B1269" w:rsidRDefault="004B1269" w:rsidP="00D7702E">
            <w:pPr>
              <w:rPr>
                <w:rFonts w:ascii="Calibri" w:hAnsi="Calibri"/>
                <w:sz w:val="16"/>
                <w:lang w:eastAsia="ja-JP"/>
              </w:rPr>
            </w:pPr>
            <w:r>
              <w:rPr>
                <w:rFonts w:ascii="Calibri" w:hAnsi="Calibri"/>
                <w:sz w:val="16"/>
                <w:lang w:eastAsia="ja-JP"/>
              </w:rPr>
              <w:t>CO</w:t>
            </w:r>
            <w:r>
              <w:rPr>
                <w:rFonts w:ascii="Calibri" w:hAnsi="Calibri"/>
                <w:sz w:val="16"/>
                <w:vertAlign w:val="subscript"/>
                <w:lang w:eastAsia="ja-JP"/>
              </w:rPr>
              <w:t xml:space="preserve">2 </w:t>
            </w:r>
            <w:r>
              <w:rPr>
                <w:rFonts w:ascii="Calibri" w:hAnsi="Calibri"/>
                <w:sz w:val="16"/>
                <w:lang w:eastAsia="ja-JP"/>
              </w:rPr>
              <w:t>(water)*</w:t>
            </w:r>
            <w:r>
              <w:rPr>
                <w:rFonts w:ascii="Calibri" w:hAnsi="Calibri"/>
                <w:sz w:val="16"/>
                <w:vertAlign w:val="superscript"/>
                <w:lang w:eastAsia="ja-JP"/>
              </w:rPr>
              <w:t>Δ</w:t>
            </w:r>
          </w:p>
        </w:tc>
      </w:tr>
      <w:tr w:rsidR="004B1269" w14:paraId="38F893D1" w14:textId="77777777" w:rsidTr="00D7702E">
        <w:tc>
          <w:tcPr>
            <w:tcW w:w="1384" w:type="dxa"/>
            <w:vAlign w:val="center"/>
          </w:tcPr>
          <w:p w14:paraId="07A52B5B" w14:textId="77777777" w:rsidR="004B1269" w:rsidRDefault="004B1269" w:rsidP="00D7702E">
            <w:pPr>
              <w:rPr>
                <w:rFonts w:ascii="Calibri" w:hAnsi="Calibri"/>
                <w:b/>
                <w:sz w:val="16"/>
                <w:lang w:eastAsia="ja-JP"/>
              </w:rPr>
            </w:pPr>
            <w:r>
              <w:rPr>
                <w:rFonts w:ascii="Calibri" w:hAnsi="Calibri"/>
                <w:b/>
                <w:sz w:val="16"/>
                <w:lang w:eastAsia="ja-JP"/>
              </w:rPr>
              <w:t>PU Board</w:t>
            </w:r>
          </w:p>
        </w:tc>
        <w:tc>
          <w:tcPr>
            <w:tcW w:w="709" w:type="dxa"/>
            <w:vAlign w:val="center"/>
          </w:tcPr>
          <w:p w14:paraId="667CF4C8"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62C79BBC" w14:textId="77777777" w:rsidR="004B1269" w:rsidRDefault="004B1269" w:rsidP="00D7702E">
            <w:pPr>
              <w:rPr>
                <w:rFonts w:ascii="Calibri" w:hAnsi="Calibri"/>
                <w:sz w:val="16"/>
                <w:lang w:eastAsia="ja-JP"/>
              </w:rPr>
            </w:pPr>
            <w:r>
              <w:rPr>
                <w:rFonts w:ascii="Calibri" w:hAnsi="Calibri"/>
                <w:sz w:val="16"/>
                <w:lang w:eastAsia="ja-JP"/>
              </w:rPr>
              <w:t>HCFC-141b</w:t>
            </w:r>
          </w:p>
        </w:tc>
        <w:tc>
          <w:tcPr>
            <w:tcW w:w="1559" w:type="dxa"/>
            <w:vAlign w:val="center"/>
          </w:tcPr>
          <w:p w14:paraId="1EAE5789" w14:textId="77777777" w:rsidR="004B1269" w:rsidRDefault="004B1269" w:rsidP="00D7702E">
            <w:pPr>
              <w:rPr>
                <w:rFonts w:ascii="Calibri" w:hAnsi="Calibri"/>
                <w:sz w:val="16"/>
                <w:lang w:eastAsia="ja-JP"/>
              </w:rPr>
            </w:pPr>
            <w:r>
              <w:rPr>
                <w:rFonts w:ascii="Calibri" w:hAnsi="Calibri"/>
                <w:sz w:val="16"/>
                <w:lang w:eastAsia="ja-JP"/>
              </w:rPr>
              <w:t>HFC-365mfc/227ea</w:t>
            </w:r>
          </w:p>
        </w:tc>
        <w:tc>
          <w:tcPr>
            <w:tcW w:w="1418" w:type="dxa"/>
            <w:vAlign w:val="center"/>
          </w:tcPr>
          <w:p w14:paraId="2160ED40" w14:textId="77777777" w:rsidR="004B1269" w:rsidRDefault="004B1269" w:rsidP="00D7702E">
            <w:pPr>
              <w:rPr>
                <w:rFonts w:ascii="Calibri" w:hAnsi="Calibri"/>
                <w:sz w:val="16"/>
                <w:lang w:eastAsia="ja-JP"/>
              </w:rPr>
            </w:pPr>
            <w:r>
              <w:rPr>
                <w:rFonts w:ascii="Calibri" w:hAnsi="Calibri"/>
                <w:sz w:val="16"/>
                <w:lang w:eastAsia="ja-JP"/>
              </w:rPr>
              <w:t>n-pentane</w:t>
            </w:r>
          </w:p>
          <w:p w14:paraId="1E7A78DC" w14:textId="77777777" w:rsidR="004B1269" w:rsidRDefault="004B1269" w:rsidP="00D7702E">
            <w:pPr>
              <w:rPr>
                <w:rFonts w:ascii="Calibri" w:hAnsi="Calibri"/>
                <w:sz w:val="16"/>
                <w:lang w:eastAsia="ja-JP"/>
              </w:rPr>
            </w:pPr>
            <w:proofErr w:type="spellStart"/>
            <w:r>
              <w:rPr>
                <w:rFonts w:ascii="Calibri" w:hAnsi="Calibri"/>
                <w:sz w:val="16"/>
                <w:lang w:eastAsia="ja-JP"/>
              </w:rPr>
              <w:t>cyclo</w:t>
            </w:r>
            <w:proofErr w:type="spellEnd"/>
            <w:r>
              <w:rPr>
                <w:rFonts w:ascii="Calibri" w:hAnsi="Calibri"/>
                <w:sz w:val="16"/>
                <w:lang w:eastAsia="ja-JP"/>
              </w:rPr>
              <w:t>/</w:t>
            </w:r>
            <w:proofErr w:type="spellStart"/>
            <w:r>
              <w:rPr>
                <w:rFonts w:ascii="Calibri" w:hAnsi="Calibri"/>
                <w:sz w:val="16"/>
                <w:lang w:eastAsia="ja-JP"/>
              </w:rPr>
              <w:t>iso</w:t>
            </w:r>
            <w:proofErr w:type="spellEnd"/>
            <w:r>
              <w:rPr>
                <w:rFonts w:ascii="Calibri" w:hAnsi="Calibri"/>
                <w:sz w:val="16"/>
                <w:lang w:eastAsia="ja-JP"/>
              </w:rPr>
              <w:t xml:space="preserve"> pentane</w:t>
            </w:r>
          </w:p>
        </w:tc>
        <w:tc>
          <w:tcPr>
            <w:tcW w:w="850" w:type="dxa"/>
            <w:vAlign w:val="center"/>
          </w:tcPr>
          <w:p w14:paraId="5B7B43C5" w14:textId="77777777" w:rsidR="004B1269" w:rsidRDefault="004B1269" w:rsidP="00D7702E">
            <w:pPr>
              <w:rPr>
                <w:rFonts w:ascii="Calibri" w:hAnsi="Calibri"/>
                <w:sz w:val="16"/>
                <w:lang w:eastAsia="ja-JP"/>
              </w:rPr>
            </w:pPr>
          </w:p>
        </w:tc>
        <w:tc>
          <w:tcPr>
            <w:tcW w:w="1559" w:type="dxa"/>
            <w:vAlign w:val="center"/>
          </w:tcPr>
          <w:p w14:paraId="22E3D115" w14:textId="77777777" w:rsidR="004B1269" w:rsidRDefault="004B1269" w:rsidP="00D7702E">
            <w:pPr>
              <w:rPr>
                <w:rFonts w:ascii="Calibri" w:hAnsi="Calibri"/>
                <w:sz w:val="16"/>
                <w:lang w:eastAsia="ja-JP"/>
              </w:rPr>
            </w:pPr>
            <w:r>
              <w:rPr>
                <w:rFonts w:ascii="Calibri" w:hAnsi="Calibri"/>
                <w:sz w:val="16"/>
                <w:lang w:eastAsia="ja-JP"/>
              </w:rPr>
              <w:t>HFO-1233zd(E)</w:t>
            </w:r>
          </w:p>
          <w:p w14:paraId="18D8D76A" w14:textId="77777777" w:rsidR="004B1269" w:rsidRDefault="004B1269" w:rsidP="00D7702E">
            <w:pPr>
              <w:rPr>
                <w:rFonts w:ascii="Calibri" w:hAnsi="Calibri"/>
                <w:sz w:val="16"/>
                <w:lang w:eastAsia="ja-JP"/>
              </w:rPr>
            </w:pPr>
            <w:r>
              <w:rPr>
                <w:rFonts w:ascii="Calibri" w:hAnsi="Calibri"/>
                <w:sz w:val="16"/>
                <w:lang w:eastAsia="ja-JP"/>
              </w:rPr>
              <w:t>HFO-1336mzzm(Z)</w:t>
            </w:r>
          </w:p>
        </w:tc>
        <w:tc>
          <w:tcPr>
            <w:tcW w:w="1276" w:type="dxa"/>
            <w:vAlign w:val="center"/>
          </w:tcPr>
          <w:p w14:paraId="51CCCD9B" w14:textId="77777777" w:rsidR="004B1269" w:rsidRDefault="004B1269" w:rsidP="00D7702E">
            <w:pPr>
              <w:rPr>
                <w:rFonts w:ascii="Calibri" w:hAnsi="Calibri"/>
                <w:sz w:val="16"/>
                <w:lang w:eastAsia="ja-JP"/>
              </w:rPr>
            </w:pPr>
          </w:p>
        </w:tc>
      </w:tr>
      <w:tr w:rsidR="004B1269" w14:paraId="574AEC10" w14:textId="77777777" w:rsidTr="00D7702E">
        <w:tc>
          <w:tcPr>
            <w:tcW w:w="1384" w:type="dxa"/>
            <w:vAlign w:val="center"/>
          </w:tcPr>
          <w:p w14:paraId="334B90F8" w14:textId="77777777" w:rsidR="004B1269" w:rsidRDefault="004B1269" w:rsidP="00D7702E">
            <w:pPr>
              <w:rPr>
                <w:rFonts w:ascii="Calibri" w:hAnsi="Calibri"/>
                <w:b/>
                <w:sz w:val="16"/>
                <w:lang w:eastAsia="ja-JP"/>
              </w:rPr>
            </w:pPr>
            <w:r>
              <w:rPr>
                <w:rFonts w:ascii="Calibri" w:hAnsi="Calibri"/>
                <w:b/>
                <w:sz w:val="16"/>
                <w:lang w:eastAsia="ja-JP"/>
              </w:rPr>
              <w:t>PU Panel</w:t>
            </w:r>
          </w:p>
        </w:tc>
        <w:tc>
          <w:tcPr>
            <w:tcW w:w="709" w:type="dxa"/>
            <w:vAlign w:val="center"/>
          </w:tcPr>
          <w:p w14:paraId="75053DFA"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65278F63" w14:textId="77777777" w:rsidR="004B1269" w:rsidRDefault="004B1269" w:rsidP="00D7702E">
            <w:pPr>
              <w:rPr>
                <w:rFonts w:ascii="Calibri" w:hAnsi="Calibri"/>
                <w:sz w:val="16"/>
                <w:lang w:eastAsia="ja-JP"/>
              </w:rPr>
            </w:pPr>
            <w:r>
              <w:rPr>
                <w:rFonts w:ascii="Calibri" w:hAnsi="Calibri"/>
                <w:sz w:val="16"/>
                <w:lang w:eastAsia="ja-JP"/>
              </w:rPr>
              <w:t>HCFC-141b</w:t>
            </w:r>
          </w:p>
        </w:tc>
        <w:tc>
          <w:tcPr>
            <w:tcW w:w="1559" w:type="dxa"/>
            <w:vAlign w:val="center"/>
          </w:tcPr>
          <w:p w14:paraId="39B4B4A3" w14:textId="77777777" w:rsidR="004B1269" w:rsidRDefault="004B1269" w:rsidP="00D7702E">
            <w:pPr>
              <w:rPr>
                <w:rFonts w:ascii="Calibri" w:hAnsi="Calibri"/>
                <w:sz w:val="16"/>
                <w:lang w:eastAsia="ja-JP"/>
              </w:rPr>
            </w:pPr>
            <w:r>
              <w:rPr>
                <w:rFonts w:ascii="Calibri" w:hAnsi="Calibri"/>
                <w:sz w:val="16"/>
                <w:lang w:eastAsia="ja-JP"/>
              </w:rPr>
              <w:t>HFC-245fa</w:t>
            </w:r>
          </w:p>
          <w:p w14:paraId="6482ABBA" w14:textId="77777777" w:rsidR="004B1269" w:rsidRDefault="004B1269" w:rsidP="00D7702E">
            <w:pPr>
              <w:rPr>
                <w:rFonts w:ascii="Calibri" w:hAnsi="Calibri"/>
                <w:sz w:val="16"/>
                <w:lang w:eastAsia="ja-JP"/>
              </w:rPr>
            </w:pPr>
            <w:r>
              <w:rPr>
                <w:rFonts w:ascii="Calibri" w:hAnsi="Calibri"/>
                <w:sz w:val="16"/>
                <w:lang w:eastAsia="ja-JP"/>
              </w:rPr>
              <w:t>HFC-365mfc/227ea</w:t>
            </w:r>
          </w:p>
        </w:tc>
        <w:tc>
          <w:tcPr>
            <w:tcW w:w="1418" w:type="dxa"/>
            <w:vAlign w:val="center"/>
          </w:tcPr>
          <w:p w14:paraId="0402E899" w14:textId="77777777" w:rsidR="004B1269" w:rsidRDefault="004B1269" w:rsidP="00D7702E">
            <w:pPr>
              <w:rPr>
                <w:rFonts w:ascii="Calibri" w:hAnsi="Calibri"/>
                <w:sz w:val="16"/>
                <w:lang w:eastAsia="ja-JP"/>
              </w:rPr>
            </w:pPr>
            <w:r>
              <w:rPr>
                <w:rFonts w:ascii="Calibri" w:hAnsi="Calibri"/>
                <w:sz w:val="16"/>
                <w:lang w:eastAsia="ja-JP"/>
              </w:rPr>
              <w:t>n-pentane</w:t>
            </w:r>
          </w:p>
          <w:p w14:paraId="7EA1E9E1" w14:textId="0B16B648" w:rsidR="004B1269" w:rsidRDefault="004B1269" w:rsidP="00D7702E">
            <w:pPr>
              <w:rPr>
                <w:rFonts w:ascii="Calibri" w:hAnsi="Calibri"/>
                <w:sz w:val="16"/>
                <w:lang w:eastAsia="ja-JP"/>
              </w:rPr>
            </w:pPr>
            <w:r>
              <w:rPr>
                <w:rFonts w:ascii="Calibri" w:hAnsi="Calibri"/>
                <w:sz w:val="16"/>
                <w:lang w:eastAsia="ja-JP"/>
              </w:rPr>
              <w:t>/</w:t>
            </w:r>
            <w:proofErr w:type="spellStart"/>
            <w:r>
              <w:rPr>
                <w:rFonts w:ascii="Calibri" w:hAnsi="Calibri"/>
                <w:sz w:val="16"/>
                <w:lang w:eastAsia="ja-JP"/>
              </w:rPr>
              <w:t>iso</w:t>
            </w:r>
            <w:proofErr w:type="spellEnd"/>
            <w:r>
              <w:rPr>
                <w:rFonts w:ascii="Calibri" w:hAnsi="Calibri"/>
                <w:sz w:val="16"/>
                <w:lang w:eastAsia="ja-JP"/>
              </w:rPr>
              <w:t xml:space="preserve"> pentane</w:t>
            </w:r>
          </w:p>
        </w:tc>
        <w:tc>
          <w:tcPr>
            <w:tcW w:w="850" w:type="dxa"/>
            <w:vAlign w:val="center"/>
          </w:tcPr>
          <w:p w14:paraId="249654B3" w14:textId="77777777" w:rsidR="004B1269" w:rsidRDefault="004B1269" w:rsidP="00D7702E">
            <w:pPr>
              <w:rPr>
                <w:rFonts w:ascii="Calibri" w:hAnsi="Calibri"/>
                <w:sz w:val="16"/>
                <w:lang w:eastAsia="ja-JP"/>
              </w:rPr>
            </w:pPr>
          </w:p>
        </w:tc>
        <w:tc>
          <w:tcPr>
            <w:tcW w:w="1559" w:type="dxa"/>
            <w:vAlign w:val="center"/>
          </w:tcPr>
          <w:p w14:paraId="363C2986" w14:textId="77777777" w:rsidR="004B1269" w:rsidRDefault="004B1269" w:rsidP="00D7702E">
            <w:pPr>
              <w:rPr>
                <w:rFonts w:ascii="Calibri" w:hAnsi="Calibri"/>
                <w:sz w:val="16"/>
                <w:lang w:eastAsia="ja-JP"/>
              </w:rPr>
            </w:pPr>
            <w:r>
              <w:rPr>
                <w:rFonts w:ascii="Calibri" w:hAnsi="Calibri"/>
                <w:sz w:val="16"/>
                <w:lang w:eastAsia="ja-JP"/>
              </w:rPr>
              <w:t>HFO-1233zd(E)</w:t>
            </w:r>
          </w:p>
          <w:p w14:paraId="3D11D2FF" w14:textId="77777777" w:rsidR="004B1269" w:rsidRDefault="004B1269" w:rsidP="00D7702E">
            <w:pPr>
              <w:rPr>
                <w:rFonts w:ascii="Calibri" w:hAnsi="Calibri"/>
                <w:sz w:val="16"/>
                <w:lang w:eastAsia="ja-JP"/>
              </w:rPr>
            </w:pPr>
            <w:r>
              <w:rPr>
                <w:rFonts w:ascii="Calibri" w:hAnsi="Calibri"/>
                <w:sz w:val="16"/>
                <w:lang w:eastAsia="ja-JP"/>
              </w:rPr>
              <w:t>HFO-1336mzzm(Z)</w:t>
            </w:r>
          </w:p>
        </w:tc>
        <w:tc>
          <w:tcPr>
            <w:tcW w:w="1276" w:type="dxa"/>
            <w:vAlign w:val="center"/>
          </w:tcPr>
          <w:p w14:paraId="6FD847E4" w14:textId="77777777" w:rsidR="004B1269" w:rsidRDefault="004B1269" w:rsidP="00D7702E">
            <w:pPr>
              <w:rPr>
                <w:rFonts w:ascii="Calibri" w:hAnsi="Calibri"/>
                <w:sz w:val="16"/>
                <w:lang w:eastAsia="ja-JP"/>
              </w:rPr>
            </w:pPr>
            <w:r>
              <w:rPr>
                <w:rFonts w:ascii="Calibri" w:hAnsi="Calibri"/>
                <w:sz w:val="16"/>
                <w:lang w:eastAsia="ja-JP"/>
              </w:rPr>
              <w:t>CO</w:t>
            </w:r>
            <w:r>
              <w:rPr>
                <w:rFonts w:ascii="Calibri" w:hAnsi="Calibri"/>
                <w:sz w:val="16"/>
                <w:vertAlign w:val="subscript"/>
                <w:lang w:eastAsia="ja-JP"/>
              </w:rPr>
              <w:t xml:space="preserve">2 </w:t>
            </w:r>
            <w:r>
              <w:rPr>
                <w:rFonts w:ascii="Calibri" w:hAnsi="Calibri"/>
                <w:sz w:val="16"/>
                <w:lang w:eastAsia="ja-JP"/>
              </w:rPr>
              <w:t>(water)*</w:t>
            </w:r>
          </w:p>
        </w:tc>
      </w:tr>
      <w:tr w:rsidR="004B1269" w14:paraId="0606D2CF" w14:textId="77777777" w:rsidTr="00D7702E">
        <w:tc>
          <w:tcPr>
            <w:tcW w:w="1384" w:type="dxa"/>
            <w:vAlign w:val="center"/>
          </w:tcPr>
          <w:p w14:paraId="704F13ED" w14:textId="77777777" w:rsidR="004B1269" w:rsidRDefault="004B1269" w:rsidP="00D7702E">
            <w:pPr>
              <w:rPr>
                <w:rFonts w:ascii="Calibri" w:hAnsi="Calibri"/>
                <w:b/>
                <w:sz w:val="16"/>
                <w:lang w:eastAsia="ja-JP"/>
              </w:rPr>
            </w:pPr>
            <w:r>
              <w:rPr>
                <w:rFonts w:ascii="Calibri" w:hAnsi="Calibri"/>
                <w:b/>
                <w:sz w:val="16"/>
                <w:lang w:eastAsia="ja-JP"/>
              </w:rPr>
              <w:t>PU Spray</w:t>
            </w:r>
          </w:p>
        </w:tc>
        <w:tc>
          <w:tcPr>
            <w:tcW w:w="709" w:type="dxa"/>
            <w:vAlign w:val="center"/>
          </w:tcPr>
          <w:p w14:paraId="24BC5D71"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695972B8" w14:textId="77777777" w:rsidR="004B1269" w:rsidRDefault="004B1269" w:rsidP="00D7702E">
            <w:pPr>
              <w:rPr>
                <w:rFonts w:ascii="Calibri" w:hAnsi="Calibri"/>
                <w:sz w:val="16"/>
                <w:lang w:eastAsia="ja-JP"/>
              </w:rPr>
            </w:pPr>
            <w:r>
              <w:rPr>
                <w:rFonts w:ascii="Calibri" w:hAnsi="Calibri"/>
                <w:sz w:val="16"/>
                <w:lang w:eastAsia="ja-JP"/>
              </w:rPr>
              <w:t>HCFC-141b</w:t>
            </w:r>
          </w:p>
        </w:tc>
        <w:tc>
          <w:tcPr>
            <w:tcW w:w="1559" w:type="dxa"/>
            <w:vAlign w:val="center"/>
          </w:tcPr>
          <w:p w14:paraId="2792DF4D" w14:textId="77777777" w:rsidR="004B1269" w:rsidRDefault="004B1269" w:rsidP="00D7702E">
            <w:pPr>
              <w:rPr>
                <w:rFonts w:ascii="Calibri" w:hAnsi="Calibri"/>
                <w:sz w:val="16"/>
                <w:lang w:eastAsia="ja-JP"/>
              </w:rPr>
            </w:pPr>
            <w:r>
              <w:rPr>
                <w:rFonts w:ascii="Calibri" w:hAnsi="Calibri"/>
                <w:sz w:val="16"/>
                <w:lang w:eastAsia="ja-JP"/>
              </w:rPr>
              <w:t>HFC-245fa</w:t>
            </w:r>
          </w:p>
          <w:p w14:paraId="488D5A60" w14:textId="77777777" w:rsidR="004B1269" w:rsidRDefault="004B1269" w:rsidP="00D7702E">
            <w:pPr>
              <w:rPr>
                <w:rFonts w:ascii="Calibri" w:hAnsi="Calibri"/>
                <w:sz w:val="16"/>
                <w:lang w:eastAsia="ja-JP"/>
              </w:rPr>
            </w:pPr>
            <w:r>
              <w:rPr>
                <w:rFonts w:ascii="Calibri" w:hAnsi="Calibri"/>
                <w:sz w:val="16"/>
                <w:lang w:eastAsia="ja-JP"/>
              </w:rPr>
              <w:t>HFC-365mfc/227ea</w:t>
            </w:r>
          </w:p>
        </w:tc>
        <w:tc>
          <w:tcPr>
            <w:tcW w:w="1418" w:type="dxa"/>
            <w:vAlign w:val="center"/>
          </w:tcPr>
          <w:p w14:paraId="71D0E0B3" w14:textId="77777777" w:rsidR="004B1269" w:rsidRDefault="004B1269" w:rsidP="00D7702E">
            <w:pPr>
              <w:rPr>
                <w:rFonts w:ascii="Calibri" w:hAnsi="Calibri"/>
                <w:sz w:val="16"/>
                <w:lang w:eastAsia="ja-JP"/>
              </w:rPr>
            </w:pPr>
          </w:p>
        </w:tc>
        <w:tc>
          <w:tcPr>
            <w:tcW w:w="850" w:type="dxa"/>
            <w:vAlign w:val="center"/>
          </w:tcPr>
          <w:p w14:paraId="75492C55" w14:textId="77777777" w:rsidR="004B1269" w:rsidRDefault="004B1269" w:rsidP="00D7702E">
            <w:pPr>
              <w:rPr>
                <w:rFonts w:ascii="Calibri" w:hAnsi="Calibri"/>
                <w:sz w:val="16"/>
                <w:lang w:eastAsia="ja-JP"/>
              </w:rPr>
            </w:pPr>
          </w:p>
        </w:tc>
        <w:tc>
          <w:tcPr>
            <w:tcW w:w="1559" w:type="dxa"/>
            <w:vAlign w:val="center"/>
          </w:tcPr>
          <w:p w14:paraId="1336BC15" w14:textId="77777777" w:rsidR="004B1269" w:rsidRDefault="004B1269" w:rsidP="00D7702E">
            <w:pPr>
              <w:rPr>
                <w:rFonts w:ascii="Calibri" w:hAnsi="Calibri"/>
                <w:sz w:val="16"/>
                <w:lang w:eastAsia="ja-JP"/>
              </w:rPr>
            </w:pPr>
            <w:r>
              <w:rPr>
                <w:rFonts w:ascii="Calibri" w:hAnsi="Calibri"/>
                <w:sz w:val="16"/>
                <w:lang w:eastAsia="ja-JP"/>
              </w:rPr>
              <w:t>HFO-1233zd(E)</w:t>
            </w:r>
          </w:p>
          <w:p w14:paraId="35DA2734" w14:textId="77777777" w:rsidR="004B1269" w:rsidRDefault="004B1269" w:rsidP="00D7702E">
            <w:pPr>
              <w:rPr>
                <w:rFonts w:ascii="Calibri" w:hAnsi="Calibri"/>
                <w:sz w:val="16"/>
                <w:lang w:eastAsia="ja-JP"/>
              </w:rPr>
            </w:pPr>
            <w:r>
              <w:rPr>
                <w:rFonts w:ascii="Calibri" w:hAnsi="Calibri"/>
                <w:sz w:val="16"/>
                <w:lang w:eastAsia="ja-JP"/>
              </w:rPr>
              <w:t>HFO-1336mzzm(Z)</w:t>
            </w:r>
          </w:p>
        </w:tc>
        <w:tc>
          <w:tcPr>
            <w:tcW w:w="1276" w:type="dxa"/>
            <w:vAlign w:val="center"/>
          </w:tcPr>
          <w:p w14:paraId="0D1ECADD" w14:textId="77777777" w:rsidR="004B1269" w:rsidRDefault="004B1269" w:rsidP="00D7702E">
            <w:pPr>
              <w:rPr>
                <w:rFonts w:ascii="Calibri" w:hAnsi="Calibri"/>
                <w:sz w:val="16"/>
                <w:lang w:eastAsia="ja-JP"/>
              </w:rPr>
            </w:pPr>
            <w:r>
              <w:rPr>
                <w:rFonts w:ascii="Calibri" w:hAnsi="Calibri"/>
                <w:sz w:val="16"/>
                <w:lang w:eastAsia="ja-JP"/>
              </w:rPr>
              <w:t>CO</w:t>
            </w:r>
            <w:r>
              <w:rPr>
                <w:rFonts w:ascii="Calibri" w:hAnsi="Calibri"/>
                <w:sz w:val="16"/>
                <w:vertAlign w:val="subscript"/>
                <w:lang w:eastAsia="ja-JP"/>
              </w:rPr>
              <w:t xml:space="preserve">2 </w:t>
            </w:r>
            <w:r>
              <w:rPr>
                <w:rFonts w:ascii="Calibri" w:hAnsi="Calibri"/>
                <w:sz w:val="16"/>
                <w:lang w:eastAsia="ja-JP"/>
              </w:rPr>
              <w:t>(water)*</w:t>
            </w:r>
          </w:p>
          <w:p w14:paraId="71593302" w14:textId="77777777" w:rsidR="004B1269" w:rsidRDefault="004B1269" w:rsidP="00D7702E">
            <w:pPr>
              <w:rPr>
                <w:rFonts w:ascii="Calibri" w:hAnsi="Calibri"/>
                <w:sz w:val="16"/>
                <w:vertAlign w:val="subscript"/>
                <w:lang w:eastAsia="ja-JP"/>
              </w:rPr>
            </w:pPr>
            <w:r>
              <w:rPr>
                <w:rFonts w:ascii="Calibri" w:hAnsi="Calibri"/>
                <w:sz w:val="16"/>
                <w:lang w:eastAsia="ja-JP"/>
              </w:rPr>
              <w:t>Super-critical CO</w:t>
            </w:r>
            <w:r>
              <w:rPr>
                <w:rFonts w:ascii="Calibri" w:hAnsi="Calibri"/>
                <w:sz w:val="16"/>
                <w:vertAlign w:val="subscript"/>
                <w:lang w:eastAsia="ja-JP"/>
              </w:rPr>
              <w:t>2</w:t>
            </w:r>
          </w:p>
        </w:tc>
      </w:tr>
      <w:tr w:rsidR="004B1269" w14:paraId="3FD96795" w14:textId="77777777" w:rsidTr="00D7702E">
        <w:tc>
          <w:tcPr>
            <w:tcW w:w="1384" w:type="dxa"/>
            <w:vAlign w:val="center"/>
          </w:tcPr>
          <w:p w14:paraId="4ED20512" w14:textId="77777777" w:rsidR="004B1269" w:rsidRDefault="004B1269" w:rsidP="00D7702E">
            <w:pPr>
              <w:rPr>
                <w:rFonts w:ascii="Calibri" w:hAnsi="Calibri"/>
                <w:b/>
                <w:sz w:val="16"/>
                <w:lang w:eastAsia="ja-JP"/>
              </w:rPr>
            </w:pPr>
            <w:r>
              <w:rPr>
                <w:rFonts w:ascii="Calibri" w:hAnsi="Calibri"/>
                <w:b/>
                <w:sz w:val="16"/>
                <w:lang w:eastAsia="ja-JP"/>
              </w:rPr>
              <w:t>PU In-situ/Block</w:t>
            </w:r>
          </w:p>
        </w:tc>
        <w:tc>
          <w:tcPr>
            <w:tcW w:w="709" w:type="dxa"/>
            <w:vAlign w:val="center"/>
          </w:tcPr>
          <w:p w14:paraId="6A197461"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6D929C34" w14:textId="77777777" w:rsidR="004B1269" w:rsidRDefault="004B1269" w:rsidP="00D7702E">
            <w:pPr>
              <w:rPr>
                <w:rFonts w:ascii="Calibri" w:hAnsi="Calibri"/>
                <w:sz w:val="16"/>
                <w:lang w:eastAsia="ja-JP"/>
              </w:rPr>
            </w:pPr>
            <w:r>
              <w:rPr>
                <w:rFonts w:ascii="Calibri" w:hAnsi="Calibri"/>
                <w:sz w:val="16"/>
                <w:lang w:eastAsia="ja-JP"/>
              </w:rPr>
              <w:t>HCFC-141b</w:t>
            </w:r>
          </w:p>
        </w:tc>
        <w:tc>
          <w:tcPr>
            <w:tcW w:w="1559" w:type="dxa"/>
            <w:vAlign w:val="center"/>
          </w:tcPr>
          <w:p w14:paraId="2C7F7778" w14:textId="77777777" w:rsidR="004B1269" w:rsidRDefault="004B1269" w:rsidP="00D7702E">
            <w:pPr>
              <w:rPr>
                <w:rFonts w:ascii="Calibri" w:hAnsi="Calibri"/>
                <w:sz w:val="16"/>
                <w:lang w:eastAsia="ja-JP"/>
              </w:rPr>
            </w:pPr>
            <w:r>
              <w:rPr>
                <w:rFonts w:ascii="Calibri" w:hAnsi="Calibri"/>
                <w:sz w:val="16"/>
                <w:lang w:eastAsia="ja-JP"/>
              </w:rPr>
              <w:t>HFC-245fa</w:t>
            </w:r>
          </w:p>
          <w:p w14:paraId="311704BF" w14:textId="77777777" w:rsidR="004B1269" w:rsidRDefault="004B1269" w:rsidP="00D7702E">
            <w:pPr>
              <w:rPr>
                <w:rFonts w:ascii="Calibri" w:hAnsi="Calibri"/>
                <w:sz w:val="16"/>
                <w:lang w:eastAsia="ja-JP"/>
              </w:rPr>
            </w:pPr>
            <w:r>
              <w:rPr>
                <w:rFonts w:ascii="Calibri" w:hAnsi="Calibri"/>
                <w:sz w:val="16"/>
                <w:lang w:eastAsia="ja-JP"/>
              </w:rPr>
              <w:t>HFC-365mfc/227ea</w:t>
            </w:r>
          </w:p>
        </w:tc>
        <w:tc>
          <w:tcPr>
            <w:tcW w:w="1418" w:type="dxa"/>
            <w:vAlign w:val="center"/>
          </w:tcPr>
          <w:p w14:paraId="5B1DD82B" w14:textId="77777777" w:rsidR="004B1269" w:rsidRDefault="004B1269" w:rsidP="00D7702E">
            <w:pPr>
              <w:rPr>
                <w:rFonts w:ascii="Calibri" w:hAnsi="Calibri"/>
                <w:sz w:val="16"/>
                <w:lang w:eastAsia="ja-JP"/>
              </w:rPr>
            </w:pPr>
            <w:r>
              <w:rPr>
                <w:rFonts w:ascii="Calibri" w:hAnsi="Calibri"/>
                <w:sz w:val="16"/>
                <w:lang w:eastAsia="ja-JP"/>
              </w:rPr>
              <w:t>n-pentane</w:t>
            </w:r>
          </w:p>
          <w:p w14:paraId="22FAE016" w14:textId="77777777" w:rsidR="004B1269" w:rsidRDefault="004B1269" w:rsidP="00D7702E">
            <w:pPr>
              <w:rPr>
                <w:rFonts w:ascii="Calibri" w:hAnsi="Calibri"/>
                <w:sz w:val="16"/>
                <w:lang w:eastAsia="ja-JP"/>
              </w:rPr>
            </w:pPr>
            <w:proofErr w:type="spellStart"/>
            <w:r>
              <w:rPr>
                <w:rFonts w:ascii="Calibri" w:hAnsi="Calibri"/>
                <w:sz w:val="16"/>
                <w:lang w:eastAsia="ja-JP"/>
              </w:rPr>
              <w:t>cyclo</w:t>
            </w:r>
            <w:proofErr w:type="spellEnd"/>
            <w:r>
              <w:rPr>
                <w:rFonts w:ascii="Calibri" w:hAnsi="Calibri"/>
                <w:sz w:val="16"/>
                <w:lang w:eastAsia="ja-JP"/>
              </w:rPr>
              <w:t>/</w:t>
            </w:r>
            <w:proofErr w:type="spellStart"/>
            <w:r>
              <w:rPr>
                <w:rFonts w:ascii="Calibri" w:hAnsi="Calibri"/>
                <w:sz w:val="16"/>
                <w:lang w:eastAsia="ja-JP"/>
              </w:rPr>
              <w:t>iso</w:t>
            </w:r>
            <w:proofErr w:type="spellEnd"/>
            <w:r>
              <w:rPr>
                <w:rFonts w:ascii="Calibri" w:hAnsi="Calibri"/>
                <w:sz w:val="16"/>
                <w:lang w:eastAsia="ja-JP"/>
              </w:rPr>
              <w:t xml:space="preserve"> pentane</w:t>
            </w:r>
          </w:p>
        </w:tc>
        <w:tc>
          <w:tcPr>
            <w:tcW w:w="850" w:type="dxa"/>
            <w:vAlign w:val="center"/>
          </w:tcPr>
          <w:p w14:paraId="0D736624" w14:textId="77777777" w:rsidR="004B1269" w:rsidRDefault="004B1269" w:rsidP="00D7702E">
            <w:pPr>
              <w:rPr>
                <w:rFonts w:ascii="Calibri" w:hAnsi="Calibri"/>
                <w:sz w:val="16"/>
                <w:lang w:eastAsia="ja-JP"/>
              </w:rPr>
            </w:pPr>
          </w:p>
        </w:tc>
        <w:tc>
          <w:tcPr>
            <w:tcW w:w="1559" w:type="dxa"/>
            <w:vAlign w:val="center"/>
          </w:tcPr>
          <w:p w14:paraId="1F2224C2" w14:textId="77777777" w:rsidR="004B1269" w:rsidRDefault="004B1269" w:rsidP="00D7702E">
            <w:pPr>
              <w:rPr>
                <w:rFonts w:ascii="Calibri" w:hAnsi="Calibri"/>
                <w:sz w:val="16"/>
                <w:lang w:eastAsia="ja-JP"/>
              </w:rPr>
            </w:pPr>
            <w:r>
              <w:rPr>
                <w:rFonts w:ascii="Calibri" w:hAnsi="Calibri"/>
                <w:sz w:val="16"/>
                <w:lang w:eastAsia="ja-JP"/>
              </w:rPr>
              <w:t>HFO-1233zd(E)</w:t>
            </w:r>
          </w:p>
          <w:p w14:paraId="7BE8EA5C" w14:textId="77777777" w:rsidR="004B1269" w:rsidRDefault="004B1269" w:rsidP="00D7702E">
            <w:pPr>
              <w:rPr>
                <w:rFonts w:ascii="Calibri" w:hAnsi="Calibri"/>
                <w:sz w:val="16"/>
                <w:lang w:eastAsia="ja-JP"/>
              </w:rPr>
            </w:pPr>
            <w:r>
              <w:rPr>
                <w:rFonts w:ascii="Calibri" w:hAnsi="Calibri"/>
                <w:sz w:val="16"/>
                <w:lang w:eastAsia="ja-JP"/>
              </w:rPr>
              <w:t>HFO-1336mzzm(Z)</w:t>
            </w:r>
          </w:p>
        </w:tc>
        <w:tc>
          <w:tcPr>
            <w:tcW w:w="1276" w:type="dxa"/>
            <w:vAlign w:val="center"/>
          </w:tcPr>
          <w:p w14:paraId="3173BAFE" w14:textId="77777777" w:rsidR="004B1269" w:rsidRDefault="004B1269" w:rsidP="00D7702E">
            <w:pPr>
              <w:rPr>
                <w:rFonts w:ascii="Calibri" w:hAnsi="Calibri"/>
                <w:sz w:val="16"/>
                <w:lang w:eastAsia="ja-JP"/>
              </w:rPr>
            </w:pPr>
            <w:r>
              <w:rPr>
                <w:rFonts w:ascii="Calibri" w:hAnsi="Calibri"/>
                <w:sz w:val="16"/>
                <w:lang w:eastAsia="ja-JP"/>
              </w:rPr>
              <w:t>CO</w:t>
            </w:r>
            <w:r>
              <w:rPr>
                <w:rFonts w:ascii="Calibri" w:hAnsi="Calibri"/>
                <w:sz w:val="16"/>
                <w:vertAlign w:val="subscript"/>
                <w:lang w:eastAsia="ja-JP"/>
              </w:rPr>
              <w:t xml:space="preserve">2 </w:t>
            </w:r>
            <w:r>
              <w:rPr>
                <w:rFonts w:ascii="Calibri" w:hAnsi="Calibri"/>
                <w:sz w:val="16"/>
                <w:lang w:eastAsia="ja-JP"/>
              </w:rPr>
              <w:t>(water)*</w:t>
            </w:r>
          </w:p>
        </w:tc>
      </w:tr>
      <w:tr w:rsidR="004B1269" w14:paraId="1E800D54" w14:textId="77777777" w:rsidTr="00D7702E">
        <w:tc>
          <w:tcPr>
            <w:tcW w:w="1384" w:type="dxa"/>
            <w:vAlign w:val="center"/>
          </w:tcPr>
          <w:p w14:paraId="126799A5" w14:textId="77777777" w:rsidR="004B1269" w:rsidRDefault="004B1269" w:rsidP="00D7702E">
            <w:pPr>
              <w:rPr>
                <w:rFonts w:ascii="Calibri" w:hAnsi="Calibri"/>
                <w:b/>
                <w:sz w:val="16"/>
                <w:lang w:eastAsia="ja-JP"/>
              </w:rPr>
            </w:pPr>
            <w:r>
              <w:rPr>
                <w:rFonts w:ascii="Calibri" w:hAnsi="Calibri"/>
                <w:b/>
                <w:sz w:val="16"/>
                <w:lang w:eastAsia="ja-JP"/>
              </w:rPr>
              <w:t>PU Integral Skin</w:t>
            </w:r>
          </w:p>
        </w:tc>
        <w:tc>
          <w:tcPr>
            <w:tcW w:w="709" w:type="dxa"/>
            <w:vAlign w:val="center"/>
          </w:tcPr>
          <w:p w14:paraId="2B7E129A"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1E9C789C" w14:textId="77777777" w:rsidR="004B1269" w:rsidRDefault="004B1269" w:rsidP="00D7702E">
            <w:pPr>
              <w:rPr>
                <w:rFonts w:ascii="Calibri" w:hAnsi="Calibri"/>
                <w:sz w:val="16"/>
                <w:lang w:eastAsia="ja-JP"/>
              </w:rPr>
            </w:pPr>
            <w:r>
              <w:rPr>
                <w:rFonts w:ascii="Calibri" w:hAnsi="Calibri"/>
                <w:sz w:val="16"/>
                <w:lang w:eastAsia="ja-JP"/>
              </w:rPr>
              <w:t>HCFC-141b</w:t>
            </w:r>
          </w:p>
          <w:p w14:paraId="73CBCA44" w14:textId="77777777" w:rsidR="004B1269" w:rsidRDefault="004B1269" w:rsidP="00D7702E">
            <w:pPr>
              <w:rPr>
                <w:rFonts w:ascii="Calibri" w:hAnsi="Calibri"/>
                <w:sz w:val="16"/>
                <w:lang w:eastAsia="ja-JP"/>
              </w:rPr>
            </w:pPr>
            <w:r>
              <w:rPr>
                <w:rFonts w:ascii="Calibri" w:hAnsi="Calibri"/>
                <w:sz w:val="16"/>
                <w:lang w:eastAsia="ja-JP"/>
              </w:rPr>
              <w:t>HCFC-22</w:t>
            </w:r>
          </w:p>
        </w:tc>
        <w:tc>
          <w:tcPr>
            <w:tcW w:w="1559" w:type="dxa"/>
            <w:vAlign w:val="center"/>
          </w:tcPr>
          <w:p w14:paraId="6C1B8B7C" w14:textId="77777777" w:rsidR="004B1269" w:rsidRDefault="004B1269" w:rsidP="00D7702E">
            <w:pPr>
              <w:rPr>
                <w:rFonts w:ascii="Calibri" w:hAnsi="Calibri"/>
                <w:sz w:val="16"/>
                <w:lang w:eastAsia="ja-JP"/>
              </w:rPr>
            </w:pPr>
            <w:r>
              <w:rPr>
                <w:rFonts w:ascii="Calibri" w:hAnsi="Calibri"/>
                <w:sz w:val="16"/>
                <w:lang w:eastAsia="ja-JP"/>
              </w:rPr>
              <w:t>HFC-245fa</w:t>
            </w:r>
          </w:p>
          <w:p w14:paraId="77C30CC1" w14:textId="77777777" w:rsidR="004B1269" w:rsidRDefault="004B1269" w:rsidP="00D7702E">
            <w:pPr>
              <w:rPr>
                <w:rFonts w:ascii="Calibri" w:hAnsi="Calibri"/>
                <w:sz w:val="16"/>
                <w:lang w:eastAsia="ja-JP"/>
              </w:rPr>
            </w:pPr>
            <w:r>
              <w:rPr>
                <w:rFonts w:ascii="Calibri" w:hAnsi="Calibri"/>
                <w:sz w:val="16"/>
                <w:lang w:eastAsia="ja-JP"/>
              </w:rPr>
              <w:t>HFC-134a</w:t>
            </w:r>
          </w:p>
        </w:tc>
        <w:tc>
          <w:tcPr>
            <w:tcW w:w="1418" w:type="dxa"/>
            <w:vAlign w:val="center"/>
          </w:tcPr>
          <w:p w14:paraId="10CD39EF" w14:textId="77777777" w:rsidR="004B1269" w:rsidRDefault="004B1269" w:rsidP="00D7702E">
            <w:pPr>
              <w:rPr>
                <w:rFonts w:ascii="Calibri" w:hAnsi="Calibri"/>
                <w:sz w:val="16"/>
                <w:lang w:eastAsia="ja-JP"/>
              </w:rPr>
            </w:pPr>
          </w:p>
        </w:tc>
        <w:tc>
          <w:tcPr>
            <w:tcW w:w="850" w:type="dxa"/>
            <w:vAlign w:val="center"/>
          </w:tcPr>
          <w:p w14:paraId="2C343601" w14:textId="77777777" w:rsidR="004B1269" w:rsidRDefault="004B1269" w:rsidP="00D7702E">
            <w:pPr>
              <w:rPr>
                <w:rFonts w:ascii="Calibri" w:hAnsi="Calibri"/>
                <w:sz w:val="16"/>
                <w:lang w:eastAsia="ja-JP"/>
              </w:rPr>
            </w:pPr>
            <w:r>
              <w:rPr>
                <w:rFonts w:ascii="Calibri" w:hAnsi="Calibri"/>
                <w:sz w:val="16"/>
                <w:lang w:eastAsia="ja-JP"/>
              </w:rPr>
              <w:t xml:space="preserve">Methyl </w:t>
            </w:r>
            <w:proofErr w:type="spellStart"/>
            <w:r>
              <w:rPr>
                <w:rFonts w:ascii="Calibri" w:hAnsi="Calibri"/>
                <w:sz w:val="16"/>
                <w:lang w:eastAsia="ja-JP"/>
              </w:rPr>
              <w:t>Formate</w:t>
            </w:r>
            <w:proofErr w:type="spellEnd"/>
          </w:p>
          <w:p w14:paraId="6A089655" w14:textId="77777777" w:rsidR="004B1269" w:rsidRDefault="004B1269" w:rsidP="00D7702E">
            <w:pPr>
              <w:rPr>
                <w:rFonts w:ascii="Calibri" w:hAnsi="Calibri"/>
                <w:sz w:val="16"/>
                <w:lang w:eastAsia="ja-JP"/>
              </w:rPr>
            </w:pPr>
            <w:proofErr w:type="spellStart"/>
            <w:r>
              <w:rPr>
                <w:rFonts w:ascii="Calibri" w:hAnsi="Calibri"/>
                <w:sz w:val="16"/>
                <w:lang w:eastAsia="ja-JP"/>
              </w:rPr>
              <w:t>Methylal</w:t>
            </w:r>
            <w:proofErr w:type="spellEnd"/>
          </w:p>
        </w:tc>
        <w:tc>
          <w:tcPr>
            <w:tcW w:w="1559" w:type="dxa"/>
            <w:vAlign w:val="center"/>
          </w:tcPr>
          <w:p w14:paraId="667C3024" w14:textId="77777777" w:rsidR="004B1269" w:rsidRDefault="004B1269" w:rsidP="00D7702E">
            <w:pPr>
              <w:rPr>
                <w:rFonts w:ascii="Calibri" w:hAnsi="Calibri"/>
                <w:sz w:val="16"/>
                <w:lang w:eastAsia="ja-JP"/>
              </w:rPr>
            </w:pPr>
          </w:p>
        </w:tc>
        <w:tc>
          <w:tcPr>
            <w:tcW w:w="1276" w:type="dxa"/>
            <w:vAlign w:val="center"/>
          </w:tcPr>
          <w:p w14:paraId="454FB92F" w14:textId="77777777" w:rsidR="004B1269" w:rsidRDefault="004B1269" w:rsidP="00D7702E">
            <w:pPr>
              <w:rPr>
                <w:rFonts w:ascii="Calibri" w:hAnsi="Calibri"/>
                <w:sz w:val="16"/>
                <w:lang w:eastAsia="ja-JP"/>
              </w:rPr>
            </w:pPr>
            <w:r>
              <w:rPr>
                <w:rFonts w:ascii="Calibri" w:hAnsi="Calibri"/>
                <w:sz w:val="16"/>
                <w:lang w:eastAsia="ja-JP"/>
              </w:rPr>
              <w:t>CO</w:t>
            </w:r>
            <w:r>
              <w:rPr>
                <w:rFonts w:ascii="Calibri" w:hAnsi="Calibri"/>
                <w:sz w:val="16"/>
                <w:vertAlign w:val="subscript"/>
                <w:lang w:eastAsia="ja-JP"/>
              </w:rPr>
              <w:t xml:space="preserve">2 </w:t>
            </w:r>
            <w:r>
              <w:rPr>
                <w:rFonts w:ascii="Calibri" w:hAnsi="Calibri"/>
                <w:sz w:val="16"/>
                <w:lang w:eastAsia="ja-JP"/>
              </w:rPr>
              <w:t>(water)*</w:t>
            </w:r>
          </w:p>
        </w:tc>
      </w:tr>
      <w:tr w:rsidR="004B1269" w14:paraId="01AA232B" w14:textId="77777777" w:rsidTr="00D7702E">
        <w:tc>
          <w:tcPr>
            <w:tcW w:w="1384" w:type="dxa"/>
            <w:vAlign w:val="center"/>
          </w:tcPr>
          <w:p w14:paraId="318C0D68" w14:textId="77777777" w:rsidR="004B1269" w:rsidRDefault="004B1269" w:rsidP="00D7702E">
            <w:pPr>
              <w:rPr>
                <w:rFonts w:ascii="Calibri" w:hAnsi="Calibri"/>
                <w:b/>
                <w:sz w:val="16"/>
                <w:lang w:eastAsia="ja-JP"/>
              </w:rPr>
            </w:pPr>
            <w:r>
              <w:rPr>
                <w:rFonts w:ascii="Calibri" w:hAnsi="Calibri"/>
                <w:b/>
                <w:sz w:val="16"/>
                <w:lang w:eastAsia="ja-JP"/>
              </w:rPr>
              <w:t>XPS Board</w:t>
            </w:r>
          </w:p>
        </w:tc>
        <w:tc>
          <w:tcPr>
            <w:tcW w:w="709" w:type="dxa"/>
            <w:vAlign w:val="center"/>
          </w:tcPr>
          <w:p w14:paraId="64EB29F8" w14:textId="77777777" w:rsidR="004B1269" w:rsidRDefault="004B1269" w:rsidP="00D7702E">
            <w:pPr>
              <w:rPr>
                <w:rFonts w:ascii="Calibri" w:hAnsi="Calibri"/>
                <w:sz w:val="16"/>
                <w:lang w:eastAsia="ja-JP"/>
              </w:rPr>
            </w:pPr>
            <w:r>
              <w:rPr>
                <w:rFonts w:ascii="Calibri" w:hAnsi="Calibri"/>
                <w:sz w:val="16"/>
                <w:lang w:eastAsia="ja-JP"/>
              </w:rPr>
              <w:t>CFC-12</w:t>
            </w:r>
          </w:p>
        </w:tc>
        <w:tc>
          <w:tcPr>
            <w:tcW w:w="992" w:type="dxa"/>
            <w:vAlign w:val="center"/>
          </w:tcPr>
          <w:p w14:paraId="2CB5EB1B" w14:textId="77777777" w:rsidR="004B1269" w:rsidRDefault="004B1269" w:rsidP="00D7702E">
            <w:pPr>
              <w:rPr>
                <w:rFonts w:ascii="Calibri" w:hAnsi="Calibri"/>
                <w:sz w:val="16"/>
                <w:lang w:eastAsia="ja-JP"/>
              </w:rPr>
            </w:pPr>
            <w:r>
              <w:rPr>
                <w:rFonts w:ascii="Calibri" w:hAnsi="Calibri"/>
                <w:sz w:val="16"/>
                <w:lang w:eastAsia="ja-JP"/>
              </w:rPr>
              <w:t>HCFC-142b</w:t>
            </w:r>
          </w:p>
          <w:p w14:paraId="5A0946BF" w14:textId="77777777" w:rsidR="004B1269" w:rsidRDefault="004B1269" w:rsidP="00D7702E">
            <w:pPr>
              <w:rPr>
                <w:rFonts w:ascii="Calibri" w:hAnsi="Calibri"/>
                <w:sz w:val="16"/>
                <w:lang w:eastAsia="ja-JP"/>
              </w:rPr>
            </w:pPr>
            <w:r>
              <w:rPr>
                <w:rFonts w:ascii="Calibri" w:hAnsi="Calibri"/>
                <w:sz w:val="16"/>
                <w:lang w:eastAsia="ja-JP"/>
              </w:rPr>
              <w:t>HCFC-22</w:t>
            </w:r>
          </w:p>
        </w:tc>
        <w:tc>
          <w:tcPr>
            <w:tcW w:w="1559" w:type="dxa"/>
            <w:vAlign w:val="center"/>
          </w:tcPr>
          <w:p w14:paraId="30EBE25B" w14:textId="77777777" w:rsidR="004B1269" w:rsidRDefault="004B1269" w:rsidP="00D7702E">
            <w:pPr>
              <w:rPr>
                <w:rFonts w:ascii="Calibri" w:hAnsi="Calibri"/>
                <w:sz w:val="16"/>
                <w:lang w:eastAsia="ja-JP"/>
              </w:rPr>
            </w:pPr>
            <w:r>
              <w:rPr>
                <w:rFonts w:ascii="Calibri" w:hAnsi="Calibri"/>
                <w:sz w:val="16"/>
                <w:lang w:eastAsia="ja-JP"/>
              </w:rPr>
              <w:t>HFC-134a</w:t>
            </w:r>
          </w:p>
          <w:p w14:paraId="64579625" w14:textId="77777777" w:rsidR="004B1269" w:rsidRDefault="004B1269" w:rsidP="00D7702E">
            <w:pPr>
              <w:rPr>
                <w:rFonts w:ascii="Calibri" w:hAnsi="Calibri"/>
                <w:sz w:val="16"/>
                <w:lang w:eastAsia="ja-JP"/>
              </w:rPr>
            </w:pPr>
            <w:r>
              <w:rPr>
                <w:rFonts w:ascii="Calibri" w:hAnsi="Calibri"/>
                <w:sz w:val="16"/>
                <w:lang w:eastAsia="ja-JP"/>
              </w:rPr>
              <w:t>HFC-152a</w:t>
            </w:r>
          </w:p>
        </w:tc>
        <w:tc>
          <w:tcPr>
            <w:tcW w:w="1418" w:type="dxa"/>
            <w:vAlign w:val="center"/>
          </w:tcPr>
          <w:p w14:paraId="0F280886" w14:textId="77777777" w:rsidR="004B1269" w:rsidRDefault="004B1269" w:rsidP="00D7702E">
            <w:pPr>
              <w:rPr>
                <w:rFonts w:ascii="Calibri" w:hAnsi="Calibri"/>
                <w:sz w:val="16"/>
                <w:lang w:eastAsia="ja-JP"/>
              </w:rPr>
            </w:pPr>
          </w:p>
        </w:tc>
        <w:tc>
          <w:tcPr>
            <w:tcW w:w="850" w:type="dxa"/>
            <w:vAlign w:val="center"/>
          </w:tcPr>
          <w:p w14:paraId="0DDBB28E" w14:textId="77777777" w:rsidR="004B1269" w:rsidRDefault="004B1269" w:rsidP="00D7702E">
            <w:pPr>
              <w:rPr>
                <w:rFonts w:ascii="Calibri" w:hAnsi="Calibri"/>
                <w:sz w:val="16"/>
                <w:lang w:eastAsia="ja-JP"/>
              </w:rPr>
            </w:pPr>
            <w:r>
              <w:rPr>
                <w:rFonts w:ascii="Calibri" w:hAnsi="Calibri"/>
                <w:sz w:val="16"/>
                <w:lang w:eastAsia="ja-JP"/>
              </w:rPr>
              <w:t>DME</w:t>
            </w:r>
          </w:p>
        </w:tc>
        <w:tc>
          <w:tcPr>
            <w:tcW w:w="1559" w:type="dxa"/>
            <w:vAlign w:val="center"/>
          </w:tcPr>
          <w:p w14:paraId="405DBC11" w14:textId="77777777" w:rsidR="004B1269" w:rsidRDefault="004B1269" w:rsidP="00D7702E">
            <w:pPr>
              <w:rPr>
                <w:rFonts w:ascii="Calibri" w:hAnsi="Calibri"/>
                <w:sz w:val="16"/>
                <w:lang w:eastAsia="ja-JP"/>
              </w:rPr>
            </w:pPr>
            <w:r>
              <w:rPr>
                <w:rFonts w:ascii="Calibri" w:hAnsi="Calibri"/>
                <w:sz w:val="16"/>
                <w:lang w:eastAsia="ja-JP"/>
              </w:rPr>
              <w:t>HFO-1234ze(E)</w:t>
            </w:r>
          </w:p>
        </w:tc>
        <w:tc>
          <w:tcPr>
            <w:tcW w:w="1276" w:type="dxa"/>
            <w:vAlign w:val="center"/>
          </w:tcPr>
          <w:p w14:paraId="6704A0C7" w14:textId="77777777" w:rsidR="004B1269" w:rsidRDefault="004B1269" w:rsidP="00D7702E">
            <w:pPr>
              <w:rPr>
                <w:rFonts w:ascii="Calibri" w:hAnsi="Calibri"/>
                <w:sz w:val="16"/>
                <w:vertAlign w:val="subscript"/>
                <w:lang w:eastAsia="ja-JP"/>
              </w:rPr>
            </w:pPr>
            <w:r>
              <w:rPr>
                <w:rFonts w:ascii="Calibri" w:hAnsi="Calibri"/>
                <w:sz w:val="16"/>
                <w:lang w:eastAsia="ja-JP"/>
              </w:rPr>
              <w:t>CO</w:t>
            </w:r>
            <w:r>
              <w:rPr>
                <w:rFonts w:ascii="Calibri" w:hAnsi="Calibri"/>
                <w:sz w:val="16"/>
                <w:vertAlign w:val="subscript"/>
                <w:lang w:eastAsia="ja-JP"/>
              </w:rPr>
              <w:t>2</w:t>
            </w:r>
          </w:p>
          <w:p w14:paraId="3798F2DF" w14:textId="77777777" w:rsidR="004B1269" w:rsidRDefault="004B1269" w:rsidP="00D7702E">
            <w:pPr>
              <w:rPr>
                <w:rFonts w:ascii="Calibri" w:hAnsi="Calibri"/>
                <w:sz w:val="16"/>
                <w:lang w:eastAsia="ja-JP"/>
              </w:rPr>
            </w:pPr>
            <w:r>
              <w:rPr>
                <w:rFonts w:ascii="Calibri" w:hAnsi="Calibri"/>
                <w:sz w:val="16"/>
                <w:lang w:eastAsia="ja-JP"/>
              </w:rPr>
              <w:t>CO</w:t>
            </w:r>
            <w:r>
              <w:rPr>
                <w:rFonts w:ascii="Calibri" w:hAnsi="Calibri"/>
                <w:sz w:val="16"/>
                <w:vertAlign w:val="subscript"/>
                <w:lang w:eastAsia="ja-JP"/>
              </w:rPr>
              <w:t>2</w:t>
            </w:r>
            <w:r>
              <w:rPr>
                <w:rFonts w:ascii="Calibri" w:hAnsi="Calibri"/>
                <w:sz w:val="16"/>
                <w:lang w:eastAsia="ja-JP"/>
              </w:rPr>
              <w:t>/ethanol</w:t>
            </w:r>
          </w:p>
        </w:tc>
      </w:tr>
      <w:tr w:rsidR="004B1269" w14:paraId="37303980" w14:textId="77777777" w:rsidTr="00D7702E">
        <w:tc>
          <w:tcPr>
            <w:tcW w:w="1384" w:type="dxa"/>
            <w:vAlign w:val="center"/>
          </w:tcPr>
          <w:p w14:paraId="7713C70A" w14:textId="77777777" w:rsidR="004B1269" w:rsidRDefault="004B1269" w:rsidP="00D7702E">
            <w:pPr>
              <w:rPr>
                <w:rFonts w:ascii="Calibri" w:hAnsi="Calibri"/>
                <w:b/>
                <w:sz w:val="16"/>
                <w:lang w:eastAsia="ja-JP"/>
              </w:rPr>
            </w:pPr>
            <w:r>
              <w:rPr>
                <w:rFonts w:ascii="Calibri" w:hAnsi="Calibri"/>
                <w:b/>
                <w:sz w:val="16"/>
                <w:lang w:eastAsia="ja-JP"/>
              </w:rPr>
              <w:t xml:space="preserve">Phenolic </w:t>
            </w:r>
          </w:p>
        </w:tc>
        <w:tc>
          <w:tcPr>
            <w:tcW w:w="709" w:type="dxa"/>
            <w:vAlign w:val="center"/>
          </w:tcPr>
          <w:p w14:paraId="4CC7C118" w14:textId="77777777" w:rsidR="004B1269" w:rsidRDefault="004B1269" w:rsidP="00D7702E">
            <w:pPr>
              <w:rPr>
                <w:rFonts w:ascii="Calibri" w:hAnsi="Calibri"/>
                <w:sz w:val="16"/>
                <w:lang w:eastAsia="ja-JP"/>
              </w:rPr>
            </w:pPr>
            <w:r>
              <w:rPr>
                <w:rFonts w:ascii="Calibri" w:hAnsi="Calibri"/>
                <w:sz w:val="16"/>
                <w:lang w:eastAsia="ja-JP"/>
              </w:rPr>
              <w:t>CFC-11</w:t>
            </w:r>
          </w:p>
        </w:tc>
        <w:tc>
          <w:tcPr>
            <w:tcW w:w="992" w:type="dxa"/>
            <w:vAlign w:val="center"/>
          </w:tcPr>
          <w:p w14:paraId="2647A1D8" w14:textId="77777777" w:rsidR="004B1269" w:rsidRDefault="004B1269" w:rsidP="00D7702E">
            <w:pPr>
              <w:rPr>
                <w:rFonts w:ascii="Calibri" w:hAnsi="Calibri"/>
                <w:sz w:val="16"/>
                <w:lang w:eastAsia="ja-JP"/>
              </w:rPr>
            </w:pPr>
            <w:r>
              <w:rPr>
                <w:rFonts w:ascii="Calibri" w:hAnsi="Calibri"/>
                <w:sz w:val="16"/>
                <w:lang w:eastAsia="ja-JP"/>
              </w:rPr>
              <w:t>HCFC-141b</w:t>
            </w:r>
          </w:p>
        </w:tc>
        <w:tc>
          <w:tcPr>
            <w:tcW w:w="1559" w:type="dxa"/>
            <w:vAlign w:val="center"/>
          </w:tcPr>
          <w:p w14:paraId="25189311" w14:textId="77777777" w:rsidR="004B1269" w:rsidRDefault="004B1269" w:rsidP="00D7702E">
            <w:pPr>
              <w:rPr>
                <w:rFonts w:ascii="Calibri" w:hAnsi="Calibri"/>
                <w:sz w:val="16"/>
                <w:lang w:eastAsia="ja-JP"/>
              </w:rPr>
            </w:pPr>
            <w:r>
              <w:rPr>
                <w:rFonts w:ascii="Calibri" w:hAnsi="Calibri"/>
                <w:sz w:val="16"/>
                <w:lang w:eastAsia="ja-JP"/>
              </w:rPr>
              <w:t>HFC-245fa</w:t>
            </w:r>
          </w:p>
          <w:p w14:paraId="3ACEC479" w14:textId="77777777" w:rsidR="004B1269" w:rsidRDefault="004B1269" w:rsidP="00D7702E">
            <w:pPr>
              <w:rPr>
                <w:rFonts w:ascii="Calibri" w:hAnsi="Calibri"/>
                <w:sz w:val="16"/>
                <w:lang w:eastAsia="ja-JP"/>
              </w:rPr>
            </w:pPr>
            <w:r>
              <w:rPr>
                <w:rFonts w:ascii="Calibri" w:hAnsi="Calibri"/>
                <w:sz w:val="16"/>
                <w:lang w:eastAsia="ja-JP"/>
              </w:rPr>
              <w:t>HFC-365mfc/227ea</w:t>
            </w:r>
          </w:p>
        </w:tc>
        <w:tc>
          <w:tcPr>
            <w:tcW w:w="1418" w:type="dxa"/>
            <w:vAlign w:val="center"/>
          </w:tcPr>
          <w:p w14:paraId="295432DF" w14:textId="77777777" w:rsidR="004B1269" w:rsidRDefault="004B1269" w:rsidP="00D7702E">
            <w:pPr>
              <w:rPr>
                <w:rFonts w:ascii="Calibri" w:hAnsi="Calibri"/>
                <w:sz w:val="16"/>
                <w:lang w:eastAsia="ja-JP"/>
              </w:rPr>
            </w:pPr>
            <w:r>
              <w:rPr>
                <w:rFonts w:ascii="Calibri" w:hAnsi="Calibri"/>
                <w:sz w:val="16"/>
                <w:lang w:eastAsia="ja-JP"/>
              </w:rPr>
              <w:t>n-pentane</w:t>
            </w:r>
          </w:p>
          <w:p w14:paraId="1E30517B" w14:textId="77777777" w:rsidR="004B1269" w:rsidRDefault="004B1269" w:rsidP="00D7702E">
            <w:pPr>
              <w:rPr>
                <w:rFonts w:ascii="Calibri" w:hAnsi="Calibri"/>
                <w:sz w:val="16"/>
                <w:lang w:eastAsia="ja-JP"/>
              </w:rPr>
            </w:pPr>
            <w:proofErr w:type="spellStart"/>
            <w:r>
              <w:rPr>
                <w:rFonts w:ascii="Calibri" w:hAnsi="Calibri"/>
                <w:sz w:val="16"/>
                <w:lang w:eastAsia="ja-JP"/>
              </w:rPr>
              <w:t>cyclo</w:t>
            </w:r>
            <w:proofErr w:type="spellEnd"/>
            <w:r>
              <w:rPr>
                <w:rFonts w:ascii="Calibri" w:hAnsi="Calibri"/>
                <w:sz w:val="16"/>
                <w:lang w:eastAsia="ja-JP"/>
              </w:rPr>
              <w:t>/</w:t>
            </w:r>
            <w:proofErr w:type="spellStart"/>
            <w:r>
              <w:rPr>
                <w:rFonts w:ascii="Calibri" w:hAnsi="Calibri"/>
                <w:sz w:val="16"/>
                <w:lang w:eastAsia="ja-JP"/>
              </w:rPr>
              <w:t>iso</w:t>
            </w:r>
            <w:proofErr w:type="spellEnd"/>
            <w:r>
              <w:rPr>
                <w:rFonts w:ascii="Calibri" w:hAnsi="Calibri"/>
                <w:sz w:val="16"/>
                <w:lang w:eastAsia="ja-JP"/>
              </w:rPr>
              <w:t xml:space="preserve"> pentane</w:t>
            </w:r>
          </w:p>
        </w:tc>
        <w:tc>
          <w:tcPr>
            <w:tcW w:w="850" w:type="dxa"/>
            <w:vAlign w:val="center"/>
          </w:tcPr>
          <w:p w14:paraId="3EB2A590" w14:textId="77777777" w:rsidR="004B1269" w:rsidRDefault="004B1269" w:rsidP="00D7702E">
            <w:pPr>
              <w:rPr>
                <w:rFonts w:ascii="Calibri" w:hAnsi="Calibri"/>
                <w:sz w:val="16"/>
                <w:lang w:eastAsia="ja-JP"/>
              </w:rPr>
            </w:pPr>
          </w:p>
        </w:tc>
        <w:tc>
          <w:tcPr>
            <w:tcW w:w="1559" w:type="dxa"/>
            <w:vAlign w:val="center"/>
          </w:tcPr>
          <w:p w14:paraId="668662E5" w14:textId="77777777" w:rsidR="004B1269" w:rsidRDefault="004B1269" w:rsidP="00D7702E">
            <w:pPr>
              <w:rPr>
                <w:rFonts w:ascii="Calibri" w:hAnsi="Calibri"/>
                <w:sz w:val="16"/>
                <w:lang w:eastAsia="ja-JP"/>
              </w:rPr>
            </w:pPr>
            <w:r>
              <w:rPr>
                <w:rFonts w:ascii="Calibri" w:hAnsi="Calibri"/>
                <w:sz w:val="16"/>
                <w:lang w:eastAsia="ja-JP"/>
              </w:rPr>
              <w:t>HFO-1233zd(E)</w:t>
            </w:r>
          </w:p>
          <w:p w14:paraId="4C8CE660" w14:textId="77777777" w:rsidR="004B1269" w:rsidRDefault="004B1269" w:rsidP="00D7702E">
            <w:pPr>
              <w:rPr>
                <w:rFonts w:ascii="Calibri" w:hAnsi="Calibri"/>
                <w:sz w:val="16"/>
                <w:lang w:eastAsia="ja-JP"/>
              </w:rPr>
            </w:pPr>
            <w:r>
              <w:rPr>
                <w:rFonts w:ascii="Calibri" w:hAnsi="Calibri"/>
                <w:sz w:val="16"/>
                <w:lang w:eastAsia="ja-JP"/>
              </w:rPr>
              <w:t>HFO-1336mzzm(Z)</w:t>
            </w:r>
          </w:p>
        </w:tc>
        <w:tc>
          <w:tcPr>
            <w:tcW w:w="1276" w:type="dxa"/>
            <w:vAlign w:val="center"/>
          </w:tcPr>
          <w:p w14:paraId="546EBC07" w14:textId="77777777" w:rsidR="004B1269" w:rsidRDefault="004B1269" w:rsidP="00D7702E">
            <w:pPr>
              <w:rPr>
                <w:rFonts w:ascii="Calibri" w:hAnsi="Calibri"/>
                <w:sz w:val="16"/>
                <w:lang w:eastAsia="ja-JP"/>
              </w:rPr>
            </w:pPr>
          </w:p>
        </w:tc>
      </w:tr>
    </w:tbl>
    <w:p w14:paraId="501ABEFD" w14:textId="77777777" w:rsidR="004B1269" w:rsidRDefault="004B1269" w:rsidP="004B1269">
      <w:pPr>
        <w:jc w:val="both"/>
        <w:rPr>
          <w:rFonts w:ascii="Calibri" w:hAnsi="Calibri"/>
          <w:sz w:val="18"/>
          <w:lang w:eastAsia="ja-JP"/>
        </w:rPr>
      </w:pPr>
      <w:r>
        <w:rPr>
          <w:rFonts w:ascii="Calibri" w:hAnsi="Calibri"/>
          <w:sz w:val="20"/>
          <w:lang w:eastAsia="ja-JP"/>
        </w:rPr>
        <w:t>*</w:t>
      </w:r>
      <w:proofErr w:type="gramStart"/>
      <w:r>
        <w:rPr>
          <w:rFonts w:ascii="Calibri" w:hAnsi="Calibri"/>
          <w:sz w:val="18"/>
          <w:lang w:eastAsia="ja-JP"/>
        </w:rPr>
        <w:t>CO</w:t>
      </w:r>
      <w:r>
        <w:rPr>
          <w:rFonts w:ascii="Calibri" w:hAnsi="Calibri"/>
          <w:sz w:val="18"/>
          <w:vertAlign w:val="subscript"/>
          <w:lang w:eastAsia="ja-JP"/>
        </w:rPr>
        <w:t>2</w:t>
      </w:r>
      <w:r>
        <w:rPr>
          <w:rFonts w:ascii="Calibri" w:hAnsi="Calibri"/>
          <w:sz w:val="18"/>
          <w:lang w:eastAsia="ja-JP"/>
        </w:rPr>
        <w:t>(</w:t>
      </w:r>
      <w:proofErr w:type="gramEnd"/>
      <w:r>
        <w:rPr>
          <w:rFonts w:ascii="Calibri" w:hAnsi="Calibri"/>
          <w:sz w:val="18"/>
          <w:lang w:eastAsia="ja-JP"/>
        </w:rPr>
        <w:t>water) blown foams rely on the generation of CO</w:t>
      </w:r>
      <w:r>
        <w:rPr>
          <w:rFonts w:ascii="Calibri" w:hAnsi="Calibri"/>
          <w:sz w:val="18"/>
          <w:vertAlign w:val="subscript"/>
          <w:lang w:eastAsia="ja-JP"/>
        </w:rPr>
        <w:t>2</w:t>
      </w:r>
      <w:r>
        <w:rPr>
          <w:rFonts w:ascii="Calibri" w:hAnsi="Calibri"/>
          <w:sz w:val="18"/>
          <w:lang w:eastAsia="ja-JP"/>
        </w:rPr>
        <w:t xml:space="preserve"> from reaction of </w:t>
      </w:r>
      <w:proofErr w:type="spellStart"/>
      <w:r>
        <w:rPr>
          <w:rFonts w:ascii="Calibri" w:hAnsi="Calibri"/>
          <w:sz w:val="18"/>
          <w:lang w:eastAsia="ja-JP"/>
        </w:rPr>
        <w:t>isocyanate</w:t>
      </w:r>
      <w:proofErr w:type="spellEnd"/>
      <w:r>
        <w:rPr>
          <w:rFonts w:ascii="Calibri" w:hAnsi="Calibri"/>
          <w:sz w:val="18"/>
          <w:lang w:eastAsia="ja-JP"/>
        </w:rPr>
        <w:t xml:space="preserve"> with water in the PU system itself</w:t>
      </w:r>
    </w:p>
    <w:p w14:paraId="2D1DC16F" w14:textId="77777777" w:rsidR="004B1269" w:rsidRDefault="004B1269" w:rsidP="004B1269">
      <w:pPr>
        <w:jc w:val="both"/>
        <w:rPr>
          <w:rFonts w:ascii="Calibri" w:hAnsi="Calibri"/>
          <w:sz w:val="18"/>
          <w:lang w:eastAsia="ja-JP"/>
        </w:rPr>
      </w:pPr>
      <w:r>
        <w:rPr>
          <w:rFonts w:ascii="Calibri" w:hAnsi="Calibri"/>
          <w:sz w:val="18"/>
          <w:vertAlign w:val="superscript"/>
          <w:lang w:eastAsia="ja-JP"/>
        </w:rPr>
        <w:t xml:space="preserve">Δ </w:t>
      </w:r>
      <w:r>
        <w:rPr>
          <w:rFonts w:ascii="Calibri" w:hAnsi="Calibri"/>
          <w:sz w:val="18"/>
          <w:lang w:eastAsia="ja-JP"/>
        </w:rPr>
        <w:t xml:space="preserve">Primarily in the commercial refrigeration sector (e.g. vending machines) </w:t>
      </w:r>
    </w:p>
    <w:p w14:paraId="69928AC6" w14:textId="77777777" w:rsidR="004B1269" w:rsidRDefault="004B1269" w:rsidP="004B1269">
      <w:pPr>
        <w:jc w:val="center"/>
        <w:rPr>
          <w:i/>
        </w:rPr>
      </w:pPr>
    </w:p>
    <w:p w14:paraId="35E2CAC3" w14:textId="77777777" w:rsidR="004B1269" w:rsidRPr="002A505F" w:rsidRDefault="004B1269" w:rsidP="004B1269">
      <w:pPr>
        <w:jc w:val="center"/>
        <w:rPr>
          <w:b/>
          <w:lang w:eastAsia="ja-JP"/>
        </w:rPr>
      </w:pPr>
      <w:r w:rsidRPr="002A505F">
        <w:rPr>
          <w:b/>
          <w:i/>
        </w:rPr>
        <w:t xml:space="preserve">Table 1: Range of blowing agents available by product type and market sector </w:t>
      </w:r>
      <w:r w:rsidRPr="002A505F">
        <w:rPr>
          <w:b/>
          <w:lang w:eastAsia="ja-JP"/>
        </w:rPr>
        <w:t xml:space="preserve"> </w:t>
      </w:r>
    </w:p>
    <w:p w14:paraId="588965D8" w14:textId="77777777" w:rsidR="00BB34B3" w:rsidRDefault="00BB34B3" w:rsidP="004B1269">
      <w:pPr>
        <w:jc w:val="center"/>
        <w:rPr>
          <w:lang w:eastAsia="ja-JP"/>
        </w:rPr>
      </w:pPr>
    </w:p>
    <w:p w14:paraId="2A14E27E" w14:textId="77777777" w:rsidR="00BB34B3" w:rsidRDefault="00BB34B3" w:rsidP="00BB34B3">
      <w:pPr>
        <w:rPr>
          <w:lang w:eastAsia="ja-JP"/>
        </w:rPr>
      </w:pPr>
      <w:r>
        <w:rPr>
          <w:lang w:eastAsia="ja-JP"/>
        </w:rPr>
        <w:t>The next section of this report now reviews these selection trends sub-sector by sub-sector.</w:t>
      </w:r>
    </w:p>
    <w:p w14:paraId="7E41B923" w14:textId="77777777" w:rsidR="001E5111" w:rsidRDefault="001E5111" w:rsidP="001E5111">
      <w:pPr>
        <w:rPr>
          <w:rFonts w:asciiTheme="majorHAnsi" w:eastAsiaTheme="majorEastAsia" w:hAnsiTheme="majorHAnsi" w:cstheme="majorBidi"/>
          <w:color w:val="1F4D78" w:themeColor="accent1" w:themeShade="7F"/>
          <w:sz w:val="24"/>
          <w:szCs w:val="24"/>
        </w:rPr>
      </w:pPr>
    </w:p>
    <w:p w14:paraId="3A686ADA" w14:textId="77777777" w:rsidR="00164DBE" w:rsidRDefault="00164DBE" w:rsidP="001E5111">
      <w:pPr>
        <w:rPr>
          <w:rFonts w:asciiTheme="majorHAnsi" w:eastAsiaTheme="majorEastAsia" w:hAnsiTheme="majorHAnsi" w:cstheme="majorBidi"/>
          <w:color w:val="1F4D78" w:themeColor="accent1" w:themeShade="7F"/>
          <w:sz w:val="24"/>
          <w:szCs w:val="24"/>
        </w:rPr>
      </w:pPr>
    </w:p>
    <w:p w14:paraId="52D7FFD7" w14:textId="77777777" w:rsidR="00164DBE" w:rsidRDefault="00164DBE" w:rsidP="001E5111">
      <w:pPr>
        <w:rPr>
          <w:rFonts w:asciiTheme="majorHAnsi" w:eastAsiaTheme="majorEastAsia" w:hAnsiTheme="majorHAnsi" w:cstheme="majorBidi"/>
          <w:color w:val="1F4D78" w:themeColor="accent1" w:themeShade="7F"/>
          <w:sz w:val="24"/>
          <w:szCs w:val="24"/>
        </w:rPr>
      </w:pPr>
    </w:p>
    <w:p w14:paraId="437EC25B" w14:textId="77777777" w:rsidR="00164DBE" w:rsidRDefault="00164DBE" w:rsidP="001E5111">
      <w:pPr>
        <w:rPr>
          <w:rFonts w:asciiTheme="majorHAnsi" w:eastAsiaTheme="majorEastAsia" w:hAnsiTheme="majorHAnsi" w:cstheme="majorBidi"/>
          <w:color w:val="1F4D78" w:themeColor="accent1" w:themeShade="7F"/>
          <w:sz w:val="24"/>
          <w:szCs w:val="24"/>
        </w:rPr>
      </w:pPr>
    </w:p>
    <w:p w14:paraId="70F3026F" w14:textId="77777777" w:rsidR="00164DBE" w:rsidRDefault="00164DBE" w:rsidP="001E5111">
      <w:pPr>
        <w:rPr>
          <w:rFonts w:asciiTheme="majorHAnsi" w:eastAsiaTheme="majorEastAsia" w:hAnsiTheme="majorHAnsi" w:cstheme="majorBidi"/>
          <w:color w:val="1F4D78" w:themeColor="accent1" w:themeShade="7F"/>
          <w:sz w:val="24"/>
          <w:szCs w:val="24"/>
        </w:rPr>
      </w:pPr>
    </w:p>
    <w:p w14:paraId="7487F972" w14:textId="77777777" w:rsidR="00BB34B3" w:rsidRDefault="00BB34B3" w:rsidP="001E5111">
      <w:pPr>
        <w:pStyle w:val="Heading2"/>
        <w:numPr>
          <w:ilvl w:val="0"/>
          <w:numId w:val="1"/>
        </w:numPr>
      </w:pPr>
      <w:bookmarkStart w:id="28" w:name="_Toc415441529"/>
      <w:r>
        <w:lastRenderedPageBreak/>
        <w:t>Review of blowing agent selection by foam sub-sector</w:t>
      </w:r>
      <w:r w:rsidR="00164DBE">
        <w:t xml:space="preserve"> and region</w:t>
      </w:r>
      <w:bookmarkEnd w:id="28"/>
      <w:r>
        <w:t xml:space="preserve"> </w:t>
      </w:r>
    </w:p>
    <w:p w14:paraId="1F796F45" w14:textId="77777777" w:rsidR="00BB34B3" w:rsidRPr="00E0548D" w:rsidRDefault="00BB34B3" w:rsidP="00BB34B3">
      <w:pPr>
        <w:rPr>
          <w:sz w:val="8"/>
          <w:szCs w:val="8"/>
        </w:rPr>
      </w:pPr>
    </w:p>
    <w:p w14:paraId="10AE706D" w14:textId="77777777" w:rsidR="00164DBE" w:rsidRDefault="00050445" w:rsidP="00164DBE">
      <w:pPr>
        <w:pStyle w:val="Heading3"/>
      </w:pPr>
      <w:bookmarkStart w:id="29" w:name="_Toc415441530"/>
      <w:r>
        <w:t xml:space="preserve">Polyurethane </w:t>
      </w:r>
      <w:r w:rsidR="00726F05">
        <w:t>Foams in the Refrigeration Sector</w:t>
      </w:r>
      <w:bookmarkEnd w:id="29"/>
      <w:r w:rsidR="00164DBE">
        <w:t xml:space="preserve"> </w:t>
      </w:r>
    </w:p>
    <w:p w14:paraId="0F1BCE95" w14:textId="77777777" w:rsidR="00726F05" w:rsidRPr="00726F05" w:rsidRDefault="00726F05" w:rsidP="00E0548D">
      <w:pPr>
        <w:pStyle w:val="Heading4"/>
        <w:rPr>
          <w:sz w:val="8"/>
          <w:szCs w:val="8"/>
        </w:rPr>
      </w:pPr>
    </w:p>
    <w:p w14:paraId="38D0DA75" w14:textId="77777777" w:rsidR="00E0548D" w:rsidRPr="00164DBE" w:rsidRDefault="00E0548D" w:rsidP="00E0548D">
      <w:pPr>
        <w:pStyle w:val="Heading4"/>
      </w:pPr>
      <w:r>
        <w:t xml:space="preserve">Commercially available alternatives to ODS </w:t>
      </w:r>
    </w:p>
    <w:p w14:paraId="3F599A6A" w14:textId="77777777" w:rsidR="00E0548D" w:rsidRPr="00C60157" w:rsidRDefault="00E0548D" w:rsidP="00E0548D">
      <w:pPr>
        <w:rPr>
          <w:sz w:val="8"/>
          <w:szCs w:val="8"/>
        </w:rPr>
      </w:pPr>
    </w:p>
    <w:p w14:paraId="69E1F951" w14:textId="669AB986" w:rsidR="00885B5A" w:rsidRDefault="00E0548D" w:rsidP="00024AE5">
      <w:r>
        <w:t>Table 2 below gives an overview of the alternatives</w:t>
      </w:r>
      <w:r w:rsidR="00726F05">
        <w:t xml:space="preserve"> current</w:t>
      </w:r>
      <w:r w:rsidR="00A8048D">
        <w:t>ly</w:t>
      </w:r>
      <w:r w:rsidR="00726F05">
        <w:t xml:space="preserve"> available for refrigeration</w:t>
      </w:r>
      <w:r>
        <w:t xml:space="preserve"> applications: </w:t>
      </w:r>
    </w:p>
    <w:p w14:paraId="41C8F83C" w14:textId="77777777" w:rsidR="002C100B" w:rsidRPr="00024AE5" w:rsidRDefault="002C100B" w:rsidP="00024AE5">
      <w:pPr>
        <w:rPr>
          <w:sz w:val="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1979"/>
        <w:gridCol w:w="2671"/>
      </w:tblGrid>
      <w:tr w:rsidR="00885B5A" w:rsidRPr="00885B5A" w14:paraId="6A41C69C" w14:textId="77777777" w:rsidTr="00461C30">
        <w:trPr>
          <w:cantSplit/>
        </w:trPr>
        <w:tc>
          <w:tcPr>
            <w:tcW w:w="9214" w:type="dxa"/>
            <w:gridSpan w:val="4"/>
            <w:vAlign w:val="center"/>
          </w:tcPr>
          <w:p w14:paraId="1D268825" w14:textId="77777777" w:rsidR="00885B5A" w:rsidRPr="00885B5A" w:rsidRDefault="00885B5A" w:rsidP="00885B5A">
            <w:pPr>
              <w:spacing w:line="240" w:lineRule="atLeast"/>
              <w:ind w:right="-108"/>
              <w:jc w:val="center"/>
              <w:rPr>
                <w:rFonts w:ascii="Times New Roman" w:eastAsia="SimSun" w:hAnsi="Times New Roman" w:cs="Times New Roman"/>
                <w:b/>
                <w:i/>
                <w:szCs w:val="24"/>
                <w:lang w:eastAsia="es-ES"/>
              </w:rPr>
            </w:pPr>
            <w:r w:rsidRPr="00885B5A">
              <w:rPr>
                <w:rFonts w:ascii="Times New Roman" w:eastAsia="SimSun" w:hAnsi="Times New Roman" w:cs="Times New Roman"/>
                <w:b/>
                <w:i/>
                <w:szCs w:val="24"/>
                <w:lang w:eastAsia="es-ES"/>
              </w:rPr>
              <w:t>HCFC REPLACEMENT OPTIONS FOR APPLIANCES (DOMESTIC &amp; COMMERCIAL), TRUCKS &amp; REEFERS</w:t>
            </w:r>
          </w:p>
        </w:tc>
      </w:tr>
      <w:tr w:rsidR="00885B5A" w:rsidRPr="00885B5A" w14:paraId="326A9DFD" w14:textId="77777777" w:rsidTr="00461C30">
        <w:trPr>
          <w:cantSplit/>
        </w:trPr>
        <w:tc>
          <w:tcPr>
            <w:tcW w:w="2585" w:type="dxa"/>
            <w:vAlign w:val="center"/>
          </w:tcPr>
          <w:p w14:paraId="786D4056" w14:textId="77777777" w:rsidR="00885B5A" w:rsidRPr="00885B5A" w:rsidRDefault="00885B5A" w:rsidP="00885B5A">
            <w:pPr>
              <w:ind w:right="-75"/>
              <w:jc w:val="center"/>
              <w:rPr>
                <w:rFonts w:ascii="Times New Roman" w:eastAsia="SimSun" w:hAnsi="Times New Roman" w:cs="Times New Roman"/>
                <w:b/>
                <w:color w:val="000000"/>
                <w:sz w:val="18"/>
                <w:szCs w:val="24"/>
                <w:lang w:eastAsia="nl-NL"/>
              </w:rPr>
            </w:pPr>
            <w:r w:rsidRPr="00885B5A">
              <w:rPr>
                <w:rFonts w:ascii="Times New Roman" w:eastAsia="SimSun" w:hAnsi="Times New Roman" w:cs="Times New Roman"/>
                <w:b/>
                <w:color w:val="000000"/>
                <w:sz w:val="18"/>
                <w:szCs w:val="24"/>
                <w:lang w:eastAsia="nl-NL"/>
              </w:rPr>
              <w:t>SECTOR/OPTION</w:t>
            </w:r>
          </w:p>
        </w:tc>
        <w:tc>
          <w:tcPr>
            <w:tcW w:w="1979" w:type="dxa"/>
            <w:vAlign w:val="center"/>
          </w:tcPr>
          <w:p w14:paraId="124A1224" w14:textId="77777777" w:rsidR="00885B5A" w:rsidRPr="00885B5A" w:rsidRDefault="00885B5A" w:rsidP="00885B5A">
            <w:pPr>
              <w:keepNext/>
              <w:widowControl w:val="0"/>
              <w:tabs>
                <w:tab w:val="left" w:pos="1080"/>
              </w:tabs>
              <w:spacing w:before="120" w:after="120"/>
              <w:jc w:val="center"/>
              <w:outlineLvl w:val="3"/>
              <w:rPr>
                <w:rFonts w:ascii="Times New Roman" w:eastAsia="SimSun" w:hAnsi="Times New Roman" w:cs="Times New Roman"/>
                <w:b/>
                <w:i/>
                <w:color w:val="000000"/>
                <w:sz w:val="18"/>
                <w:szCs w:val="24"/>
                <w:lang w:eastAsia="nl-NL"/>
              </w:rPr>
            </w:pPr>
            <w:r w:rsidRPr="00885B5A">
              <w:rPr>
                <w:rFonts w:ascii="Times New Roman" w:eastAsia="SimSun" w:hAnsi="Times New Roman" w:cs="Times New Roman"/>
                <w:b/>
                <w:i/>
                <w:color w:val="000000"/>
                <w:sz w:val="18"/>
                <w:szCs w:val="24"/>
                <w:lang w:eastAsia="nl-NL"/>
              </w:rPr>
              <w:t>PROS</w:t>
            </w:r>
          </w:p>
        </w:tc>
        <w:tc>
          <w:tcPr>
            <w:tcW w:w="1979" w:type="dxa"/>
            <w:vAlign w:val="center"/>
          </w:tcPr>
          <w:p w14:paraId="3EA69BF6" w14:textId="77777777" w:rsidR="00885B5A" w:rsidRPr="00885B5A" w:rsidRDefault="00885B5A" w:rsidP="00885B5A">
            <w:pPr>
              <w:keepNext/>
              <w:widowControl w:val="0"/>
              <w:tabs>
                <w:tab w:val="left" w:pos="1080"/>
              </w:tabs>
              <w:spacing w:before="120" w:after="120"/>
              <w:jc w:val="center"/>
              <w:outlineLvl w:val="3"/>
              <w:rPr>
                <w:rFonts w:ascii="Times New Roman" w:eastAsia="SimSun" w:hAnsi="Times New Roman" w:cs="Times New Roman"/>
                <w:b/>
                <w:i/>
                <w:color w:val="000000"/>
                <w:sz w:val="18"/>
                <w:szCs w:val="24"/>
                <w:lang w:eastAsia="nl-NL"/>
              </w:rPr>
            </w:pPr>
            <w:r w:rsidRPr="00885B5A">
              <w:rPr>
                <w:rFonts w:ascii="Times New Roman" w:eastAsia="SimSun" w:hAnsi="Times New Roman" w:cs="Times New Roman"/>
                <w:b/>
                <w:i/>
                <w:color w:val="000000"/>
                <w:sz w:val="18"/>
                <w:szCs w:val="24"/>
                <w:lang w:eastAsia="nl-NL"/>
              </w:rPr>
              <w:t>CONS</w:t>
            </w:r>
          </w:p>
        </w:tc>
        <w:tc>
          <w:tcPr>
            <w:tcW w:w="2671" w:type="dxa"/>
            <w:vAlign w:val="center"/>
          </w:tcPr>
          <w:p w14:paraId="18B9FEA4" w14:textId="77777777" w:rsidR="00885B5A" w:rsidRPr="00885B5A" w:rsidRDefault="00885B5A" w:rsidP="00885B5A">
            <w:pPr>
              <w:keepNext/>
              <w:widowControl w:val="0"/>
              <w:tabs>
                <w:tab w:val="left" w:pos="1080"/>
              </w:tabs>
              <w:spacing w:before="120" w:after="120"/>
              <w:jc w:val="center"/>
              <w:outlineLvl w:val="3"/>
              <w:rPr>
                <w:rFonts w:ascii="Times New Roman" w:eastAsia="SimSun" w:hAnsi="Times New Roman" w:cs="Times New Roman"/>
                <w:b/>
                <w:i/>
                <w:color w:val="000000"/>
                <w:sz w:val="18"/>
                <w:szCs w:val="24"/>
                <w:lang w:eastAsia="nl-NL"/>
              </w:rPr>
            </w:pPr>
            <w:r w:rsidRPr="00885B5A">
              <w:rPr>
                <w:rFonts w:ascii="Times New Roman" w:eastAsia="SimSun" w:hAnsi="Times New Roman" w:cs="Times New Roman"/>
                <w:b/>
                <w:i/>
                <w:color w:val="000000"/>
                <w:sz w:val="18"/>
                <w:szCs w:val="24"/>
                <w:lang w:eastAsia="nl-NL"/>
              </w:rPr>
              <w:t>COMMENTS</w:t>
            </w:r>
          </w:p>
        </w:tc>
      </w:tr>
      <w:tr w:rsidR="00885B5A" w:rsidRPr="00885B5A" w14:paraId="733C1E27" w14:textId="77777777" w:rsidTr="00461C30">
        <w:trPr>
          <w:cantSplit/>
        </w:trPr>
        <w:tc>
          <w:tcPr>
            <w:tcW w:w="9214" w:type="dxa"/>
            <w:gridSpan w:val="4"/>
            <w:shd w:val="clear" w:color="auto" w:fill="C0C0C0"/>
            <w:vAlign w:val="center"/>
          </w:tcPr>
          <w:p w14:paraId="3F3BC688" w14:textId="77777777" w:rsidR="00885B5A" w:rsidRPr="00885B5A" w:rsidRDefault="00885B5A" w:rsidP="00885B5A">
            <w:pPr>
              <w:rPr>
                <w:rFonts w:ascii="Times New Roman" w:eastAsia="SimSun" w:hAnsi="Times New Roman" w:cs="Times New Roman"/>
                <w:b/>
                <w:i/>
                <w:color w:val="000000"/>
                <w:szCs w:val="24"/>
                <w:lang w:eastAsia="nl-NL"/>
              </w:rPr>
            </w:pPr>
            <w:r w:rsidRPr="00885B5A">
              <w:rPr>
                <w:rFonts w:ascii="Times New Roman" w:eastAsia="SimSun" w:hAnsi="Times New Roman" w:cs="Times New Roman"/>
                <w:b/>
                <w:i/>
                <w:color w:val="000000"/>
                <w:szCs w:val="24"/>
                <w:lang w:eastAsia="nl-NL"/>
              </w:rPr>
              <w:t>Domestic refrigerators/freezers</w:t>
            </w:r>
          </w:p>
        </w:tc>
      </w:tr>
      <w:tr w:rsidR="00885B5A" w:rsidRPr="00885B5A" w14:paraId="6DAA1A52" w14:textId="77777777" w:rsidTr="00461C30">
        <w:trPr>
          <w:cantSplit/>
        </w:trPr>
        <w:tc>
          <w:tcPr>
            <w:tcW w:w="2585" w:type="dxa"/>
            <w:vMerge w:val="restart"/>
            <w:vAlign w:val="center"/>
          </w:tcPr>
          <w:p w14:paraId="645DBAB2" w14:textId="77777777" w:rsidR="00885B5A" w:rsidRPr="00885B5A" w:rsidRDefault="00885B5A" w:rsidP="00885B5A">
            <w:pPr>
              <w:tabs>
                <w:tab w:val="left" w:pos="720"/>
                <w:tab w:val="left" w:pos="1440"/>
                <w:tab w:val="left" w:pos="3544"/>
                <w:tab w:val="left" w:pos="5760"/>
              </w:tabs>
              <w:ind w:right="-75"/>
              <w:rPr>
                <w:rFonts w:ascii="Times New Roman" w:eastAsia="SimSun" w:hAnsi="Times New Roman" w:cs="Times New Roman"/>
                <w:sz w:val="18"/>
                <w:szCs w:val="24"/>
                <w:lang w:eastAsia="nl-NL"/>
              </w:rPr>
            </w:pPr>
            <w:proofErr w:type="spellStart"/>
            <w:r w:rsidRPr="00885B5A">
              <w:rPr>
                <w:rFonts w:ascii="Times New Roman" w:eastAsia="SimSun" w:hAnsi="Times New Roman" w:cs="Times New Roman"/>
                <w:sz w:val="18"/>
                <w:szCs w:val="24"/>
                <w:lang w:eastAsia="nl-NL"/>
              </w:rPr>
              <w:t>Cyclopentane</w:t>
            </w:r>
            <w:proofErr w:type="spellEnd"/>
            <w:r w:rsidRPr="00885B5A">
              <w:rPr>
                <w:rFonts w:ascii="Times New Roman" w:eastAsia="SimSun" w:hAnsi="Times New Roman" w:cs="Times New Roman"/>
                <w:sz w:val="18"/>
                <w:szCs w:val="24"/>
                <w:lang w:eastAsia="nl-NL"/>
              </w:rPr>
              <w:t xml:space="preserve"> &amp; </w:t>
            </w:r>
            <w:proofErr w:type="spellStart"/>
            <w:r w:rsidRPr="00885B5A">
              <w:rPr>
                <w:rFonts w:ascii="Times New Roman" w:eastAsia="SimSun" w:hAnsi="Times New Roman" w:cs="Times New Roman"/>
                <w:sz w:val="18"/>
                <w:szCs w:val="24"/>
                <w:lang w:eastAsia="nl-NL"/>
              </w:rPr>
              <w:t>cyclo</w:t>
            </w:r>
            <w:proofErr w:type="spellEnd"/>
            <w:r w:rsidRPr="00885B5A">
              <w:rPr>
                <w:rFonts w:ascii="Times New Roman" w:eastAsia="SimSun" w:hAnsi="Times New Roman" w:cs="Times New Roman"/>
                <w:sz w:val="18"/>
                <w:szCs w:val="24"/>
                <w:lang w:eastAsia="nl-NL"/>
              </w:rPr>
              <w:t>/</w:t>
            </w:r>
            <w:proofErr w:type="spellStart"/>
            <w:r w:rsidRPr="00885B5A">
              <w:rPr>
                <w:rFonts w:ascii="Times New Roman" w:eastAsia="SimSun" w:hAnsi="Times New Roman" w:cs="Times New Roman"/>
                <w:sz w:val="18"/>
                <w:szCs w:val="24"/>
                <w:lang w:eastAsia="nl-NL"/>
              </w:rPr>
              <w:t>iso</w:t>
            </w:r>
            <w:proofErr w:type="spellEnd"/>
            <w:r w:rsidRPr="00885B5A">
              <w:rPr>
                <w:rFonts w:ascii="Times New Roman" w:eastAsia="SimSun" w:hAnsi="Times New Roman" w:cs="Times New Roman"/>
                <w:sz w:val="18"/>
                <w:szCs w:val="24"/>
                <w:lang w:eastAsia="nl-NL"/>
              </w:rPr>
              <w:t xml:space="preserve"> blends</w:t>
            </w:r>
          </w:p>
        </w:tc>
        <w:tc>
          <w:tcPr>
            <w:tcW w:w="1979" w:type="dxa"/>
            <w:vAlign w:val="center"/>
          </w:tcPr>
          <w:p w14:paraId="7AD03AAB"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GWP</w:t>
            </w:r>
          </w:p>
        </w:tc>
        <w:tc>
          <w:tcPr>
            <w:tcW w:w="1979" w:type="dxa"/>
            <w:vAlign w:val="center"/>
          </w:tcPr>
          <w:p w14:paraId="2167A391"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Highly flammable</w:t>
            </w:r>
          </w:p>
        </w:tc>
        <w:tc>
          <w:tcPr>
            <w:tcW w:w="2671" w:type="dxa"/>
            <w:vAlign w:val="center"/>
          </w:tcPr>
          <w:p w14:paraId="1FFAA574" w14:textId="77777777" w:rsidR="00885B5A" w:rsidRPr="00885B5A" w:rsidRDefault="00885B5A" w:rsidP="00885B5A">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incremental capital costs but most enterprises in sub-sector are large</w:t>
            </w:r>
          </w:p>
        </w:tc>
      </w:tr>
      <w:tr w:rsidR="00885B5A" w:rsidRPr="00885B5A" w14:paraId="425F29E0" w14:textId="77777777" w:rsidTr="00461C30">
        <w:trPr>
          <w:cantSplit/>
        </w:trPr>
        <w:tc>
          <w:tcPr>
            <w:tcW w:w="2585" w:type="dxa"/>
            <w:vMerge/>
            <w:vAlign w:val="center"/>
          </w:tcPr>
          <w:p w14:paraId="31C0AB0F"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476F2E3F"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operating costs</w:t>
            </w:r>
          </w:p>
        </w:tc>
        <w:tc>
          <w:tcPr>
            <w:tcW w:w="1979" w:type="dxa"/>
            <w:vAlign w:val="center"/>
          </w:tcPr>
          <w:p w14:paraId="0F4E11E3"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4110F3A0"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Global industry standard </w:t>
            </w:r>
          </w:p>
        </w:tc>
      </w:tr>
      <w:tr w:rsidR="00885B5A" w:rsidRPr="00885B5A" w14:paraId="7995520D" w14:textId="77777777" w:rsidTr="00461C30">
        <w:trPr>
          <w:cantSplit/>
        </w:trPr>
        <w:tc>
          <w:tcPr>
            <w:tcW w:w="2585" w:type="dxa"/>
            <w:vMerge/>
            <w:vAlign w:val="center"/>
          </w:tcPr>
          <w:p w14:paraId="57D64DAA"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536E640C" w14:textId="77777777" w:rsidR="00885B5A" w:rsidRPr="00885B5A" w:rsidRDefault="00885B5A" w:rsidP="00885B5A">
            <w:pPr>
              <w:keepNext/>
              <w:widowControl w:val="0"/>
              <w:tabs>
                <w:tab w:val="left" w:pos="1080"/>
                <w:tab w:val="left" w:pos="3544"/>
              </w:tabs>
              <w:ind w:right="-80"/>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Good foam properties</w:t>
            </w:r>
          </w:p>
        </w:tc>
        <w:tc>
          <w:tcPr>
            <w:tcW w:w="1979" w:type="dxa"/>
            <w:vAlign w:val="center"/>
          </w:tcPr>
          <w:p w14:paraId="4D0112C6"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3D3A1DC8"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r>
      <w:tr w:rsidR="00885B5A" w:rsidRPr="00885B5A" w14:paraId="57166942" w14:textId="77777777" w:rsidTr="00461C30">
        <w:trPr>
          <w:cantSplit/>
        </w:trPr>
        <w:tc>
          <w:tcPr>
            <w:tcW w:w="2585" w:type="dxa"/>
            <w:vMerge w:val="restart"/>
            <w:vAlign w:val="center"/>
          </w:tcPr>
          <w:p w14:paraId="7079B91A" w14:textId="77777777" w:rsidR="00885B5A" w:rsidRPr="00885B5A" w:rsidRDefault="00885B5A" w:rsidP="00885B5A">
            <w:pPr>
              <w:tabs>
                <w:tab w:val="left" w:pos="720"/>
                <w:tab w:val="left" w:pos="1440"/>
                <w:tab w:val="left" w:pos="3544"/>
                <w:tab w:val="left" w:pos="5760"/>
              </w:tabs>
              <w:ind w:right="-75"/>
              <w:rPr>
                <w:rFonts w:ascii="Times New Roman" w:eastAsia="SimSun" w:hAnsi="Times New Roman" w:cs="Times New Roman"/>
                <w:sz w:val="18"/>
                <w:szCs w:val="24"/>
                <w:lang w:eastAsia="nl-NL"/>
              </w:rPr>
            </w:pPr>
            <w:r w:rsidRPr="00885B5A">
              <w:rPr>
                <w:rFonts w:ascii="Times New Roman" w:eastAsia="SimSun" w:hAnsi="Times New Roman" w:cs="Times New Roman"/>
                <w:sz w:val="18"/>
                <w:szCs w:val="24"/>
                <w:lang w:eastAsia="nl-NL"/>
              </w:rPr>
              <w:t>Saturated HFCs (HFC-245fa)</w:t>
            </w:r>
          </w:p>
        </w:tc>
        <w:tc>
          <w:tcPr>
            <w:tcW w:w="1979" w:type="dxa"/>
            <w:vAlign w:val="center"/>
          </w:tcPr>
          <w:p w14:paraId="08BF085E"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Non-flammable</w:t>
            </w:r>
          </w:p>
        </w:tc>
        <w:tc>
          <w:tcPr>
            <w:tcW w:w="1979" w:type="dxa"/>
            <w:vAlign w:val="center"/>
          </w:tcPr>
          <w:p w14:paraId="23B0C39C"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GWP</w:t>
            </w:r>
          </w:p>
        </w:tc>
        <w:tc>
          <w:tcPr>
            <w:tcW w:w="2671" w:type="dxa"/>
            <w:vAlign w:val="center"/>
          </w:tcPr>
          <w:p w14:paraId="4F4CF9C2"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incremental capital costs</w:t>
            </w:r>
          </w:p>
        </w:tc>
      </w:tr>
      <w:tr w:rsidR="00885B5A" w:rsidRPr="00885B5A" w14:paraId="1CF13D14" w14:textId="77777777" w:rsidTr="00461C30">
        <w:trPr>
          <w:cantSplit/>
        </w:trPr>
        <w:tc>
          <w:tcPr>
            <w:tcW w:w="2585" w:type="dxa"/>
            <w:vMerge/>
            <w:vAlign w:val="center"/>
          </w:tcPr>
          <w:p w14:paraId="11D0E464"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15D69AE2"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operating costs</w:t>
            </w:r>
          </w:p>
        </w:tc>
        <w:tc>
          <w:tcPr>
            <w:tcW w:w="1979" w:type="dxa"/>
            <w:vAlign w:val="center"/>
          </w:tcPr>
          <w:p w14:paraId="65009FAC"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63FA85F0"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Improved insulation (cf. HC)</w:t>
            </w:r>
          </w:p>
        </w:tc>
      </w:tr>
      <w:tr w:rsidR="00885B5A" w:rsidRPr="00885B5A" w14:paraId="1A18C67F" w14:textId="77777777" w:rsidTr="00461C30">
        <w:trPr>
          <w:cantSplit/>
          <w:trHeight w:val="130"/>
        </w:trPr>
        <w:tc>
          <w:tcPr>
            <w:tcW w:w="2585" w:type="dxa"/>
            <w:vMerge/>
            <w:vAlign w:val="center"/>
          </w:tcPr>
          <w:p w14:paraId="6DC0E987"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1CCBC1E7"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Good foam properties</w:t>
            </w:r>
          </w:p>
        </w:tc>
        <w:tc>
          <w:tcPr>
            <w:tcW w:w="1979" w:type="dxa"/>
            <w:vAlign w:val="center"/>
          </w:tcPr>
          <w:p w14:paraId="4FDA7716"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0B175B5D"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Well proven technology</w:t>
            </w:r>
          </w:p>
        </w:tc>
      </w:tr>
      <w:tr w:rsidR="00885B5A" w:rsidRPr="00885B5A" w14:paraId="2C14A8F6" w14:textId="77777777" w:rsidTr="00461C30">
        <w:trPr>
          <w:cantSplit/>
        </w:trPr>
        <w:tc>
          <w:tcPr>
            <w:tcW w:w="9214" w:type="dxa"/>
            <w:gridSpan w:val="4"/>
            <w:shd w:val="clear" w:color="auto" w:fill="C0C0C0"/>
            <w:vAlign w:val="center"/>
          </w:tcPr>
          <w:p w14:paraId="4383A318" w14:textId="77777777" w:rsidR="00885B5A" w:rsidRPr="00885B5A" w:rsidRDefault="00885B5A" w:rsidP="00885B5A">
            <w:pPr>
              <w:rPr>
                <w:rFonts w:ascii="Times New Roman" w:eastAsia="SimSun" w:hAnsi="Times New Roman" w:cs="Times New Roman"/>
                <w:b/>
                <w:i/>
                <w:color w:val="000000"/>
                <w:szCs w:val="24"/>
                <w:lang w:eastAsia="nl-NL"/>
              </w:rPr>
            </w:pPr>
            <w:r w:rsidRPr="00885B5A">
              <w:rPr>
                <w:rFonts w:ascii="Times New Roman" w:eastAsia="SimSun" w:hAnsi="Times New Roman" w:cs="Times New Roman"/>
                <w:b/>
                <w:i/>
                <w:color w:val="000000"/>
                <w:szCs w:val="24"/>
                <w:lang w:eastAsia="nl-NL"/>
              </w:rPr>
              <w:t>Commercial refrigerators/freezers plus vending equipment</w:t>
            </w:r>
          </w:p>
        </w:tc>
      </w:tr>
      <w:tr w:rsidR="00885B5A" w:rsidRPr="00885B5A" w14:paraId="2401DB24" w14:textId="77777777" w:rsidTr="00461C30">
        <w:trPr>
          <w:cantSplit/>
        </w:trPr>
        <w:tc>
          <w:tcPr>
            <w:tcW w:w="2585" w:type="dxa"/>
            <w:vMerge w:val="restart"/>
            <w:vAlign w:val="center"/>
          </w:tcPr>
          <w:p w14:paraId="2FA2A5A8" w14:textId="77777777" w:rsidR="00885B5A" w:rsidRPr="00885B5A" w:rsidRDefault="00885B5A" w:rsidP="00885B5A">
            <w:pPr>
              <w:tabs>
                <w:tab w:val="left" w:pos="720"/>
                <w:tab w:val="left" w:pos="1440"/>
                <w:tab w:val="left" w:pos="3544"/>
                <w:tab w:val="left" w:pos="5760"/>
              </w:tabs>
              <w:ind w:right="-75"/>
              <w:rPr>
                <w:rFonts w:ascii="Times New Roman" w:eastAsia="SimSun" w:hAnsi="Times New Roman" w:cs="Times New Roman"/>
                <w:sz w:val="18"/>
                <w:szCs w:val="24"/>
                <w:lang w:eastAsia="nl-NL"/>
              </w:rPr>
            </w:pPr>
            <w:proofErr w:type="spellStart"/>
            <w:r w:rsidRPr="00885B5A">
              <w:rPr>
                <w:rFonts w:ascii="Times New Roman" w:eastAsia="SimSun" w:hAnsi="Times New Roman" w:cs="Times New Roman"/>
                <w:sz w:val="18"/>
                <w:szCs w:val="24"/>
                <w:lang w:eastAsia="nl-NL"/>
              </w:rPr>
              <w:t>Cyclopentane</w:t>
            </w:r>
            <w:proofErr w:type="spellEnd"/>
            <w:r w:rsidRPr="00885B5A">
              <w:rPr>
                <w:rFonts w:ascii="Times New Roman" w:eastAsia="SimSun" w:hAnsi="Times New Roman" w:cs="Times New Roman"/>
                <w:sz w:val="18"/>
                <w:szCs w:val="24"/>
                <w:lang w:eastAsia="nl-NL"/>
              </w:rPr>
              <w:t xml:space="preserve"> &amp; </w:t>
            </w:r>
            <w:proofErr w:type="spellStart"/>
            <w:r w:rsidRPr="00885B5A">
              <w:rPr>
                <w:rFonts w:ascii="Times New Roman" w:eastAsia="SimSun" w:hAnsi="Times New Roman" w:cs="Times New Roman"/>
                <w:sz w:val="18"/>
                <w:szCs w:val="24"/>
                <w:lang w:eastAsia="nl-NL"/>
              </w:rPr>
              <w:t>cyclo</w:t>
            </w:r>
            <w:proofErr w:type="spellEnd"/>
            <w:r w:rsidRPr="00885B5A">
              <w:rPr>
                <w:rFonts w:ascii="Times New Roman" w:eastAsia="SimSun" w:hAnsi="Times New Roman" w:cs="Times New Roman"/>
                <w:sz w:val="18"/>
                <w:szCs w:val="24"/>
                <w:lang w:eastAsia="nl-NL"/>
              </w:rPr>
              <w:t>/</w:t>
            </w:r>
            <w:proofErr w:type="spellStart"/>
            <w:r w:rsidRPr="00885B5A">
              <w:rPr>
                <w:rFonts w:ascii="Times New Roman" w:eastAsia="SimSun" w:hAnsi="Times New Roman" w:cs="Times New Roman"/>
                <w:sz w:val="18"/>
                <w:szCs w:val="24"/>
                <w:lang w:eastAsia="nl-NL"/>
              </w:rPr>
              <w:t>iso</w:t>
            </w:r>
            <w:proofErr w:type="spellEnd"/>
            <w:r w:rsidRPr="00885B5A">
              <w:rPr>
                <w:rFonts w:ascii="Times New Roman" w:eastAsia="SimSun" w:hAnsi="Times New Roman" w:cs="Times New Roman"/>
                <w:sz w:val="18"/>
                <w:szCs w:val="24"/>
                <w:lang w:eastAsia="nl-NL"/>
              </w:rPr>
              <w:t xml:space="preserve"> blends</w:t>
            </w:r>
          </w:p>
        </w:tc>
        <w:tc>
          <w:tcPr>
            <w:tcW w:w="1979" w:type="dxa"/>
            <w:vAlign w:val="center"/>
          </w:tcPr>
          <w:p w14:paraId="0DB9F207"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GWP</w:t>
            </w:r>
          </w:p>
        </w:tc>
        <w:tc>
          <w:tcPr>
            <w:tcW w:w="1979" w:type="dxa"/>
            <w:vAlign w:val="center"/>
          </w:tcPr>
          <w:p w14:paraId="3186C1C6"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Highly flammable</w:t>
            </w:r>
          </w:p>
        </w:tc>
        <w:tc>
          <w:tcPr>
            <w:tcW w:w="2671" w:type="dxa"/>
            <w:vAlign w:val="center"/>
          </w:tcPr>
          <w:p w14:paraId="19C48A7F"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incremental capital cost, may be uneconomic for SMEs</w:t>
            </w:r>
          </w:p>
        </w:tc>
      </w:tr>
      <w:tr w:rsidR="00885B5A" w:rsidRPr="00885B5A" w14:paraId="3A5CCB71" w14:textId="77777777" w:rsidTr="00461C30">
        <w:trPr>
          <w:cantSplit/>
        </w:trPr>
        <w:tc>
          <w:tcPr>
            <w:tcW w:w="2585" w:type="dxa"/>
            <w:vMerge/>
            <w:vAlign w:val="center"/>
          </w:tcPr>
          <w:p w14:paraId="7640C5F9"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2DF7CFC1"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operating costs</w:t>
            </w:r>
          </w:p>
        </w:tc>
        <w:tc>
          <w:tcPr>
            <w:tcW w:w="1979" w:type="dxa"/>
            <w:vAlign w:val="center"/>
          </w:tcPr>
          <w:p w14:paraId="16E9E0FA"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2568A3B3"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Well proven technology</w:t>
            </w:r>
          </w:p>
        </w:tc>
      </w:tr>
      <w:tr w:rsidR="00885B5A" w:rsidRPr="00885B5A" w14:paraId="295CBE08" w14:textId="77777777" w:rsidTr="00461C30">
        <w:trPr>
          <w:cantSplit/>
        </w:trPr>
        <w:tc>
          <w:tcPr>
            <w:tcW w:w="2585" w:type="dxa"/>
            <w:vMerge/>
            <w:vAlign w:val="center"/>
          </w:tcPr>
          <w:p w14:paraId="14F5777C"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27F583D3" w14:textId="77777777" w:rsidR="00885B5A" w:rsidRPr="00885B5A" w:rsidRDefault="00885B5A" w:rsidP="00885B5A">
            <w:pPr>
              <w:keepNext/>
              <w:widowControl w:val="0"/>
              <w:tabs>
                <w:tab w:val="left" w:pos="1080"/>
                <w:tab w:val="left" w:pos="3544"/>
              </w:tabs>
              <w:ind w:right="-80"/>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Good foam properties</w:t>
            </w:r>
          </w:p>
        </w:tc>
        <w:tc>
          <w:tcPr>
            <w:tcW w:w="1979" w:type="dxa"/>
            <w:vAlign w:val="center"/>
          </w:tcPr>
          <w:p w14:paraId="10CEFCD6"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vAlign w:val="center"/>
          </w:tcPr>
          <w:p w14:paraId="6FC666A5"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r>
      <w:tr w:rsidR="00885B5A" w:rsidRPr="00885B5A" w14:paraId="0B7522E4" w14:textId="77777777" w:rsidTr="00461C30">
        <w:trPr>
          <w:cantSplit/>
        </w:trPr>
        <w:tc>
          <w:tcPr>
            <w:tcW w:w="2585" w:type="dxa"/>
            <w:vMerge w:val="restart"/>
            <w:vAlign w:val="center"/>
          </w:tcPr>
          <w:p w14:paraId="65F2F692" w14:textId="77777777" w:rsidR="00885B5A" w:rsidRPr="00885B5A" w:rsidRDefault="00885B5A" w:rsidP="00885B5A">
            <w:pPr>
              <w:tabs>
                <w:tab w:val="left" w:pos="720"/>
                <w:tab w:val="left" w:pos="1440"/>
                <w:tab w:val="left" w:pos="3544"/>
                <w:tab w:val="left" w:pos="5760"/>
              </w:tabs>
              <w:ind w:right="-75"/>
              <w:rPr>
                <w:rFonts w:ascii="Times New Roman" w:eastAsia="SimSun" w:hAnsi="Times New Roman" w:cs="Times New Roman"/>
                <w:sz w:val="18"/>
                <w:szCs w:val="24"/>
                <w:lang w:eastAsia="nl-NL"/>
              </w:rPr>
            </w:pPr>
            <w:r w:rsidRPr="00885B5A">
              <w:rPr>
                <w:rFonts w:ascii="Times New Roman" w:eastAsia="SimSun" w:hAnsi="Times New Roman" w:cs="Times New Roman"/>
                <w:sz w:val="18"/>
                <w:szCs w:val="24"/>
                <w:lang w:eastAsia="nl-NL"/>
              </w:rPr>
              <w:t>HFC-245fa, HFC-365mfc/227ea</w:t>
            </w:r>
          </w:p>
        </w:tc>
        <w:tc>
          <w:tcPr>
            <w:tcW w:w="1979" w:type="dxa"/>
            <w:vAlign w:val="center"/>
          </w:tcPr>
          <w:p w14:paraId="34EA2BB0"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Non-flammable</w:t>
            </w:r>
          </w:p>
        </w:tc>
        <w:tc>
          <w:tcPr>
            <w:tcW w:w="1979" w:type="dxa"/>
            <w:vAlign w:val="center"/>
          </w:tcPr>
          <w:p w14:paraId="169AC0F4"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GWP</w:t>
            </w:r>
          </w:p>
        </w:tc>
        <w:tc>
          <w:tcPr>
            <w:tcW w:w="2671" w:type="dxa"/>
            <w:vAlign w:val="center"/>
          </w:tcPr>
          <w:p w14:paraId="49E90517"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incremental capital cost</w:t>
            </w:r>
          </w:p>
        </w:tc>
      </w:tr>
      <w:tr w:rsidR="00885B5A" w:rsidRPr="00885B5A" w14:paraId="02909143" w14:textId="77777777" w:rsidTr="00461C30">
        <w:trPr>
          <w:cantSplit/>
          <w:trHeight w:val="258"/>
        </w:trPr>
        <w:tc>
          <w:tcPr>
            <w:tcW w:w="2585" w:type="dxa"/>
            <w:vMerge/>
            <w:vAlign w:val="center"/>
          </w:tcPr>
          <w:p w14:paraId="27C84F02"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4A8BD2D2"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Good foam properties </w:t>
            </w:r>
          </w:p>
        </w:tc>
        <w:tc>
          <w:tcPr>
            <w:tcW w:w="1979" w:type="dxa"/>
            <w:vAlign w:val="center"/>
          </w:tcPr>
          <w:p w14:paraId="7123ACFC"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operating costs</w:t>
            </w:r>
          </w:p>
        </w:tc>
        <w:tc>
          <w:tcPr>
            <w:tcW w:w="2671" w:type="dxa"/>
            <w:vAlign w:val="center"/>
          </w:tcPr>
          <w:p w14:paraId="00B03291"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Improved insulation (cf. HC)</w:t>
            </w:r>
          </w:p>
        </w:tc>
      </w:tr>
      <w:tr w:rsidR="00885B5A" w:rsidRPr="00885B5A" w14:paraId="6CABB95A" w14:textId="77777777" w:rsidTr="00461C30">
        <w:trPr>
          <w:cantSplit/>
          <w:trHeight w:val="258"/>
        </w:trPr>
        <w:tc>
          <w:tcPr>
            <w:tcW w:w="2585" w:type="dxa"/>
            <w:vMerge w:val="restart"/>
            <w:vAlign w:val="center"/>
          </w:tcPr>
          <w:p w14:paraId="7F216DBC"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r w:rsidRPr="00885B5A">
              <w:rPr>
                <w:rFonts w:ascii="Times New Roman" w:eastAsia="SimSun" w:hAnsi="Times New Roman" w:cs="Times New Roman"/>
                <w:sz w:val="18"/>
                <w:szCs w:val="24"/>
                <w:lang w:eastAsia="nl-NL"/>
              </w:rPr>
              <w:t>CO</w:t>
            </w:r>
            <w:r w:rsidRPr="00885B5A">
              <w:rPr>
                <w:rFonts w:ascii="Times New Roman" w:eastAsia="SimSun" w:hAnsi="Times New Roman" w:cs="Times New Roman"/>
                <w:sz w:val="18"/>
                <w:szCs w:val="24"/>
                <w:vertAlign w:val="subscript"/>
                <w:lang w:eastAsia="nl-NL"/>
              </w:rPr>
              <w:t xml:space="preserve">2 </w:t>
            </w:r>
            <w:r w:rsidRPr="00885B5A">
              <w:rPr>
                <w:rFonts w:ascii="Times New Roman" w:eastAsia="SimSun" w:hAnsi="Times New Roman" w:cs="Times New Roman"/>
                <w:sz w:val="18"/>
                <w:szCs w:val="24"/>
                <w:lang w:eastAsia="nl-NL"/>
              </w:rPr>
              <w:t>(water)</w:t>
            </w:r>
          </w:p>
        </w:tc>
        <w:tc>
          <w:tcPr>
            <w:tcW w:w="1979" w:type="dxa"/>
            <w:vAlign w:val="center"/>
          </w:tcPr>
          <w:p w14:paraId="407BCC0E"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GWP</w:t>
            </w:r>
          </w:p>
        </w:tc>
        <w:tc>
          <w:tcPr>
            <w:tcW w:w="1979" w:type="dxa"/>
            <w:vAlign w:val="center"/>
          </w:tcPr>
          <w:p w14:paraId="684FFEE3" w14:textId="77777777" w:rsidR="00885B5A" w:rsidRPr="00885B5A" w:rsidRDefault="00885B5A" w:rsidP="00885B5A">
            <w:pPr>
              <w:keepNext/>
              <w:widowControl w:val="0"/>
              <w:tabs>
                <w:tab w:val="left" w:pos="1080"/>
                <w:tab w:val="left" w:pos="3544"/>
              </w:tabs>
              <w:ind w:right="-86"/>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Moderate foam properties – high thermal conductivity &amp; high foam density</w:t>
            </w:r>
          </w:p>
        </w:tc>
        <w:tc>
          <w:tcPr>
            <w:tcW w:w="2671" w:type="dxa"/>
            <w:vAlign w:val="center"/>
          </w:tcPr>
          <w:p w14:paraId="5FF24772" w14:textId="77777777" w:rsidR="00885B5A" w:rsidRPr="00885B5A" w:rsidRDefault="00885B5A" w:rsidP="00885B5A">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incremental capital cost</w:t>
            </w:r>
          </w:p>
        </w:tc>
      </w:tr>
      <w:tr w:rsidR="00885B5A" w:rsidRPr="00885B5A" w14:paraId="501AA836" w14:textId="77777777" w:rsidTr="00461C30">
        <w:trPr>
          <w:cantSplit/>
          <w:trHeight w:val="258"/>
        </w:trPr>
        <w:tc>
          <w:tcPr>
            <w:tcW w:w="2585" w:type="dxa"/>
            <w:vMerge/>
            <w:vAlign w:val="center"/>
          </w:tcPr>
          <w:p w14:paraId="12F2A2D7"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015DD060"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Non-flammable</w:t>
            </w:r>
          </w:p>
        </w:tc>
        <w:tc>
          <w:tcPr>
            <w:tcW w:w="1979" w:type="dxa"/>
            <w:vAlign w:val="center"/>
          </w:tcPr>
          <w:p w14:paraId="070FA42E"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High operating costs </w:t>
            </w:r>
          </w:p>
        </w:tc>
        <w:tc>
          <w:tcPr>
            <w:tcW w:w="2671" w:type="dxa"/>
            <w:vAlign w:val="center"/>
          </w:tcPr>
          <w:p w14:paraId="7E1A401E" w14:textId="77777777" w:rsidR="00885B5A" w:rsidRPr="00885B5A" w:rsidRDefault="00885B5A" w:rsidP="00885B5A">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Improved formulations (second generation) claim no need for density increase </w:t>
            </w:r>
            <w:proofErr w:type="spellStart"/>
            <w:r w:rsidRPr="00885B5A">
              <w:rPr>
                <w:rFonts w:ascii="Times New Roman" w:eastAsia="SimSun" w:hAnsi="Times New Roman" w:cs="Times New Roman"/>
                <w:i/>
                <w:color w:val="000000"/>
                <w:sz w:val="18"/>
                <w:szCs w:val="24"/>
                <w:lang w:eastAsia="nl-NL"/>
              </w:rPr>
              <w:t>vs</w:t>
            </w:r>
            <w:proofErr w:type="spellEnd"/>
            <w:r w:rsidRPr="00885B5A">
              <w:rPr>
                <w:rFonts w:ascii="Times New Roman" w:eastAsia="SimSun" w:hAnsi="Times New Roman" w:cs="Times New Roman"/>
                <w:i/>
                <w:color w:val="000000"/>
                <w:sz w:val="18"/>
                <w:szCs w:val="24"/>
                <w:lang w:eastAsia="nl-NL"/>
              </w:rPr>
              <w:t xml:space="preserve"> HFC co-blown</w:t>
            </w:r>
          </w:p>
        </w:tc>
      </w:tr>
      <w:tr w:rsidR="00885B5A" w:rsidRPr="00885B5A" w14:paraId="456C6BB6" w14:textId="77777777" w:rsidTr="00461C30">
        <w:trPr>
          <w:cantSplit/>
          <w:trHeight w:val="258"/>
        </w:trPr>
        <w:tc>
          <w:tcPr>
            <w:tcW w:w="2585" w:type="dxa"/>
            <w:vMerge w:val="restart"/>
            <w:vAlign w:val="center"/>
          </w:tcPr>
          <w:p w14:paraId="29B3F1AA"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r w:rsidRPr="00885B5A">
              <w:rPr>
                <w:rFonts w:ascii="Times New Roman" w:eastAsia="SimSun" w:hAnsi="Times New Roman" w:cs="Times New Roman"/>
                <w:sz w:val="18"/>
                <w:szCs w:val="24"/>
                <w:lang w:eastAsia="nl-NL"/>
              </w:rPr>
              <w:t xml:space="preserve">Methyl </w:t>
            </w:r>
            <w:proofErr w:type="spellStart"/>
            <w:r w:rsidRPr="00885B5A">
              <w:rPr>
                <w:rFonts w:ascii="Times New Roman" w:eastAsia="SimSun" w:hAnsi="Times New Roman" w:cs="Times New Roman"/>
                <w:sz w:val="18"/>
                <w:szCs w:val="24"/>
                <w:lang w:eastAsia="nl-NL"/>
              </w:rPr>
              <w:t>Formate</w:t>
            </w:r>
            <w:proofErr w:type="spellEnd"/>
          </w:p>
        </w:tc>
        <w:tc>
          <w:tcPr>
            <w:tcW w:w="1979" w:type="dxa"/>
            <w:vAlign w:val="center"/>
          </w:tcPr>
          <w:p w14:paraId="774ADC9F"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GWP</w:t>
            </w:r>
          </w:p>
        </w:tc>
        <w:tc>
          <w:tcPr>
            <w:tcW w:w="1979" w:type="dxa"/>
            <w:vAlign w:val="center"/>
          </w:tcPr>
          <w:p w14:paraId="0DFEC61D" w14:textId="77777777" w:rsidR="00885B5A" w:rsidRPr="00885B5A" w:rsidRDefault="00885B5A" w:rsidP="00885B5A">
            <w:pPr>
              <w:keepNext/>
              <w:widowControl w:val="0"/>
              <w:tabs>
                <w:tab w:val="left" w:pos="1080"/>
                <w:tab w:val="left" w:pos="3544"/>
              </w:tabs>
              <w:ind w:right="-86"/>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Moderate foam properties -high thermal conductivity &amp; high foam density-</w:t>
            </w:r>
          </w:p>
        </w:tc>
        <w:tc>
          <w:tcPr>
            <w:tcW w:w="2671" w:type="dxa"/>
            <w:vAlign w:val="center"/>
          </w:tcPr>
          <w:p w14:paraId="0202EDE0" w14:textId="77777777" w:rsidR="00885B5A" w:rsidRPr="00885B5A" w:rsidRDefault="00885B5A" w:rsidP="00885B5A">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Moderate incremental capital cost (corrosion protection recommended)</w:t>
            </w:r>
          </w:p>
        </w:tc>
      </w:tr>
      <w:tr w:rsidR="00885B5A" w:rsidRPr="00885B5A" w14:paraId="1077E1A9" w14:textId="77777777" w:rsidTr="00461C30">
        <w:trPr>
          <w:cantSplit/>
          <w:trHeight w:val="258"/>
        </w:trPr>
        <w:tc>
          <w:tcPr>
            <w:tcW w:w="2585" w:type="dxa"/>
            <w:vMerge/>
            <w:vAlign w:val="center"/>
          </w:tcPr>
          <w:p w14:paraId="6B6D0DF1"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51BCCBD0" w14:textId="77777777" w:rsidR="00885B5A" w:rsidRPr="00885B5A" w:rsidRDefault="00885B5A" w:rsidP="00885B5A">
            <w:pPr>
              <w:keepNext/>
              <w:widowControl w:val="0"/>
              <w:tabs>
                <w:tab w:val="left" w:pos="1080"/>
                <w:tab w:val="left" w:pos="3544"/>
              </w:tabs>
              <w:ind w:right="-80"/>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Flammable although blends with </w:t>
            </w:r>
            <w:proofErr w:type="spellStart"/>
            <w:r w:rsidRPr="00885B5A">
              <w:rPr>
                <w:rFonts w:ascii="Times New Roman" w:eastAsia="SimSun" w:hAnsi="Times New Roman" w:cs="Times New Roman"/>
                <w:i/>
                <w:color w:val="000000"/>
                <w:sz w:val="18"/>
                <w:szCs w:val="24"/>
                <w:lang w:eastAsia="nl-NL"/>
              </w:rPr>
              <w:t>polyols</w:t>
            </w:r>
            <w:proofErr w:type="spellEnd"/>
            <w:r w:rsidRPr="00885B5A">
              <w:rPr>
                <w:rFonts w:ascii="Times New Roman" w:eastAsia="SimSun" w:hAnsi="Times New Roman" w:cs="Times New Roman"/>
                <w:i/>
                <w:color w:val="000000"/>
                <w:sz w:val="18"/>
                <w:szCs w:val="24"/>
                <w:lang w:eastAsia="nl-NL"/>
              </w:rPr>
              <w:t xml:space="preserve"> may not be flammable</w:t>
            </w:r>
          </w:p>
        </w:tc>
        <w:tc>
          <w:tcPr>
            <w:tcW w:w="1979" w:type="dxa"/>
            <w:vAlign w:val="center"/>
          </w:tcPr>
          <w:p w14:paraId="52E3CEBE"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High operating costs </w:t>
            </w:r>
          </w:p>
        </w:tc>
        <w:tc>
          <w:tcPr>
            <w:tcW w:w="2671" w:type="dxa"/>
            <w:vAlign w:val="center"/>
          </w:tcPr>
          <w:p w14:paraId="087F233F"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r>
      <w:tr w:rsidR="00885B5A" w:rsidRPr="00885B5A" w14:paraId="6B6130B5" w14:textId="77777777" w:rsidTr="00461C30">
        <w:trPr>
          <w:cantSplit/>
        </w:trPr>
        <w:tc>
          <w:tcPr>
            <w:tcW w:w="9214" w:type="dxa"/>
            <w:gridSpan w:val="4"/>
            <w:shd w:val="clear" w:color="auto" w:fill="C0C0C0"/>
            <w:vAlign w:val="center"/>
          </w:tcPr>
          <w:p w14:paraId="6218C598" w14:textId="77777777" w:rsidR="00885B5A" w:rsidRPr="00885B5A" w:rsidRDefault="00885B5A" w:rsidP="00885B5A">
            <w:pPr>
              <w:rPr>
                <w:rFonts w:ascii="Times New Roman" w:eastAsia="SimSun" w:hAnsi="Times New Roman" w:cs="Times New Roman"/>
                <w:b/>
                <w:i/>
                <w:color w:val="000000"/>
                <w:szCs w:val="24"/>
                <w:lang w:eastAsia="nl-NL"/>
              </w:rPr>
            </w:pPr>
            <w:r w:rsidRPr="00885B5A">
              <w:rPr>
                <w:rFonts w:ascii="Times New Roman" w:eastAsia="SimSun" w:hAnsi="Times New Roman" w:cs="Times New Roman"/>
                <w:b/>
                <w:i/>
                <w:color w:val="000000"/>
                <w:szCs w:val="24"/>
                <w:lang w:eastAsia="nl-NL"/>
              </w:rPr>
              <w:t>Refrigerated trucks &amp; reefers</w:t>
            </w:r>
          </w:p>
        </w:tc>
      </w:tr>
      <w:tr w:rsidR="00885B5A" w:rsidRPr="00885B5A" w14:paraId="651B9C93" w14:textId="77777777" w:rsidTr="00461C30">
        <w:trPr>
          <w:cantSplit/>
          <w:trHeight w:val="258"/>
        </w:trPr>
        <w:tc>
          <w:tcPr>
            <w:tcW w:w="2585" w:type="dxa"/>
            <w:vMerge w:val="restart"/>
            <w:vAlign w:val="center"/>
          </w:tcPr>
          <w:p w14:paraId="0A967D74"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roofErr w:type="spellStart"/>
            <w:r w:rsidRPr="00885B5A">
              <w:rPr>
                <w:rFonts w:ascii="Times New Roman" w:eastAsia="SimSun" w:hAnsi="Times New Roman" w:cs="Times New Roman"/>
                <w:color w:val="000000"/>
                <w:sz w:val="18"/>
                <w:szCs w:val="24"/>
                <w:lang w:eastAsia="nl-NL"/>
              </w:rPr>
              <w:t>Cyclopentane</w:t>
            </w:r>
            <w:proofErr w:type="spellEnd"/>
            <w:r w:rsidRPr="00885B5A">
              <w:rPr>
                <w:rFonts w:ascii="Times New Roman" w:eastAsia="SimSun" w:hAnsi="Times New Roman" w:cs="Times New Roman"/>
                <w:color w:val="000000"/>
                <w:sz w:val="18"/>
                <w:szCs w:val="24"/>
                <w:lang w:eastAsia="nl-NL"/>
              </w:rPr>
              <w:t xml:space="preserve"> &amp; </w:t>
            </w:r>
            <w:proofErr w:type="spellStart"/>
            <w:r w:rsidRPr="00885B5A">
              <w:rPr>
                <w:rFonts w:ascii="Times New Roman" w:eastAsia="SimSun" w:hAnsi="Times New Roman" w:cs="Times New Roman"/>
                <w:color w:val="000000"/>
                <w:sz w:val="18"/>
                <w:szCs w:val="24"/>
                <w:lang w:eastAsia="nl-NL"/>
              </w:rPr>
              <w:t>cyclo</w:t>
            </w:r>
            <w:proofErr w:type="spellEnd"/>
            <w:r w:rsidRPr="00885B5A">
              <w:rPr>
                <w:rFonts w:ascii="Times New Roman" w:eastAsia="SimSun" w:hAnsi="Times New Roman" w:cs="Times New Roman"/>
                <w:color w:val="000000"/>
                <w:sz w:val="18"/>
                <w:szCs w:val="24"/>
                <w:lang w:eastAsia="nl-NL"/>
              </w:rPr>
              <w:t>/</w:t>
            </w:r>
            <w:proofErr w:type="spellStart"/>
            <w:r w:rsidRPr="00885B5A">
              <w:rPr>
                <w:rFonts w:ascii="Times New Roman" w:eastAsia="SimSun" w:hAnsi="Times New Roman" w:cs="Times New Roman"/>
                <w:color w:val="000000"/>
                <w:sz w:val="18"/>
                <w:szCs w:val="24"/>
                <w:lang w:eastAsia="nl-NL"/>
              </w:rPr>
              <w:t>iso</w:t>
            </w:r>
            <w:proofErr w:type="spellEnd"/>
            <w:r w:rsidRPr="00885B5A">
              <w:rPr>
                <w:rFonts w:ascii="Times New Roman" w:eastAsia="SimSun" w:hAnsi="Times New Roman" w:cs="Times New Roman"/>
                <w:color w:val="000000"/>
                <w:sz w:val="18"/>
                <w:szCs w:val="24"/>
                <w:lang w:eastAsia="nl-NL"/>
              </w:rPr>
              <w:t xml:space="preserve"> blends</w:t>
            </w:r>
          </w:p>
        </w:tc>
        <w:tc>
          <w:tcPr>
            <w:tcW w:w="1979" w:type="dxa"/>
            <w:vAlign w:val="center"/>
          </w:tcPr>
          <w:p w14:paraId="4A577B9E"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GWP</w:t>
            </w:r>
          </w:p>
        </w:tc>
        <w:tc>
          <w:tcPr>
            <w:tcW w:w="1979" w:type="dxa"/>
            <w:vAlign w:val="center"/>
          </w:tcPr>
          <w:p w14:paraId="192E4A3F"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Highly flammable</w:t>
            </w:r>
          </w:p>
        </w:tc>
        <w:tc>
          <w:tcPr>
            <w:tcW w:w="2671" w:type="dxa"/>
            <w:vAlign w:val="center"/>
          </w:tcPr>
          <w:p w14:paraId="1FE3114E" w14:textId="77777777" w:rsidR="00885B5A" w:rsidRPr="00885B5A" w:rsidRDefault="00885B5A" w:rsidP="00885B5A">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incremental capital cost, may be uneconomic for SMEs</w:t>
            </w:r>
          </w:p>
        </w:tc>
      </w:tr>
      <w:tr w:rsidR="00885B5A" w:rsidRPr="00885B5A" w14:paraId="36DDA1CF" w14:textId="77777777" w:rsidTr="00461C30">
        <w:trPr>
          <w:cantSplit/>
          <w:trHeight w:val="258"/>
        </w:trPr>
        <w:tc>
          <w:tcPr>
            <w:tcW w:w="2585" w:type="dxa"/>
            <w:vMerge/>
            <w:vAlign w:val="center"/>
          </w:tcPr>
          <w:p w14:paraId="6F5298ED"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4EC1C105"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operating costs</w:t>
            </w:r>
          </w:p>
        </w:tc>
        <w:tc>
          <w:tcPr>
            <w:tcW w:w="1979" w:type="dxa"/>
            <w:vAlign w:val="center"/>
          </w:tcPr>
          <w:p w14:paraId="7A16BFA5"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55C30D2F"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r>
      <w:tr w:rsidR="00885B5A" w:rsidRPr="00885B5A" w14:paraId="4A96FFAA" w14:textId="77777777" w:rsidTr="00461C30">
        <w:trPr>
          <w:cantSplit/>
          <w:trHeight w:val="258"/>
        </w:trPr>
        <w:tc>
          <w:tcPr>
            <w:tcW w:w="2585" w:type="dxa"/>
            <w:vMerge/>
            <w:vAlign w:val="center"/>
          </w:tcPr>
          <w:p w14:paraId="6F9564F4"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514ECDEA"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Good foam properties</w:t>
            </w:r>
          </w:p>
        </w:tc>
        <w:tc>
          <w:tcPr>
            <w:tcW w:w="1979" w:type="dxa"/>
            <w:vAlign w:val="center"/>
          </w:tcPr>
          <w:p w14:paraId="573E6BCA"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2671" w:type="dxa"/>
            <w:vAlign w:val="center"/>
          </w:tcPr>
          <w:p w14:paraId="10B9FFCC"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r>
      <w:tr w:rsidR="00885B5A" w:rsidRPr="00885B5A" w14:paraId="04DBEF0F" w14:textId="77777777" w:rsidTr="00461C30">
        <w:trPr>
          <w:cantSplit/>
          <w:trHeight w:val="258"/>
        </w:trPr>
        <w:tc>
          <w:tcPr>
            <w:tcW w:w="2585" w:type="dxa"/>
            <w:vMerge w:val="restart"/>
            <w:vAlign w:val="center"/>
          </w:tcPr>
          <w:p w14:paraId="1DDAEC56"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r w:rsidRPr="00885B5A">
              <w:rPr>
                <w:rFonts w:ascii="Times New Roman" w:eastAsia="SimSun" w:hAnsi="Times New Roman" w:cs="Times New Roman"/>
                <w:sz w:val="18"/>
                <w:szCs w:val="24"/>
                <w:lang w:eastAsia="nl-NL"/>
              </w:rPr>
              <w:t>HFC-245fa, HFC-365mfc /227ea</w:t>
            </w:r>
          </w:p>
        </w:tc>
        <w:tc>
          <w:tcPr>
            <w:tcW w:w="1979" w:type="dxa"/>
            <w:vAlign w:val="center"/>
          </w:tcPr>
          <w:p w14:paraId="72A94EF8"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Non-flammable</w:t>
            </w:r>
          </w:p>
        </w:tc>
        <w:tc>
          <w:tcPr>
            <w:tcW w:w="1979" w:type="dxa"/>
            <w:vAlign w:val="center"/>
          </w:tcPr>
          <w:p w14:paraId="644774FB"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GWP</w:t>
            </w:r>
          </w:p>
        </w:tc>
        <w:tc>
          <w:tcPr>
            <w:tcW w:w="2671" w:type="dxa"/>
            <w:vAlign w:val="center"/>
          </w:tcPr>
          <w:p w14:paraId="245FA8D0"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incremental capital cost</w:t>
            </w:r>
          </w:p>
        </w:tc>
      </w:tr>
      <w:tr w:rsidR="00885B5A" w:rsidRPr="00885B5A" w14:paraId="30262841" w14:textId="77777777" w:rsidTr="00461C30">
        <w:trPr>
          <w:cantSplit/>
          <w:trHeight w:val="258"/>
        </w:trPr>
        <w:tc>
          <w:tcPr>
            <w:tcW w:w="2585" w:type="dxa"/>
            <w:vMerge/>
            <w:vAlign w:val="center"/>
          </w:tcPr>
          <w:p w14:paraId="046ECE79"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29F39807"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Good foam properties </w:t>
            </w:r>
          </w:p>
        </w:tc>
        <w:tc>
          <w:tcPr>
            <w:tcW w:w="1979" w:type="dxa"/>
            <w:vAlign w:val="center"/>
          </w:tcPr>
          <w:p w14:paraId="011C147F"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High operating costs</w:t>
            </w:r>
          </w:p>
        </w:tc>
        <w:tc>
          <w:tcPr>
            <w:tcW w:w="2671" w:type="dxa"/>
            <w:vAlign w:val="center"/>
          </w:tcPr>
          <w:p w14:paraId="2D4AF859"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Improved insulation (cf. HC)</w:t>
            </w:r>
          </w:p>
        </w:tc>
      </w:tr>
      <w:tr w:rsidR="00885B5A" w:rsidRPr="00885B5A" w14:paraId="7E1E17AE" w14:textId="77777777" w:rsidTr="00461C30">
        <w:trPr>
          <w:cantSplit/>
          <w:trHeight w:val="258"/>
        </w:trPr>
        <w:tc>
          <w:tcPr>
            <w:tcW w:w="2585" w:type="dxa"/>
            <w:vMerge w:val="restart"/>
            <w:vAlign w:val="center"/>
          </w:tcPr>
          <w:p w14:paraId="42E31440"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r w:rsidRPr="00885B5A">
              <w:rPr>
                <w:rFonts w:ascii="Times New Roman" w:eastAsia="SimSun" w:hAnsi="Times New Roman" w:cs="Times New Roman"/>
                <w:sz w:val="18"/>
                <w:szCs w:val="24"/>
                <w:lang w:eastAsia="nl-NL"/>
              </w:rPr>
              <w:t>CO</w:t>
            </w:r>
            <w:r w:rsidRPr="00885B5A">
              <w:rPr>
                <w:rFonts w:ascii="Times New Roman" w:eastAsia="SimSun" w:hAnsi="Times New Roman" w:cs="Times New Roman"/>
                <w:sz w:val="18"/>
                <w:szCs w:val="24"/>
                <w:vertAlign w:val="subscript"/>
                <w:lang w:eastAsia="nl-NL"/>
              </w:rPr>
              <w:t xml:space="preserve">2 </w:t>
            </w:r>
            <w:r w:rsidRPr="00885B5A">
              <w:rPr>
                <w:rFonts w:ascii="Times New Roman" w:eastAsia="SimSun" w:hAnsi="Times New Roman" w:cs="Times New Roman"/>
                <w:sz w:val="18"/>
                <w:szCs w:val="24"/>
                <w:lang w:eastAsia="nl-NL"/>
              </w:rPr>
              <w:t>(water)</w:t>
            </w:r>
          </w:p>
        </w:tc>
        <w:tc>
          <w:tcPr>
            <w:tcW w:w="1979" w:type="dxa"/>
            <w:vAlign w:val="center"/>
          </w:tcPr>
          <w:p w14:paraId="1C8CBA26"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GWP</w:t>
            </w:r>
          </w:p>
        </w:tc>
        <w:tc>
          <w:tcPr>
            <w:tcW w:w="1979" w:type="dxa"/>
            <w:vAlign w:val="center"/>
          </w:tcPr>
          <w:p w14:paraId="5DCE0C55" w14:textId="77777777" w:rsidR="00885B5A" w:rsidRPr="00885B5A" w:rsidRDefault="00885B5A" w:rsidP="00885B5A">
            <w:pPr>
              <w:keepNext/>
              <w:widowControl w:val="0"/>
              <w:tabs>
                <w:tab w:val="left" w:pos="1080"/>
                <w:tab w:val="left" w:pos="3544"/>
              </w:tabs>
              <w:ind w:right="-86"/>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Moderate foam properties  -high thermal conductivity &amp; high foam density-</w:t>
            </w:r>
          </w:p>
        </w:tc>
        <w:tc>
          <w:tcPr>
            <w:tcW w:w="2671" w:type="dxa"/>
            <w:vAlign w:val="center"/>
          </w:tcPr>
          <w:p w14:paraId="44BC127D" w14:textId="77777777" w:rsidR="00885B5A" w:rsidRPr="00885B5A" w:rsidRDefault="00885B5A" w:rsidP="00885B5A">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Low incremental capital cost</w:t>
            </w:r>
          </w:p>
        </w:tc>
      </w:tr>
      <w:tr w:rsidR="00885B5A" w:rsidRPr="00885B5A" w14:paraId="2EA5CDE9" w14:textId="77777777" w:rsidTr="00461C30">
        <w:trPr>
          <w:cantSplit/>
          <w:trHeight w:val="258"/>
        </w:trPr>
        <w:tc>
          <w:tcPr>
            <w:tcW w:w="2585" w:type="dxa"/>
            <w:vMerge/>
            <w:vAlign w:val="center"/>
          </w:tcPr>
          <w:p w14:paraId="637F58FB" w14:textId="77777777" w:rsidR="00885B5A" w:rsidRPr="00885B5A" w:rsidRDefault="00885B5A" w:rsidP="00885B5A">
            <w:pPr>
              <w:tabs>
                <w:tab w:val="left" w:pos="3544"/>
              </w:tabs>
              <w:ind w:right="-75"/>
              <w:rPr>
                <w:rFonts w:ascii="Times New Roman" w:eastAsia="SimSun" w:hAnsi="Times New Roman" w:cs="Times New Roman"/>
                <w:b/>
                <w:color w:val="000000"/>
                <w:sz w:val="18"/>
                <w:szCs w:val="24"/>
                <w:lang w:eastAsia="nl-NL"/>
              </w:rPr>
            </w:pPr>
          </w:p>
        </w:tc>
        <w:tc>
          <w:tcPr>
            <w:tcW w:w="1979" w:type="dxa"/>
            <w:vAlign w:val="center"/>
          </w:tcPr>
          <w:p w14:paraId="27858F3E"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Non-flammable</w:t>
            </w:r>
          </w:p>
        </w:tc>
        <w:tc>
          <w:tcPr>
            <w:tcW w:w="1979" w:type="dxa"/>
            <w:vAlign w:val="center"/>
          </w:tcPr>
          <w:p w14:paraId="49D5133E" w14:textId="77777777" w:rsidR="00885B5A" w:rsidRPr="00885B5A" w:rsidRDefault="00885B5A" w:rsidP="00885B5A">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 xml:space="preserve">High operating costs </w:t>
            </w:r>
          </w:p>
        </w:tc>
        <w:tc>
          <w:tcPr>
            <w:tcW w:w="2671" w:type="dxa"/>
            <w:vAlign w:val="center"/>
          </w:tcPr>
          <w:p w14:paraId="0E500393" w14:textId="77777777" w:rsidR="00885B5A" w:rsidRPr="00885B5A" w:rsidRDefault="00885B5A" w:rsidP="00885B5A">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885B5A">
              <w:rPr>
                <w:rFonts w:ascii="Times New Roman" w:eastAsia="SimSun" w:hAnsi="Times New Roman" w:cs="Times New Roman"/>
                <w:i/>
                <w:color w:val="000000"/>
                <w:sz w:val="18"/>
                <w:szCs w:val="24"/>
                <w:lang w:eastAsia="nl-NL"/>
              </w:rPr>
              <w:t>Not used in reefers</w:t>
            </w:r>
          </w:p>
        </w:tc>
      </w:tr>
    </w:tbl>
    <w:p w14:paraId="3CF5C99F" w14:textId="77777777" w:rsidR="00E0548D" w:rsidRPr="002A505F" w:rsidRDefault="00E0548D" w:rsidP="00024AE5">
      <w:pPr>
        <w:spacing w:before="60" w:after="60" w:line="259" w:lineRule="auto"/>
        <w:jc w:val="center"/>
        <w:rPr>
          <w:rFonts w:asciiTheme="majorHAnsi" w:eastAsiaTheme="majorEastAsia" w:hAnsiTheme="majorHAnsi" w:cstheme="majorBidi"/>
          <w:b/>
          <w:color w:val="1F4D78" w:themeColor="accent1" w:themeShade="7F"/>
          <w:sz w:val="24"/>
          <w:szCs w:val="24"/>
        </w:rPr>
      </w:pPr>
      <w:r w:rsidRPr="002A505F">
        <w:rPr>
          <w:b/>
          <w:i/>
        </w:rPr>
        <w:t>Table 2: Assessment of selection criteria for ODS alternatives in the Refrigeration Sector</w:t>
      </w:r>
    </w:p>
    <w:p w14:paraId="3C44BB98" w14:textId="77777777" w:rsidR="00E0548D" w:rsidRDefault="00E0548D" w:rsidP="00E0548D">
      <w:pPr>
        <w:jc w:val="both"/>
      </w:pPr>
      <w:r>
        <w:t xml:space="preserve">The assessment of these alternatives against the criteria of commercial availability, technical proof of performance, environmental soundness (encompassing efficacy, health, safety and environmental characteristics), cost effectiveness (capital and operating) and processing versatility in challenging ambient conditions is, in itself, a challenging objective. Typically, performance against such criteria can only be judged fully on a case-by-case basis and assessments made at a higher level will only be </w:t>
      </w:r>
      <w:r>
        <w:lastRenderedPageBreak/>
        <w:t>indicative. With this in mind, the following table seeks to give such an indicative assessment based on a nominal ranking of seven categories from ‘+++’ (the best) to ‘---</w:t>
      </w:r>
      <w:proofErr w:type="gramStart"/>
      <w:r>
        <w:t>‘ (</w:t>
      </w:r>
      <w:proofErr w:type="gramEnd"/>
      <w:r>
        <w:t xml:space="preserve">the worst): </w:t>
      </w:r>
    </w:p>
    <w:p w14:paraId="33DD8019" w14:textId="77777777" w:rsidR="00E0548D" w:rsidRPr="00024AE5" w:rsidRDefault="00E0548D" w:rsidP="00E0548D">
      <w:pPr>
        <w:rPr>
          <w:sz w:val="8"/>
          <w:szCs w:val="8"/>
        </w:rPr>
      </w:pPr>
    </w:p>
    <w:p w14:paraId="53881CAB" w14:textId="77777777" w:rsidR="00E0548D" w:rsidRPr="005738C7" w:rsidRDefault="00E0548D" w:rsidP="00024AE5">
      <w:pPr>
        <w:jc w:val="center"/>
        <w:rPr>
          <w:sz w:val="8"/>
          <w:szCs w:val="8"/>
        </w:rPr>
      </w:pPr>
      <w:r w:rsidRPr="00E0548D">
        <w:rPr>
          <w:noProof/>
          <w:bdr w:val="single" w:sz="4" w:space="0" w:color="auto"/>
          <w:lang w:val="en-US"/>
        </w:rPr>
        <w:drawing>
          <wp:inline distT="0" distB="0" distL="0" distR="0" wp14:anchorId="2C5128E3" wp14:editId="065CC6C7">
            <wp:extent cx="5267325" cy="1432731"/>
            <wp:effectExtent l="19050" t="19050" r="9525" b="152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9895" cy="1441590"/>
                    </a:xfrm>
                    <a:prstGeom prst="rect">
                      <a:avLst/>
                    </a:prstGeom>
                    <a:noFill/>
                    <a:ln>
                      <a:solidFill>
                        <a:schemeClr val="tx1"/>
                      </a:solidFill>
                    </a:ln>
                  </pic:spPr>
                </pic:pic>
              </a:graphicData>
            </a:graphic>
          </wp:inline>
        </w:drawing>
      </w:r>
    </w:p>
    <w:p w14:paraId="27C0A0F1" w14:textId="77777777" w:rsidR="00E0548D" w:rsidRPr="002A505F" w:rsidRDefault="00E0548D" w:rsidP="00024AE5">
      <w:pPr>
        <w:spacing w:before="120" w:after="120" w:line="259" w:lineRule="auto"/>
        <w:jc w:val="center"/>
        <w:rPr>
          <w:rFonts w:asciiTheme="majorHAnsi" w:eastAsiaTheme="majorEastAsia" w:hAnsiTheme="majorHAnsi" w:cstheme="majorBidi"/>
          <w:b/>
          <w:color w:val="1F4D78" w:themeColor="accent1" w:themeShade="7F"/>
          <w:sz w:val="24"/>
          <w:szCs w:val="24"/>
        </w:rPr>
      </w:pPr>
      <w:r w:rsidRPr="002A505F">
        <w:rPr>
          <w:b/>
          <w:i/>
        </w:rPr>
        <w:t>Table 3: Indicative assessment of criteria</w:t>
      </w:r>
      <w:r w:rsidR="00A8048D" w:rsidRPr="002A505F">
        <w:rPr>
          <w:b/>
          <w:i/>
        </w:rPr>
        <w:t xml:space="preserve"> </w:t>
      </w:r>
      <w:r w:rsidRPr="002A505F">
        <w:rPr>
          <w:b/>
          <w:i/>
        </w:rPr>
        <w:t>for</w:t>
      </w:r>
      <w:r w:rsidR="00A8048D" w:rsidRPr="002A505F">
        <w:rPr>
          <w:b/>
          <w:i/>
        </w:rPr>
        <w:t xml:space="preserve"> current</w:t>
      </w:r>
      <w:r w:rsidRPr="002A505F">
        <w:rPr>
          <w:b/>
          <w:i/>
        </w:rPr>
        <w:t xml:space="preserve"> ODS alternatives in the Refrigeration Sector</w:t>
      </w:r>
    </w:p>
    <w:p w14:paraId="23EB08B5" w14:textId="77777777" w:rsidR="00164DBE" w:rsidRDefault="00E0548D" w:rsidP="00726F05">
      <w:pPr>
        <w:jc w:val="both"/>
      </w:pPr>
      <w:r>
        <w:rPr>
          <w:lang w:eastAsia="ja-JP"/>
        </w:rPr>
        <w:t>As has been noted in previous reports, the mix of performance properties (technical, economic and environmental) does not lead unambiguously to one single selection. Indeed, the proliferation of blends across the whole of the foam sector and nowhere more so than the appliance sector is an indication of the reality that there is no single best solution. Often a key factor is the size of the manufacturing plant, since the economies of scale have a considerable bearing on the relative importance of capital and operational costs. Cost also is a major factor in the consideration of the major emerging technologies.</w:t>
      </w:r>
    </w:p>
    <w:p w14:paraId="0AB9C25A" w14:textId="77777777" w:rsidR="00726F05" w:rsidRPr="005738C7" w:rsidRDefault="00726F05" w:rsidP="00164DBE">
      <w:pPr>
        <w:pStyle w:val="Heading4"/>
        <w:rPr>
          <w:sz w:val="16"/>
          <w:szCs w:val="16"/>
        </w:rPr>
      </w:pPr>
    </w:p>
    <w:p w14:paraId="1361ABD3" w14:textId="77777777" w:rsidR="00726F05" w:rsidRDefault="00726F05" w:rsidP="00164DBE">
      <w:pPr>
        <w:pStyle w:val="Heading4"/>
      </w:pPr>
      <w:r>
        <w:t>Emerging Alternatives</w:t>
      </w:r>
    </w:p>
    <w:p w14:paraId="250968D0" w14:textId="77777777" w:rsidR="00726F05" w:rsidRPr="00726F05" w:rsidRDefault="00726F05" w:rsidP="00164DBE">
      <w:pPr>
        <w:pStyle w:val="Heading4"/>
        <w:rPr>
          <w:sz w:val="8"/>
          <w:szCs w:val="8"/>
        </w:rPr>
      </w:pPr>
    </w:p>
    <w:p w14:paraId="7506BF03" w14:textId="77777777" w:rsidR="00726F05" w:rsidRDefault="00726F05" w:rsidP="00726F05">
      <w:pPr>
        <w:jc w:val="both"/>
        <w:rPr>
          <w:lang w:eastAsia="ja-JP"/>
        </w:rPr>
      </w:pPr>
      <w:r>
        <w:rPr>
          <w:lang w:eastAsia="ja-JP"/>
        </w:rPr>
        <w:t xml:space="preserve">As noted in previous reports, the major emerging technologies in the appliance sector are based mostly around liquid unsaturated HCFCs/HFCs. These are all fairly similar in their properties and all seem to suggest a stepwise improvement in thermal performance over other low-GWP alternatives. </w:t>
      </w:r>
      <w:r w:rsidRPr="00726F05">
        <w:rPr>
          <w:lang w:eastAsia="ja-JP"/>
        </w:rPr>
        <w:t>HFO-1233zd (E) successfully started to be used at a major global appliance player in June 2014.</w:t>
      </w:r>
      <w:r>
        <w:rPr>
          <w:lang w:eastAsia="ja-JP"/>
        </w:rPr>
        <w:t xml:space="preserve"> Table 4 provides an overview of the ‘pros’ and ‘cons’ of these technologies.</w:t>
      </w:r>
    </w:p>
    <w:p w14:paraId="0EAE5D81" w14:textId="77777777" w:rsidR="00547D8E" w:rsidRDefault="00547D8E" w:rsidP="00024A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1979"/>
        <w:gridCol w:w="2671"/>
      </w:tblGrid>
      <w:tr w:rsidR="00547D8E" w:rsidRPr="00547D8E" w14:paraId="5B2C4BE6" w14:textId="77777777" w:rsidTr="00461C30">
        <w:trPr>
          <w:cantSplit/>
        </w:trPr>
        <w:tc>
          <w:tcPr>
            <w:tcW w:w="9214" w:type="dxa"/>
            <w:gridSpan w:val="4"/>
            <w:vAlign w:val="center"/>
          </w:tcPr>
          <w:p w14:paraId="5245CF3E" w14:textId="77777777" w:rsidR="00547D8E" w:rsidRPr="00547D8E" w:rsidRDefault="00547D8E" w:rsidP="00547D8E">
            <w:pPr>
              <w:spacing w:line="240" w:lineRule="atLeast"/>
              <w:ind w:right="-108"/>
              <w:jc w:val="center"/>
              <w:rPr>
                <w:rFonts w:ascii="Times New Roman" w:eastAsia="SimSun" w:hAnsi="Times New Roman" w:cs="Times New Roman"/>
                <w:b/>
                <w:i/>
                <w:szCs w:val="24"/>
                <w:lang w:eastAsia="es-ES"/>
              </w:rPr>
            </w:pPr>
            <w:r w:rsidRPr="00547D8E">
              <w:rPr>
                <w:rFonts w:ascii="Times New Roman" w:eastAsia="SimSun" w:hAnsi="Times New Roman" w:cs="Times New Roman"/>
                <w:b/>
                <w:i/>
                <w:szCs w:val="24"/>
                <w:lang w:eastAsia="es-ES"/>
              </w:rPr>
              <w:t>HCFC REPLACEMENT OPTIONS FOR APPLIANCES (DOMESTIC &amp; COMMERCIAL), TRUCKS &amp; REEFERS</w:t>
            </w:r>
          </w:p>
        </w:tc>
      </w:tr>
      <w:tr w:rsidR="00547D8E" w:rsidRPr="00547D8E" w14:paraId="0EA9256C" w14:textId="77777777" w:rsidTr="00461C30">
        <w:trPr>
          <w:cantSplit/>
        </w:trPr>
        <w:tc>
          <w:tcPr>
            <w:tcW w:w="2585" w:type="dxa"/>
            <w:vAlign w:val="center"/>
          </w:tcPr>
          <w:p w14:paraId="4D68903E" w14:textId="77777777" w:rsidR="00547D8E" w:rsidRPr="00547D8E" w:rsidRDefault="00547D8E" w:rsidP="00547D8E">
            <w:pPr>
              <w:ind w:right="-75"/>
              <w:jc w:val="center"/>
              <w:rPr>
                <w:rFonts w:ascii="Times New Roman" w:eastAsia="SimSun" w:hAnsi="Times New Roman" w:cs="Times New Roman"/>
                <w:b/>
                <w:color w:val="000000"/>
                <w:sz w:val="18"/>
                <w:szCs w:val="24"/>
                <w:lang w:eastAsia="nl-NL"/>
              </w:rPr>
            </w:pPr>
            <w:r w:rsidRPr="00547D8E">
              <w:rPr>
                <w:rFonts w:ascii="Times New Roman" w:eastAsia="SimSun" w:hAnsi="Times New Roman" w:cs="Times New Roman"/>
                <w:b/>
                <w:color w:val="000000"/>
                <w:sz w:val="18"/>
                <w:szCs w:val="24"/>
                <w:lang w:eastAsia="nl-NL"/>
              </w:rPr>
              <w:t>SECTOR/OPTION</w:t>
            </w:r>
          </w:p>
        </w:tc>
        <w:tc>
          <w:tcPr>
            <w:tcW w:w="1979" w:type="dxa"/>
            <w:vAlign w:val="center"/>
          </w:tcPr>
          <w:p w14:paraId="3F72849F" w14:textId="77777777" w:rsidR="00547D8E" w:rsidRPr="00547D8E" w:rsidRDefault="00547D8E" w:rsidP="00547D8E">
            <w:pPr>
              <w:keepNext/>
              <w:widowControl w:val="0"/>
              <w:tabs>
                <w:tab w:val="left" w:pos="1080"/>
              </w:tabs>
              <w:spacing w:before="120" w:after="120"/>
              <w:jc w:val="center"/>
              <w:outlineLvl w:val="3"/>
              <w:rPr>
                <w:rFonts w:ascii="Times New Roman" w:eastAsia="SimSun" w:hAnsi="Times New Roman" w:cs="Times New Roman"/>
                <w:b/>
                <w:i/>
                <w:color w:val="000000"/>
                <w:sz w:val="18"/>
                <w:szCs w:val="24"/>
                <w:lang w:eastAsia="nl-NL"/>
              </w:rPr>
            </w:pPr>
            <w:r w:rsidRPr="00547D8E">
              <w:rPr>
                <w:rFonts w:ascii="Times New Roman" w:eastAsia="SimSun" w:hAnsi="Times New Roman" w:cs="Times New Roman"/>
                <w:b/>
                <w:i/>
                <w:color w:val="000000"/>
                <w:sz w:val="18"/>
                <w:szCs w:val="24"/>
                <w:lang w:eastAsia="nl-NL"/>
              </w:rPr>
              <w:t>PROS</w:t>
            </w:r>
          </w:p>
        </w:tc>
        <w:tc>
          <w:tcPr>
            <w:tcW w:w="1979" w:type="dxa"/>
            <w:vAlign w:val="center"/>
          </w:tcPr>
          <w:p w14:paraId="2756A965" w14:textId="77777777" w:rsidR="00547D8E" w:rsidRPr="00547D8E" w:rsidRDefault="00547D8E" w:rsidP="00547D8E">
            <w:pPr>
              <w:keepNext/>
              <w:widowControl w:val="0"/>
              <w:tabs>
                <w:tab w:val="left" w:pos="1080"/>
              </w:tabs>
              <w:spacing w:before="120" w:after="120"/>
              <w:jc w:val="center"/>
              <w:outlineLvl w:val="3"/>
              <w:rPr>
                <w:rFonts w:ascii="Times New Roman" w:eastAsia="SimSun" w:hAnsi="Times New Roman" w:cs="Times New Roman"/>
                <w:b/>
                <w:i/>
                <w:color w:val="000000"/>
                <w:sz w:val="18"/>
                <w:szCs w:val="24"/>
                <w:lang w:eastAsia="nl-NL"/>
              </w:rPr>
            </w:pPr>
            <w:r w:rsidRPr="00547D8E">
              <w:rPr>
                <w:rFonts w:ascii="Times New Roman" w:eastAsia="SimSun" w:hAnsi="Times New Roman" w:cs="Times New Roman"/>
                <w:b/>
                <w:i/>
                <w:color w:val="000000"/>
                <w:sz w:val="18"/>
                <w:szCs w:val="24"/>
                <w:lang w:eastAsia="nl-NL"/>
              </w:rPr>
              <w:t>CONS</w:t>
            </w:r>
          </w:p>
        </w:tc>
        <w:tc>
          <w:tcPr>
            <w:tcW w:w="2671" w:type="dxa"/>
            <w:vAlign w:val="center"/>
          </w:tcPr>
          <w:p w14:paraId="42AD552B" w14:textId="77777777" w:rsidR="00547D8E" w:rsidRPr="00547D8E" w:rsidRDefault="00547D8E" w:rsidP="00547D8E">
            <w:pPr>
              <w:keepNext/>
              <w:widowControl w:val="0"/>
              <w:tabs>
                <w:tab w:val="left" w:pos="1080"/>
              </w:tabs>
              <w:spacing w:before="120" w:after="120"/>
              <w:jc w:val="center"/>
              <w:outlineLvl w:val="3"/>
              <w:rPr>
                <w:rFonts w:ascii="Times New Roman" w:eastAsia="SimSun" w:hAnsi="Times New Roman" w:cs="Times New Roman"/>
                <w:b/>
                <w:i/>
                <w:color w:val="000000"/>
                <w:sz w:val="18"/>
                <w:szCs w:val="24"/>
                <w:lang w:eastAsia="nl-NL"/>
              </w:rPr>
            </w:pPr>
            <w:r w:rsidRPr="00547D8E">
              <w:rPr>
                <w:rFonts w:ascii="Times New Roman" w:eastAsia="SimSun" w:hAnsi="Times New Roman" w:cs="Times New Roman"/>
                <w:b/>
                <w:i/>
                <w:color w:val="000000"/>
                <w:sz w:val="18"/>
                <w:szCs w:val="24"/>
                <w:lang w:eastAsia="nl-NL"/>
              </w:rPr>
              <w:t>COMMENTS</w:t>
            </w:r>
          </w:p>
        </w:tc>
      </w:tr>
      <w:tr w:rsidR="00547D8E" w:rsidRPr="00547D8E" w14:paraId="3AAAB1CD" w14:textId="77777777" w:rsidTr="00461C30">
        <w:trPr>
          <w:cantSplit/>
        </w:trPr>
        <w:tc>
          <w:tcPr>
            <w:tcW w:w="9214" w:type="dxa"/>
            <w:gridSpan w:val="4"/>
            <w:shd w:val="clear" w:color="auto" w:fill="C0C0C0"/>
            <w:vAlign w:val="center"/>
          </w:tcPr>
          <w:p w14:paraId="0A0D48B3" w14:textId="77777777" w:rsidR="00547D8E" w:rsidRPr="00547D8E" w:rsidRDefault="00547D8E" w:rsidP="00547D8E">
            <w:pPr>
              <w:rPr>
                <w:rFonts w:ascii="Times New Roman" w:eastAsia="SimSun" w:hAnsi="Times New Roman" w:cs="Times New Roman"/>
                <w:b/>
                <w:i/>
                <w:color w:val="000000"/>
                <w:szCs w:val="24"/>
                <w:lang w:eastAsia="nl-NL"/>
              </w:rPr>
            </w:pPr>
            <w:r w:rsidRPr="00547D8E">
              <w:rPr>
                <w:rFonts w:ascii="Times New Roman" w:eastAsia="SimSun" w:hAnsi="Times New Roman" w:cs="Times New Roman"/>
                <w:b/>
                <w:i/>
                <w:color w:val="000000"/>
                <w:szCs w:val="24"/>
                <w:lang w:eastAsia="nl-NL"/>
              </w:rPr>
              <w:t>Domestic refrigerators/freezers</w:t>
            </w:r>
          </w:p>
        </w:tc>
      </w:tr>
      <w:tr w:rsidR="00547D8E" w:rsidRPr="00547D8E" w14:paraId="53C7BE50" w14:textId="77777777" w:rsidTr="00461C30">
        <w:trPr>
          <w:cantSplit/>
        </w:trPr>
        <w:tc>
          <w:tcPr>
            <w:tcW w:w="2585" w:type="dxa"/>
            <w:vMerge w:val="restart"/>
            <w:vAlign w:val="center"/>
          </w:tcPr>
          <w:p w14:paraId="4173D6D8" w14:textId="77777777" w:rsidR="00547D8E" w:rsidRPr="00547D8E" w:rsidRDefault="00547D8E" w:rsidP="00547D8E">
            <w:pPr>
              <w:tabs>
                <w:tab w:val="left" w:pos="720"/>
                <w:tab w:val="left" w:pos="1440"/>
                <w:tab w:val="left" w:pos="3544"/>
                <w:tab w:val="left" w:pos="5760"/>
              </w:tabs>
              <w:ind w:right="-75"/>
              <w:rPr>
                <w:rFonts w:ascii="Times New Roman" w:eastAsia="SimSun" w:hAnsi="Times New Roman" w:cs="Times New Roman"/>
                <w:sz w:val="18"/>
                <w:szCs w:val="24"/>
                <w:lang w:eastAsia="nl-NL"/>
              </w:rPr>
            </w:pPr>
            <w:r w:rsidRPr="00547D8E">
              <w:rPr>
                <w:rFonts w:ascii="Times New Roman" w:eastAsia="SimSun" w:hAnsi="Times New Roman" w:cs="Times New Roman"/>
                <w:sz w:val="18"/>
                <w:szCs w:val="24"/>
                <w:lang w:eastAsia="nl-NL"/>
              </w:rPr>
              <w:t xml:space="preserve">Unsaturated HFC/HCFCs (HFOs) </w:t>
            </w:r>
          </w:p>
        </w:tc>
        <w:tc>
          <w:tcPr>
            <w:tcW w:w="1979" w:type="dxa"/>
            <w:vAlign w:val="center"/>
          </w:tcPr>
          <w:p w14:paraId="1406005A"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Low GWP</w:t>
            </w:r>
          </w:p>
        </w:tc>
        <w:tc>
          <w:tcPr>
            <w:tcW w:w="1979" w:type="dxa"/>
            <w:vAlign w:val="center"/>
          </w:tcPr>
          <w:p w14:paraId="4548350B"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High operating costs</w:t>
            </w:r>
          </w:p>
        </w:tc>
        <w:tc>
          <w:tcPr>
            <w:tcW w:w="2671" w:type="dxa"/>
            <w:vAlign w:val="center"/>
          </w:tcPr>
          <w:p w14:paraId="7E27B13F" w14:textId="77777777" w:rsidR="00547D8E" w:rsidRPr="00547D8E" w:rsidRDefault="00547D8E" w:rsidP="00547D8E">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Successfully trialled in 2012/13 and commercial adoption now underway</w:t>
            </w:r>
          </w:p>
        </w:tc>
      </w:tr>
      <w:tr w:rsidR="00547D8E" w:rsidRPr="00547D8E" w14:paraId="0DF64BC2" w14:textId="77777777" w:rsidTr="00461C30">
        <w:trPr>
          <w:cantSplit/>
        </w:trPr>
        <w:tc>
          <w:tcPr>
            <w:tcW w:w="2585" w:type="dxa"/>
            <w:vMerge/>
            <w:vAlign w:val="center"/>
          </w:tcPr>
          <w:p w14:paraId="30DCE9CA" w14:textId="77777777" w:rsidR="00547D8E" w:rsidRPr="00547D8E" w:rsidRDefault="00547D8E" w:rsidP="00547D8E">
            <w:pPr>
              <w:tabs>
                <w:tab w:val="left" w:pos="720"/>
                <w:tab w:val="left" w:pos="1440"/>
                <w:tab w:val="left" w:pos="3544"/>
                <w:tab w:val="left" w:pos="5760"/>
              </w:tabs>
              <w:ind w:right="-75"/>
              <w:jc w:val="both"/>
              <w:rPr>
                <w:rFonts w:ascii="Times New Roman" w:eastAsia="SimSun" w:hAnsi="Times New Roman" w:cs="Times New Roman"/>
                <w:sz w:val="18"/>
                <w:szCs w:val="24"/>
                <w:lang w:eastAsia="nl-NL"/>
              </w:rPr>
            </w:pPr>
          </w:p>
        </w:tc>
        <w:tc>
          <w:tcPr>
            <w:tcW w:w="1979" w:type="dxa"/>
            <w:vAlign w:val="center"/>
          </w:tcPr>
          <w:p w14:paraId="2601C559"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Non-flammable</w:t>
            </w:r>
          </w:p>
        </w:tc>
        <w:tc>
          <w:tcPr>
            <w:tcW w:w="1979" w:type="dxa"/>
            <w:vAlign w:val="center"/>
          </w:tcPr>
          <w:p w14:paraId="2CFCAE71"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vAlign w:val="center"/>
          </w:tcPr>
          <w:p w14:paraId="74BCE6FC"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Improved energy efficiency performance: typically better than saturated HFCs</w:t>
            </w:r>
          </w:p>
        </w:tc>
      </w:tr>
      <w:tr w:rsidR="00547D8E" w:rsidRPr="00547D8E" w14:paraId="659D727A" w14:textId="77777777" w:rsidTr="00461C30">
        <w:trPr>
          <w:cantSplit/>
          <w:trHeight w:val="324"/>
        </w:trPr>
        <w:tc>
          <w:tcPr>
            <w:tcW w:w="2585" w:type="dxa"/>
            <w:vMerge/>
            <w:vAlign w:val="center"/>
          </w:tcPr>
          <w:p w14:paraId="3CC50ED8" w14:textId="77777777" w:rsidR="00547D8E" w:rsidRPr="00547D8E" w:rsidRDefault="00547D8E" w:rsidP="00547D8E">
            <w:pPr>
              <w:tabs>
                <w:tab w:val="left" w:pos="720"/>
                <w:tab w:val="left" w:pos="1440"/>
                <w:tab w:val="left" w:pos="3544"/>
                <w:tab w:val="left" w:pos="5760"/>
              </w:tabs>
              <w:ind w:right="-75"/>
              <w:jc w:val="both"/>
              <w:rPr>
                <w:rFonts w:ascii="Times New Roman" w:eastAsia="SimSun" w:hAnsi="Times New Roman" w:cs="Times New Roman"/>
                <w:sz w:val="18"/>
                <w:szCs w:val="24"/>
                <w:lang w:eastAsia="nl-NL"/>
              </w:rPr>
            </w:pPr>
          </w:p>
        </w:tc>
        <w:tc>
          <w:tcPr>
            <w:tcW w:w="1979" w:type="dxa"/>
            <w:vAlign w:val="center"/>
          </w:tcPr>
          <w:p w14:paraId="6ED7453D" w14:textId="77777777" w:rsidR="00547D8E" w:rsidRPr="00547D8E" w:rsidRDefault="00547D8E" w:rsidP="00547D8E">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p>
        </w:tc>
        <w:tc>
          <w:tcPr>
            <w:tcW w:w="1979" w:type="dxa"/>
            <w:vAlign w:val="center"/>
          </w:tcPr>
          <w:p w14:paraId="53882E05"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vAlign w:val="center"/>
          </w:tcPr>
          <w:p w14:paraId="2A5A4F35" w14:textId="77777777" w:rsidR="00547D8E" w:rsidRPr="00547D8E" w:rsidRDefault="00547D8E" w:rsidP="00547D8E">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Low incremental capital cost</w:t>
            </w:r>
          </w:p>
        </w:tc>
      </w:tr>
      <w:tr w:rsidR="00547D8E" w:rsidRPr="00547D8E" w14:paraId="2BDA28AB" w14:textId="77777777" w:rsidTr="00461C30">
        <w:trPr>
          <w:cantSplit/>
        </w:trPr>
        <w:tc>
          <w:tcPr>
            <w:tcW w:w="9214" w:type="dxa"/>
            <w:gridSpan w:val="4"/>
            <w:shd w:val="clear" w:color="auto" w:fill="C0C0C0"/>
            <w:vAlign w:val="center"/>
          </w:tcPr>
          <w:p w14:paraId="643DA46F" w14:textId="77777777" w:rsidR="00547D8E" w:rsidRPr="00547D8E" w:rsidRDefault="00547D8E" w:rsidP="00547D8E">
            <w:pPr>
              <w:rPr>
                <w:rFonts w:ascii="Times New Roman" w:eastAsia="SimSun" w:hAnsi="Times New Roman" w:cs="Times New Roman"/>
                <w:b/>
                <w:i/>
                <w:color w:val="000000"/>
                <w:szCs w:val="24"/>
                <w:lang w:eastAsia="nl-NL"/>
              </w:rPr>
            </w:pPr>
            <w:r w:rsidRPr="00547D8E">
              <w:rPr>
                <w:rFonts w:ascii="Times New Roman" w:eastAsia="SimSun" w:hAnsi="Times New Roman" w:cs="Times New Roman"/>
                <w:b/>
                <w:i/>
                <w:color w:val="000000"/>
                <w:szCs w:val="24"/>
                <w:lang w:eastAsia="nl-NL"/>
              </w:rPr>
              <w:t>Commercial refrigerators/freezers plus vending equipment</w:t>
            </w:r>
          </w:p>
        </w:tc>
      </w:tr>
      <w:tr w:rsidR="00547D8E" w:rsidRPr="00547D8E" w14:paraId="3B4A1A2A" w14:textId="77777777" w:rsidTr="00461C30">
        <w:trPr>
          <w:cantSplit/>
        </w:trPr>
        <w:tc>
          <w:tcPr>
            <w:tcW w:w="2585" w:type="dxa"/>
            <w:vMerge w:val="restart"/>
            <w:vAlign w:val="center"/>
          </w:tcPr>
          <w:p w14:paraId="6B56E2A3" w14:textId="77777777" w:rsidR="00547D8E" w:rsidRPr="00547D8E" w:rsidRDefault="00547D8E" w:rsidP="00547D8E">
            <w:pPr>
              <w:tabs>
                <w:tab w:val="left" w:pos="720"/>
                <w:tab w:val="left" w:pos="1440"/>
                <w:tab w:val="left" w:pos="3544"/>
                <w:tab w:val="left" w:pos="5760"/>
              </w:tabs>
              <w:ind w:right="-72"/>
              <w:rPr>
                <w:rFonts w:ascii="Times New Roman" w:eastAsia="SimSun" w:hAnsi="Times New Roman" w:cs="Times New Roman"/>
                <w:sz w:val="18"/>
                <w:szCs w:val="24"/>
                <w:lang w:eastAsia="nl-NL"/>
              </w:rPr>
            </w:pPr>
            <w:r w:rsidRPr="00547D8E">
              <w:rPr>
                <w:rFonts w:ascii="Times New Roman" w:eastAsia="SimSun" w:hAnsi="Times New Roman" w:cs="Times New Roman"/>
                <w:sz w:val="18"/>
                <w:szCs w:val="24"/>
                <w:lang w:eastAsia="nl-NL"/>
              </w:rPr>
              <w:t xml:space="preserve">Liquid Unsaturated HFC/HCFCs (HFOs) </w:t>
            </w:r>
          </w:p>
        </w:tc>
        <w:tc>
          <w:tcPr>
            <w:tcW w:w="1979" w:type="dxa"/>
            <w:vAlign w:val="center"/>
          </w:tcPr>
          <w:p w14:paraId="7F418218"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Low GWP</w:t>
            </w:r>
          </w:p>
        </w:tc>
        <w:tc>
          <w:tcPr>
            <w:tcW w:w="1979" w:type="dxa"/>
            <w:vAlign w:val="center"/>
          </w:tcPr>
          <w:p w14:paraId="0F28CEBA"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High operating costs</w:t>
            </w:r>
          </w:p>
        </w:tc>
        <w:tc>
          <w:tcPr>
            <w:tcW w:w="2671" w:type="dxa"/>
            <w:vAlign w:val="center"/>
          </w:tcPr>
          <w:p w14:paraId="2B8F80BA"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Following domestic appliance trends with blends being adopted</w:t>
            </w:r>
          </w:p>
        </w:tc>
      </w:tr>
      <w:tr w:rsidR="00547D8E" w:rsidRPr="00547D8E" w14:paraId="030A1B1A" w14:textId="77777777" w:rsidTr="00461C30">
        <w:trPr>
          <w:cantSplit/>
        </w:trPr>
        <w:tc>
          <w:tcPr>
            <w:tcW w:w="2585" w:type="dxa"/>
            <w:vMerge/>
            <w:vAlign w:val="center"/>
          </w:tcPr>
          <w:p w14:paraId="24DA98BF" w14:textId="77777777" w:rsidR="00547D8E" w:rsidRPr="00547D8E" w:rsidRDefault="00547D8E" w:rsidP="00547D8E">
            <w:pPr>
              <w:tabs>
                <w:tab w:val="left" w:pos="720"/>
                <w:tab w:val="left" w:pos="1440"/>
                <w:tab w:val="left" w:pos="3544"/>
                <w:tab w:val="left" w:pos="5760"/>
              </w:tabs>
              <w:ind w:right="-75"/>
              <w:jc w:val="both"/>
              <w:rPr>
                <w:rFonts w:ascii="Times New Roman" w:eastAsia="SimSun" w:hAnsi="Times New Roman" w:cs="Times New Roman"/>
                <w:sz w:val="18"/>
                <w:szCs w:val="24"/>
                <w:lang w:eastAsia="nl-NL"/>
              </w:rPr>
            </w:pPr>
          </w:p>
        </w:tc>
        <w:tc>
          <w:tcPr>
            <w:tcW w:w="1979" w:type="dxa"/>
            <w:vAlign w:val="center"/>
          </w:tcPr>
          <w:p w14:paraId="7122A8E8"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Non-flammable</w:t>
            </w:r>
          </w:p>
        </w:tc>
        <w:tc>
          <w:tcPr>
            <w:tcW w:w="1979" w:type="dxa"/>
            <w:vAlign w:val="center"/>
          </w:tcPr>
          <w:p w14:paraId="59B6BE19"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vAlign w:val="center"/>
          </w:tcPr>
          <w:p w14:paraId="52A79BA0"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Improved energy efficiency performance: typically better than saturated HFCs</w:t>
            </w:r>
          </w:p>
        </w:tc>
      </w:tr>
      <w:tr w:rsidR="00547D8E" w:rsidRPr="00547D8E" w14:paraId="26CD42EF" w14:textId="77777777" w:rsidTr="00461C30">
        <w:trPr>
          <w:cantSplit/>
        </w:trPr>
        <w:tc>
          <w:tcPr>
            <w:tcW w:w="2585" w:type="dxa"/>
            <w:vMerge/>
            <w:tcBorders>
              <w:bottom w:val="single" w:sz="4" w:space="0" w:color="auto"/>
            </w:tcBorders>
            <w:vAlign w:val="center"/>
          </w:tcPr>
          <w:p w14:paraId="35BE5CFC" w14:textId="77777777" w:rsidR="00547D8E" w:rsidRPr="00547D8E" w:rsidRDefault="00547D8E" w:rsidP="00547D8E">
            <w:pPr>
              <w:tabs>
                <w:tab w:val="left" w:pos="720"/>
                <w:tab w:val="left" w:pos="1440"/>
                <w:tab w:val="left" w:pos="3544"/>
                <w:tab w:val="left" w:pos="5760"/>
              </w:tabs>
              <w:ind w:right="-75"/>
              <w:jc w:val="both"/>
              <w:rPr>
                <w:rFonts w:ascii="Times New Roman" w:eastAsia="SimSun" w:hAnsi="Times New Roman" w:cs="Times New Roman"/>
                <w:sz w:val="18"/>
                <w:szCs w:val="24"/>
                <w:lang w:eastAsia="nl-NL"/>
              </w:rPr>
            </w:pPr>
          </w:p>
        </w:tc>
        <w:tc>
          <w:tcPr>
            <w:tcW w:w="1979" w:type="dxa"/>
            <w:tcBorders>
              <w:bottom w:val="single" w:sz="4" w:space="0" w:color="auto"/>
            </w:tcBorders>
            <w:vAlign w:val="center"/>
          </w:tcPr>
          <w:p w14:paraId="6301ED4A"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1979" w:type="dxa"/>
            <w:tcBorders>
              <w:bottom w:val="single" w:sz="4" w:space="0" w:color="auto"/>
            </w:tcBorders>
            <w:vAlign w:val="center"/>
          </w:tcPr>
          <w:p w14:paraId="5BF91423"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tcBorders>
              <w:bottom w:val="single" w:sz="4" w:space="0" w:color="auto"/>
            </w:tcBorders>
            <w:vAlign w:val="center"/>
          </w:tcPr>
          <w:p w14:paraId="7D865DE6"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Low incremental capital cost</w:t>
            </w:r>
          </w:p>
        </w:tc>
      </w:tr>
      <w:tr w:rsidR="00547D8E" w:rsidRPr="00547D8E" w14:paraId="6E839E05" w14:textId="77777777" w:rsidTr="00461C30">
        <w:trPr>
          <w:cantSplit/>
        </w:trPr>
        <w:tc>
          <w:tcPr>
            <w:tcW w:w="9214" w:type="dxa"/>
            <w:gridSpan w:val="4"/>
            <w:shd w:val="clear" w:color="auto" w:fill="C0C0C0"/>
            <w:vAlign w:val="center"/>
          </w:tcPr>
          <w:p w14:paraId="2B8D8066" w14:textId="77777777" w:rsidR="00547D8E" w:rsidRPr="00547D8E" w:rsidRDefault="00547D8E" w:rsidP="00547D8E">
            <w:pPr>
              <w:rPr>
                <w:rFonts w:ascii="Times New Roman" w:eastAsia="SimSun" w:hAnsi="Times New Roman" w:cs="Times New Roman"/>
                <w:b/>
                <w:i/>
                <w:color w:val="000000"/>
                <w:szCs w:val="24"/>
                <w:lang w:eastAsia="nl-NL"/>
              </w:rPr>
            </w:pPr>
            <w:r w:rsidRPr="00547D8E">
              <w:rPr>
                <w:rFonts w:ascii="Times New Roman" w:eastAsia="SimSun" w:hAnsi="Times New Roman" w:cs="Times New Roman"/>
                <w:b/>
                <w:i/>
                <w:color w:val="000000"/>
                <w:szCs w:val="24"/>
                <w:lang w:eastAsia="nl-NL"/>
              </w:rPr>
              <w:t>Refrigerated trucks &amp; reefers</w:t>
            </w:r>
          </w:p>
        </w:tc>
      </w:tr>
      <w:tr w:rsidR="00547D8E" w:rsidRPr="00547D8E" w14:paraId="56D5425E" w14:textId="77777777" w:rsidTr="00461C30">
        <w:trPr>
          <w:cantSplit/>
        </w:trPr>
        <w:tc>
          <w:tcPr>
            <w:tcW w:w="2585" w:type="dxa"/>
            <w:vMerge w:val="restart"/>
            <w:vAlign w:val="center"/>
          </w:tcPr>
          <w:p w14:paraId="4A522545" w14:textId="77777777" w:rsidR="00547D8E" w:rsidRPr="00547D8E" w:rsidRDefault="00547D8E" w:rsidP="00547D8E">
            <w:pPr>
              <w:tabs>
                <w:tab w:val="left" w:pos="720"/>
                <w:tab w:val="left" w:pos="1440"/>
                <w:tab w:val="left" w:pos="3544"/>
                <w:tab w:val="left" w:pos="5760"/>
              </w:tabs>
              <w:ind w:right="-72"/>
              <w:rPr>
                <w:rFonts w:ascii="Times New Roman" w:eastAsia="SimSun" w:hAnsi="Times New Roman" w:cs="Times New Roman"/>
                <w:sz w:val="18"/>
                <w:szCs w:val="24"/>
                <w:lang w:eastAsia="nl-NL"/>
              </w:rPr>
            </w:pPr>
            <w:r w:rsidRPr="00547D8E">
              <w:rPr>
                <w:rFonts w:ascii="Times New Roman" w:eastAsia="SimSun" w:hAnsi="Times New Roman" w:cs="Times New Roman"/>
                <w:sz w:val="18"/>
                <w:szCs w:val="24"/>
                <w:lang w:eastAsia="nl-NL"/>
              </w:rPr>
              <w:t xml:space="preserve">Liquid Unsaturated HFC/HCFCs (HFOs) </w:t>
            </w:r>
          </w:p>
        </w:tc>
        <w:tc>
          <w:tcPr>
            <w:tcW w:w="1979" w:type="dxa"/>
            <w:vAlign w:val="center"/>
          </w:tcPr>
          <w:p w14:paraId="4C6CA0DB"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Low GWP</w:t>
            </w:r>
          </w:p>
        </w:tc>
        <w:tc>
          <w:tcPr>
            <w:tcW w:w="1979" w:type="dxa"/>
            <w:vAlign w:val="center"/>
          </w:tcPr>
          <w:p w14:paraId="7E63D4C3"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High operating costs</w:t>
            </w:r>
          </w:p>
        </w:tc>
        <w:tc>
          <w:tcPr>
            <w:tcW w:w="2671" w:type="dxa"/>
            <w:vAlign w:val="center"/>
          </w:tcPr>
          <w:p w14:paraId="56E6298F"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Although HFOs commercialised, limited case experience available</w:t>
            </w:r>
          </w:p>
        </w:tc>
      </w:tr>
      <w:tr w:rsidR="00547D8E" w:rsidRPr="00547D8E" w14:paraId="7BF20910" w14:textId="77777777" w:rsidTr="00461C30">
        <w:trPr>
          <w:cantSplit/>
        </w:trPr>
        <w:tc>
          <w:tcPr>
            <w:tcW w:w="2585" w:type="dxa"/>
            <w:vMerge/>
            <w:vAlign w:val="center"/>
          </w:tcPr>
          <w:p w14:paraId="4E5FEDCF" w14:textId="77777777" w:rsidR="00547D8E" w:rsidRPr="00547D8E" w:rsidRDefault="00547D8E" w:rsidP="00547D8E">
            <w:pPr>
              <w:tabs>
                <w:tab w:val="left" w:pos="720"/>
                <w:tab w:val="left" w:pos="1440"/>
                <w:tab w:val="left" w:pos="3544"/>
                <w:tab w:val="left" w:pos="5760"/>
              </w:tabs>
              <w:ind w:right="-75"/>
              <w:jc w:val="both"/>
              <w:rPr>
                <w:rFonts w:ascii="Times New Roman" w:eastAsia="SimSun" w:hAnsi="Times New Roman" w:cs="Times New Roman"/>
                <w:sz w:val="18"/>
                <w:szCs w:val="24"/>
                <w:lang w:eastAsia="nl-NL"/>
              </w:rPr>
            </w:pPr>
          </w:p>
        </w:tc>
        <w:tc>
          <w:tcPr>
            <w:tcW w:w="1979" w:type="dxa"/>
            <w:vAlign w:val="center"/>
          </w:tcPr>
          <w:p w14:paraId="5132F9FC" w14:textId="77777777" w:rsidR="00547D8E" w:rsidRPr="00547D8E" w:rsidRDefault="00547D8E" w:rsidP="00547D8E">
            <w:pPr>
              <w:keepNext/>
              <w:widowControl w:val="0"/>
              <w:tabs>
                <w:tab w:val="left" w:pos="1080"/>
                <w:tab w:val="left" w:pos="3544"/>
              </w:tabs>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Non-flammable</w:t>
            </w:r>
          </w:p>
        </w:tc>
        <w:tc>
          <w:tcPr>
            <w:tcW w:w="1979" w:type="dxa"/>
            <w:vAlign w:val="center"/>
          </w:tcPr>
          <w:p w14:paraId="2BAD25F2"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vAlign w:val="center"/>
          </w:tcPr>
          <w:p w14:paraId="2C956FE2"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Improved energy efficiency performance: typically better than saturated HFCs</w:t>
            </w:r>
          </w:p>
        </w:tc>
      </w:tr>
      <w:tr w:rsidR="00547D8E" w:rsidRPr="00547D8E" w14:paraId="6E96D9A8" w14:textId="77777777" w:rsidTr="00461C30">
        <w:trPr>
          <w:cantSplit/>
        </w:trPr>
        <w:tc>
          <w:tcPr>
            <w:tcW w:w="2585" w:type="dxa"/>
            <w:vMerge/>
            <w:vAlign w:val="center"/>
          </w:tcPr>
          <w:p w14:paraId="0F52B476" w14:textId="77777777" w:rsidR="00547D8E" w:rsidRPr="00547D8E" w:rsidRDefault="00547D8E" w:rsidP="00547D8E">
            <w:pPr>
              <w:tabs>
                <w:tab w:val="left" w:pos="720"/>
                <w:tab w:val="left" w:pos="1440"/>
                <w:tab w:val="left" w:pos="3544"/>
                <w:tab w:val="left" w:pos="5760"/>
              </w:tabs>
              <w:ind w:right="-75"/>
              <w:jc w:val="both"/>
              <w:rPr>
                <w:rFonts w:ascii="Times New Roman" w:eastAsia="SimSun" w:hAnsi="Times New Roman" w:cs="Times New Roman"/>
                <w:sz w:val="18"/>
                <w:szCs w:val="24"/>
                <w:lang w:eastAsia="nl-NL"/>
              </w:rPr>
            </w:pPr>
          </w:p>
        </w:tc>
        <w:tc>
          <w:tcPr>
            <w:tcW w:w="1979" w:type="dxa"/>
            <w:vAlign w:val="center"/>
          </w:tcPr>
          <w:p w14:paraId="72E1B9E7"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1979" w:type="dxa"/>
            <w:vAlign w:val="center"/>
          </w:tcPr>
          <w:p w14:paraId="58A5C51C" w14:textId="77777777" w:rsidR="00547D8E" w:rsidRPr="00547D8E" w:rsidRDefault="00547D8E" w:rsidP="00547D8E">
            <w:pPr>
              <w:keepNext/>
              <w:widowControl w:val="0"/>
              <w:tabs>
                <w:tab w:val="left" w:pos="1080"/>
                <w:tab w:val="left" w:pos="3544"/>
              </w:tabs>
              <w:jc w:val="both"/>
              <w:outlineLvl w:val="3"/>
              <w:rPr>
                <w:rFonts w:ascii="Times New Roman" w:eastAsia="SimSun" w:hAnsi="Times New Roman" w:cs="Times New Roman"/>
                <w:i/>
                <w:color w:val="000000"/>
                <w:sz w:val="18"/>
                <w:szCs w:val="24"/>
                <w:lang w:eastAsia="nl-NL"/>
              </w:rPr>
            </w:pPr>
          </w:p>
        </w:tc>
        <w:tc>
          <w:tcPr>
            <w:tcW w:w="2671" w:type="dxa"/>
            <w:vAlign w:val="center"/>
          </w:tcPr>
          <w:p w14:paraId="6A87961D" w14:textId="77777777" w:rsidR="00547D8E" w:rsidRPr="00547D8E" w:rsidRDefault="00547D8E" w:rsidP="00547D8E">
            <w:pPr>
              <w:keepNext/>
              <w:widowControl w:val="0"/>
              <w:tabs>
                <w:tab w:val="left" w:pos="1080"/>
                <w:tab w:val="left" w:pos="3544"/>
              </w:tabs>
              <w:ind w:right="-108"/>
              <w:outlineLvl w:val="3"/>
              <w:rPr>
                <w:rFonts w:ascii="Times New Roman" w:eastAsia="SimSun" w:hAnsi="Times New Roman" w:cs="Times New Roman"/>
                <w:i/>
                <w:color w:val="000000"/>
                <w:sz w:val="18"/>
                <w:szCs w:val="24"/>
                <w:lang w:eastAsia="nl-NL"/>
              </w:rPr>
            </w:pPr>
            <w:r w:rsidRPr="00547D8E">
              <w:rPr>
                <w:rFonts w:ascii="Times New Roman" w:eastAsia="SimSun" w:hAnsi="Times New Roman" w:cs="Times New Roman"/>
                <w:i/>
                <w:color w:val="000000"/>
                <w:sz w:val="18"/>
                <w:szCs w:val="24"/>
                <w:lang w:eastAsia="nl-NL"/>
              </w:rPr>
              <w:t>Low incremental capital cost</w:t>
            </w:r>
          </w:p>
        </w:tc>
      </w:tr>
    </w:tbl>
    <w:p w14:paraId="16764F6D" w14:textId="77777777" w:rsidR="00726F05" w:rsidRPr="005738C7" w:rsidRDefault="00726F05" w:rsidP="00726F05">
      <w:pPr>
        <w:rPr>
          <w:sz w:val="8"/>
          <w:szCs w:val="8"/>
        </w:rPr>
      </w:pPr>
    </w:p>
    <w:p w14:paraId="53D1BDB9" w14:textId="77777777" w:rsidR="005738C7" w:rsidRPr="002A505F" w:rsidRDefault="005738C7" w:rsidP="005738C7">
      <w:pPr>
        <w:spacing w:after="160" w:line="259" w:lineRule="auto"/>
        <w:jc w:val="center"/>
        <w:rPr>
          <w:b/>
          <w:i/>
        </w:rPr>
      </w:pPr>
      <w:r w:rsidRPr="002A505F">
        <w:rPr>
          <w:b/>
          <w:i/>
        </w:rPr>
        <w:t>Table 4: Emerging alternatives to ODS in the Refrigeration Sector</w:t>
      </w:r>
    </w:p>
    <w:p w14:paraId="306833BB" w14:textId="77777777" w:rsidR="005738C7" w:rsidRDefault="005738C7" w:rsidP="005738C7">
      <w:pPr>
        <w:jc w:val="both"/>
        <w:rPr>
          <w:lang w:eastAsia="ja-JP"/>
        </w:rPr>
      </w:pPr>
      <w:r>
        <w:rPr>
          <w:lang w:eastAsia="ja-JP"/>
        </w:rPr>
        <w:lastRenderedPageBreak/>
        <w:t xml:space="preserve">The range of unsaturated HCFCs/HFCs has been reduced from the selection provided in the Decision XXIV/7 Report. </w:t>
      </w:r>
      <w:r w:rsidRPr="005738C7">
        <w:rPr>
          <w:lang w:eastAsia="ja-JP"/>
        </w:rPr>
        <w:t xml:space="preserve">The disclosure of the molecule behind </w:t>
      </w:r>
      <w:proofErr w:type="spellStart"/>
      <w:r w:rsidRPr="005738C7">
        <w:rPr>
          <w:lang w:eastAsia="ja-JP"/>
        </w:rPr>
        <w:t>Arkema’s</w:t>
      </w:r>
      <w:proofErr w:type="spellEnd"/>
      <w:r w:rsidRPr="005738C7">
        <w:rPr>
          <w:lang w:eastAsia="ja-JP"/>
        </w:rPr>
        <w:t xml:space="preserve"> code name AFA-L1 occurred in September 2013, </w:t>
      </w:r>
      <w:r>
        <w:rPr>
          <w:lang w:eastAsia="ja-JP"/>
        </w:rPr>
        <w:t>and revealed it as the same molecule being developed and commercialised by Hon</w:t>
      </w:r>
      <w:r w:rsidR="00A8048D">
        <w:rPr>
          <w:lang w:eastAsia="ja-JP"/>
        </w:rPr>
        <w:t>eywell. However, T</w:t>
      </w:r>
      <w:r>
        <w:rPr>
          <w:lang w:eastAsia="ja-JP"/>
        </w:rPr>
        <w:t>able</w:t>
      </w:r>
      <w:r w:rsidR="00A8048D">
        <w:rPr>
          <w:lang w:eastAsia="ja-JP"/>
        </w:rPr>
        <w:t xml:space="preserve"> 5</w:t>
      </w:r>
      <w:r>
        <w:rPr>
          <w:lang w:eastAsia="ja-JP"/>
        </w:rPr>
        <w:t xml:space="preserve"> provides an analysis of these new molecules against the criteria considered for the commercially available alternatives based on limited experience in appliance sector trials. </w:t>
      </w:r>
    </w:p>
    <w:p w14:paraId="28955863" w14:textId="77777777" w:rsidR="005738C7" w:rsidRPr="00A8048D" w:rsidRDefault="005738C7" w:rsidP="005738C7">
      <w:pPr>
        <w:spacing w:after="160" w:line="259" w:lineRule="auto"/>
        <w:rPr>
          <w:rFonts w:asciiTheme="majorHAnsi" w:eastAsiaTheme="majorEastAsia" w:hAnsiTheme="majorHAnsi" w:cstheme="majorBidi"/>
          <w:color w:val="1F4D78" w:themeColor="accent1" w:themeShade="7F"/>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514"/>
        <w:gridCol w:w="2090"/>
        <w:gridCol w:w="1743"/>
      </w:tblGrid>
      <w:tr w:rsidR="00A8048D" w14:paraId="7B075445" w14:textId="77777777" w:rsidTr="006A3799">
        <w:trPr>
          <w:jc w:val="center"/>
        </w:trPr>
        <w:tc>
          <w:tcPr>
            <w:tcW w:w="2067" w:type="dxa"/>
            <w:shd w:val="clear" w:color="auto" w:fill="C0C0C0"/>
          </w:tcPr>
          <w:p w14:paraId="046CA470" w14:textId="77777777" w:rsidR="00A8048D" w:rsidRDefault="00A8048D" w:rsidP="006A3799">
            <w:pPr>
              <w:rPr>
                <w:lang w:eastAsia="ja-JP"/>
              </w:rPr>
            </w:pPr>
          </w:p>
        </w:tc>
        <w:tc>
          <w:tcPr>
            <w:tcW w:w="1514" w:type="dxa"/>
            <w:shd w:val="clear" w:color="auto" w:fill="C0C0C0"/>
            <w:vAlign w:val="center"/>
          </w:tcPr>
          <w:p w14:paraId="56ED0154" w14:textId="77777777" w:rsidR="00A8048D" w:rsidRDefault="00A8048D" w:rsidP="006A3799">
            <w:pPr>
              <w:jc w:val="center"/>
              <w:rPr>
                <w:rFonts w:ascii="Calibri" w:hAnsi="Calibri"/>
                <w:b/>
                <w:i/>
                <w:sz w:val="20"/>
                <w:lang w:eastAsia="ja-JP"/>
              </w:rPr>
            </w:pPr>
            <w:r>
              <w:rPr>
                <w:rFonts w:ascii="Calibri" w:hAnsi="Calibri"/>
                <w:b/>
                <w:i/>
                <w:sz w:val="20"/>
                <w:lang w:eastAsia="ja-JP"/>
              </w:rPr>
              <w:t>HFO-1234ze(E)</w:t>
            </w:r>
          </w:p>
        </w:tc>
        <w:tc>
          <w:tcPr>
            <w:tcW w:w="2090" w:type="dxa"/>
            <w:shd w:val="clear" w:color="auto" w:fill="C0C0C0"/>
            <w:vAlign w:val="center"/>
          </w:tcPr>
          <w:p w14:paraId="5D58C689" w14:textId="77777777" w:rsidR="00A8048D" w:rsidRDefault="00A8048D" w:rsidP="006A3799">
            <w:pPr>
              <w:jc w:val="center"/>
              <w:rPr>
                <w:rFonts w:ascii="Calibri" w:hAnsi="Calibri"/>
                <w:b/>
                <w:i/>
                <w:sz w:val="20"/>
                <w:lang w:eastAsia="ja-JP"/>
              </w:rPr>
            </w:pPr>
            <w:r>
              <w:rPr>
                <w:rFonts w:ascii="Calibri" w:hAnsi="Calibri"/>
                <w:b/>
                <w:i/>
                <w:sz w:val="20"/>
                <w:lang w:eastAsia="ja-JP"/>
              </w:rPr>
              <w:t>HFO-1336mzzm(Z)</w:t>
            </w:r>
          </w:p>
        </w:tc>
        <w:tc>
          <w:tcPr>
            <w:tcW w:w="1743" w:type="dxa"/>
            <w:shd w:val="clear" w:color="auto" w:fill="C0C0C0"/>
            <w:vAlign w:val="center"/>
          </w:tcPr>
          <w:p w14:paraId="31C55980" w14:textId="77777777" w:rsidR="00A8048D" w:rsidRDefault="00A8048D" w:rsidP="006A3799">
            <w:pPr>
              <w:jc w:val="center"/>
              <w:rPr>
                <w:rFonts w:ascii="Calibri" w:hAnsi="Calibri"/>
                <w:b/>
                <w:i/>
                <w:sz w:val="20"/>
                <w:lang w:eastAsia="ja-JP"/>
              </w:rPr>
            </w:pPr>
            <w:r>
              <w:rPr>
                <w:rFonts w:ascii="Calibri" w:hAnsi="Calibri"/>
                <w:b/>
                <w:i/>
                <w:sz w:val="20"/>
                <w:lang w:eastAsia="ja-JP"/>
              </w:rPr>
              <w:t>HFO-1233zd(E)</w:t>
            </w:r>
          </w:p>
        </w:tc>
      </w:tr>
      <w:tr w:rsidR="00A8048D" w14:paraId="7ED1F324" w14:textId="77777777" w:rsidTr="006A3799">
        <w:trPr>
          <w:trHeight w:hRule="exact" w:val="295"/>
          <w:jc w:val="center"/>
        </w:trPr>
        <w:tc>
          <w:tcPr>
            <w:tcW w:w="2067" w:type="dxa"/>
          </w:tcPr>
          <w:p w14:paraId="6338D3ED" w14:textId="77777777" w:rsidR="00A8048D" w:rsidRDefault="00A8048D" w:rsidP="006A3799">
            <w:pPr>
              <w:rPr>
                <w:rFonts w:ascii="Calibri" w:hAnsi="Calibri"/>
                <w:sz w:val="20"/>
                <w:lang w:eastAsia="ja-JP"/>
              </w:rPr>
            </w:pPr>
          </w:p>
        </w:tc>
        <w:tc>
          <w:tcPr>
            <w:tcW w:w="1514" w:type="dxa"/>
            <w:vAlign w:val="center"/>
          </w:tcPr>
          <w:p w14:paraId="1627047D" w14:textId="77777777" w:rsidR="00A8048D" w:rsidRDefault="00A8048D" w:rsidP="006A3799">
            <w:pPr>
              <w:jc w:val="center"/>
              <w:rPr>
                <w:rFonts w:ascii="Calibri" w:hAnsi="Calibri"/>
                <w:i/>
                <w:sz w:val="20"/>
                <w:lang w:eastAsia="ja-JP"/>
              </w:rPr>
            </w:pPr>
            <w:r>
              <w:rPr>
                <w:rFonts w:ascii="Calibri" w:hAnsi="Calibri"/>
                <w:i/>
                <w:sz w:val="20"/>
                <w:lang w:eastAsia="ja-JP"/>
              </w:rPr>
              <w:t>Gaseous</w:t>
            </w:r>
          </w:p>
        </w:tc>
        <w:tc>
          <w:tcPr>
            <w:tcW w:w="2090" w:type="dxa"/>
            <w:vAlign w:val="center"/>
          </w:tcPr>
          <w:p w14:paraId="71E3FDA2" w14:textId="77777777" w:rsidR="00A8048D" w:rsidRDefault="00A8048D" w:rsidP="006A3799">
            <w:pPr>
              <w:jc w:val="center"/>
              <w:rPr>
                <w:rFonts w:ascii="Calibri" w:hAnsi="Calibri"/>
                <w:i/>
                <w:sz w:val="20"/>
                <w:lang w:eastAsia="ja-JP"/>
              </w:rPr>
            </w:pPr>
            <w:r>
              <w:rPr>
                <w:rFonts w:ascii="Calibri" w:hAnsi="Calibri"/>
                <w:i/>
                <w:sz w:val="20"/>
                <w:lang w:eastAsia="ja-JP"/>
              </w:rPr>
              <w:t>liquid</w:t>
            </w:r>
          </w:p>
        </w:tc>
        <w:tc>
          <w:tcPr>
            <w:tcW w:w="1743" w:type="dxa"/>
            <w:vAlign w:val="center"/>
          </w:tcPr>
          <w:p w14:paraId="528621F7" w14:textId="77777777" w:rsidR="00A8048D" w:rsidRDefault="00A8048D" w:rsidP="006A3799">
            <w:pPr>
              <w:jc w:val="center"/>
              <w:rPr>
                <w:rFonts w:ascii="Calibri" w:hAnsi="Calibri"/>
                <w:i/>
                <w:sz w:val="20"/>
                <w:lang w:eastAsia="ja-JP"/>
              </w:rPr>
            </w:pPr>
            <w:r>
              <w:rPr>
                <w:rFonts w:ascii="Calibri" w:hAnsi="Calibri"/>
                <w:i/>
                <w:sz w:val="20"/>
                <w:lang w:eastAsia="ja-JP"/>
              </w:rPr>
              <w:t>liquid</w:t>
            </w:r>
          </w:p>
        </w:tc>
      </w:tr>
      <w:tr w:rsidR="00A8048D" w14:paraId="4D00DFF6" w14:textId="77777777" w:rsidTr="006A3799">
        <w:trPr>
          <w:jc w:val="center"/>
        </w:trPr>
        <w:tc>
          <w:tcPr>
            <w:tcW w:w="2067" w:type="dxa"/>
          </w:tcPr>
          <w:p w14:paraId="5769BA4A" w14:textId="77777777" w:rsidR="00A8048D" w:rsidRDefault="00A8048D" w:rsidP="006A3799">
            <w:pPr>
              <w:rPr>
                <w:rFonts w:ascii="Calibri" w:hAnsi="Calibri"/>
                <w:sz w:val="20"/>
                <w:lang w:eastAsia="ja-JP"/>
              </w:rPr>
            </w:pPr>
            <w:r>
              <w:rPr>
                <w:rFonts w:ascii="Calibri" w:hAnsi="Calibri"/>
                <w:sz w:val="20"/>
                <w:lang w:eastAsia="ja-JP"/>
              </w:rPr>
              <w:t>Proof of performance</w:t>
            </w:r>
          </w:p>
        </w:tc>
        <w:tc>
          <w:tcPr>
            <w:tcW w:w="1514" w:type="dxa"/>
          </w:tcPr>
          <w:p w14:paraId="0E1C9FCC"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7B2B12B2"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3E7942B5"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6AC89F3C" w14:textId="77777777" w:rsidTr="006A3799">
        <w:trPr>
          <w:jc w:val="center"/>
        </w:trPr>
        <w:tc>
          <w:tcPr>
            <w:tcW w:w="2067" w:type="dxa"/>
          </w:tcPr>
          <w:p w14:paraId="359CC1C6" w14:textId="77777777" w:rsidR="00A8048D" w:rsidRDefault="00A8048D" w:rsidP="006A3799">
            <w:pPr>
              <w:rPr>
                <w:rFonts w:ascii="Calibri" w:hAnsi="Calibri"/>
                <w:sz w:val="20"/>
                <w:lang w:eastAsia="ja-JP"/>
              </w:rPr>
            </w:pPr>
            <w:r>
              <w:rPr>
                <w:rFonts w:ascii="Calibri" w:hAnsi="Calibri"/>
                <w:sz w:val="20"/>
                <w:lang w:eastAsia="ja-JP"/>
              </w:rPr>
              <w:t>Flammability</w:t>
            </w:r>
          </w:p>
        </w:tc>
        <w:tc>
          <w:tcPr>
            <w:tcW w:w="1514" w:type="dxa"/>
          </w:tcPr>
          <w:p w14:paraId="59C2A7DD"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1BAEA872"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1680EB1E"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083FB4C7" w14:textId="77777777" w:rsidTr="006A3799">
        <w:trPr>
          <w:jc w:val="center"/>
        </w:trPr>
        <w:tc>
          <w:tcPr>
            <w:tcW w:w="2067" w:type="dxa"/>
          </w:tcPr>
          <w:p w14:paraId="2D91A99F" w14:textId="77777777" w:rsidR="00A8048D" w:rsidRDefault="00A8048D" w:rsidP="006A3799">
            <w:pPr>
              <w:rPr>
                <w:rFonts w:ascii="Calibri" w:hAnsi="Calibri"/>
                <w:sz w:val="20"/>
                <w:lang w:eastAsia="ja-JP"/>
              </w:rPr>
            </w:pPr>
            <w:r>
              <w:rPr>
                <w:rFonts w:ascii="Calibri" w:hAnsi="Calibri"/>
                <w:sz w:val="20"/>
                <w:lang w:eastAsia="ja-JP"/>
              </w:rPr>
              <w:t>Other Health &amp; Safety</w:t>
            </w:r>
          </w:p>
        </w:tc>
        <w:tc>
          <w:tcPr>
            <w:tcW w:w="1514" w:type="dxa"/>
          </w:tcPr>
          <w:p w14:paraId="48251719"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51F3E7DB"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1512AB3B"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685D4325" w14:textId="77777777" w:rsidTr="006A3799">
        <w:trPr>
          <w:jc w:val="center"/>
        </w:trPr>
        <w:tc>
          <w:tcPr>
            <w:tcW w:w="2067" w:type="dxa"/>
          </w:tcPr>
          <w:p w14:paraId="0F06EE91" w14:textId="77777777" w:rsidR="00A8048D" w:rsidRDefault="00A8048D" w:rsidP="006A3799">
            <w:pPr>
              <w:rPr>
                <w:rFonts w:ascii="Calibri" w:hAnsi="Calibri"/>
                <w:sz w:val="20"/>
                <w:lang w:eastAsia="ja-JP"/>
              </w:rPr>
            </w:pPr>
            <w:r>
              <w:rPr>
                <w:rFonts w:ascii="Calibri" w:hAnsi="Calibri"/>
                <w:sz w:val="20"/>
                <w:lang w:eastAsia="ja-JP"/>
              </w:rPr>
              <w:t>Global Warming</w:t>
            </w:r>
          </w:p>
        </w:tc>
        <w:tc>
          <w:tcPr>
            <w:tcW w:w="1514" w:type="dxa"/>
          </w:tcPr>
          <w:p w14:paraId="17FAF3F7"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116E028E"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4464C16D"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5275905E" w14:textId="77777777" w:rsidTr="006A3799">
        <w:trPr>
          <w:jc w:val="center"/>
        </w:trPr>
        <w:tc>
          <w:tcPr>
            <w:tcW w:w="2067" w:type="dxa"/>
          </w:tcPr>
          <w:p w14:paraId="5CE5C665" w14:textId="77777777" w:rsidR="00A8048D" w:rsidRDefault="00A8048D" w:rsidP="006A3799">
            <w:pPr>
              <w:rPr>
                <w:rFonts w:ascii="Calibri" w:hAnsi="Calibri"/>
                <w:sz w:val="20"/>
                <w:lang w:eastAsia="ja-JP"/>
              </w:rPr>
            </w:pPr>
            <w:r>
              <w:rPr>
                <w:rFonts w:ascii="Calibri" w:hAnsi="Calibri"/>
                <w:sz w:val="20"/>
                <w:lang w:eastAsia="ja-JP"/>
              </w:rPr>
              <w:t>Other Environmental</w:t>
            </w:r>
          </w:p>
        </w:tc>
        <w:tc>
          <w:tcPr>
            <w:tcW w:w="1514" w:type="dxa"/>
          </w:tcPr>
          <w:p w14:paraId="75F8F65E"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6B1060A4"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6E587461"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02906A97" w14:textId="77777777" w:rsidTr="006A3799">
        <w:trPr>
          <w:jc w:val="center"/>
        </w:trPr>
        <w:tc>
          <w:tcPr>
            <w:tcW w:w="2067" w:type="dxa"/>
          </w:tcPr>
          <w:p w14:paraId="03304BFB" w14:textId="77777777" w:rsidR="00A8048D" w:rsidRDefault="00A8048D" w:rsidP="006A3799">
            <w:pPr>
              <w:rPr>
                <w:rFonts w:ascii="Calibri" w:hAnsi="Calibri"/>
                <w:sz w:val="20"/>
                <w:lang w:eastAsia="ja-JP"/>
              </w:rPr>
            </w:pPr>
            <w:r>
              <w:rPr>
                <w:rFonts w:ascii="Calibri" w:hAnsi="Calibri"/>
                <w:sz w:val="20"/>
                <w:lang w:eastAsia="ja-JP"/>
              </w:rPr>
              <w:t>Cost Effectiveness (C)</w:t>
            </w:r>
          </w:p>
        </w:tc>
        <w:tc>
          <w:tcPr>
            <w:tcW w:w="1514" w:type="dxa"/>
          </w:tcPr>
          <w:p w14:paraId="6EDF89E3"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10B9C208"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41555AFD"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25474CE4" w14:textId="77777777" w:rsidTr="006A3799">
        <w:trPr>
          <w:jc w:val="center"/>
        </w:trPr>
        <w:tc>
          <w:tcPr>
            <w:tcW w:w="2067" w:type="dxa"/>
          </w:tcPr>
          <w:p w14:paraId="7955CBB0" w14:textId="77777777" w:rsidR="00A8048D" w:rsidRDefault="00A8048D" w:rsidP="006A3799">
            <w:pPr>
              <w:rPr>
                <w:rFonts w:ascii="Calibri" w:hAnsi="Calibri"/>
                <w:sz w:val="20"/>
                <w:lang w:eastAsia="ja-JP"/>
              </w:rPr>
            </w:pPr>
            <w:r>
              <w:rPr>
                <w:rFonts w:ascii="Calibri" w:hAnsi="Calibri"/>
                <w:sz w:val="20"/>
                <w:lang w:eastAsia="ja-JP"/>
              </w:rPr>
              <w:t>Cost Effectiveness (O)</w:t>
            </w:r>
          </w:p>
        </w:tc>
        <w:tc>
          <w:tcPr>
            <w:tcW w:w="1514" w:type="dxa"/>
          </w:tcPr>
          <w:p w14:paraId="6B741EEA"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60D2F137"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177CAEB6" w14:textId="77777777" w:rsidR="00A8048D" w:rsidRDefault="00A8048D" w:rsidP="006A3799">
            <w:pPr>
              <w:jc w:val="center"/>
              <w:rPr>
                <w:rFonts w:ascii="Calibri" w:hAnsi="Calibri"/>
                <w:sz w:val="20"/>
                <w:lang w:eastAsia="ja-JP"/>
              </w:rPr>
            </w:pPr>
            <w:r>
              <w:rPr>
                <w:rFonts w:ascii="Calibri" w:hAnsi="Calibri"/>
                <w:sz w:val="20"/>
                <w:lang w:eastAsia="ja-JP"/>
              </w:rPr>
              <w:t>--</w:t>
            </w:r>
          </w:p>
        </w:tc>
      </w:tr>
      <w:tr w:rsidR="00A8048D" w14:paraId="2CB6D525" w14:textId="77777777" w:rsidTr="006A3799">
        <w:trPr>
          <w:jc w:val="center"/>
        </w:trPr>
        <w:tc>
          <w:tcPr>
            <w:tcW w:w="2067" w:type="dxa"/>
          </w:tcPr>
          <w:p w14:paraId="3B5D9953" w14:textId="77777777" w:rsidR="00A8048D" w:rsidRDefault="00A8048D" w:rsidP="006A3799">
            <w:pPr>
              <w:rPr>
                <w:rFonts w:ascii="Calibri" w:hAnsi="Calibri"/>
                <w:sz w:val="20"/>
                <w:lang w:eastAsia="ja-JP"/>
              </w:rPr>
            </w:pPr>
            <w:r>
              <w:rPr>
                <w:rFonts w:ascii="Calibri" w:hAnsi="Calibri"/>
                <w:sz w:val="20"/>
                <w:lang w:eastAsia="ja-JP"/>
              </w:rPr>
              <w:t>Process Versatility</w:t>
            </w:r>
          </w:p>
        </w:tc>
        <w:tc>
          <w:tcPr>
            <w:tcW w:w="1514" w:type="dxa"/>
          </w:tcPr>
          <w:p w14:paraId="10CFDE78"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2090" w:type="dxa"/>
          </w:tcPr>
          <w:p w14:paraId="119668DB" w14:textId="77777777" w:rsidR="00A8048D" w:rsidRDefault="00A8048D" w:rsidP="006A3799">
            <w:pPr>
              <w:jc w:val="center"/>
              <w:rPr>
                <w:rFonts w:ascii="Calibri" w:hAnsi="Calibri"/>
                <w:sz w:val="20"/>
                <w:lang w:eastAsia="ja-JP"/>
              </w:rPr>
            </w:pPr>
            <w:r>
              <w:rPr>
                <w:rFonts w:ascii="Calibri" w:hAnsi="Calibri"/>
                <w:sz w:val="20"/>
                <w:lang w:eastAsia="ja-JP"/>
              </w:rPr>
              <w:t>+</w:t>
            </w:r>
          </w:p>
        </w:tc>
        <w:tc>
          <w:tcPr>
            <w:tcW w:w="1743" w:type="dxa"/>
          </w:tcPr>
          <w:p w14:paraId="52414311" w14:textId="77777777" w:rsidR="00A8048D" w:rsidRDefault="00A8048D" w:rsidP="006A3799">
            <w:pPr>
              <w:jc w:val="center"/>
              <w:rPr>
                <w:rFonts w:ascii="Calibri" w:hAnsi="Calibri"/>
                <w:sz w:val="20"/>
                <w:lang w:eastAsia="ja-JP"/>
              </w:rPr>
            </w:pPr>
            <w:r>
              <w:rPr>
                <w:rFonts w:ascii="Calibri" w:hAnsi="Calibri"/>
                <w:sz w:val="20"/>
                <w:lang w:eastAsia="ja-JP"/>
              </w:rPr>
              <w:t>+</w:t>
            </w:r>
          </w:p>
        </w:tc>
      </w:tr>
    </w:tbl>
    <w:p w14:paraId="7D1BAA7B" w14:textId="77777777" w:rsidR="00A8048D" w:rsidRPr="00A8048D" w:rsidRDefault="00A8048D" w:rsidP="00A8048D">
      <w:pPr>
        <w:spacing w:line="259" w:lineRule="auto"/>
        <w:jc w:val="center"/>
        <w:rPr>
          <w:i/>
          <w:sz w:val="8"/>
          <w:szCs w:val="8"/>
        </w:rPr>
      </w:pPr>
    </w:p>
    <w:p w14:paraId="296819CF" w14:textId="77777777" w:rsidR="00A8048D" w:rsidRPr="002A505F" w:rsidRDefault="00A8048D" w:rsidP="00A8048D">
      <w:pPr>
        <w:spacing w:after="160" w:line="259" w:lineRule="auto"/>
        <w:jc w:val="center"/>
        <w:rPr>
          <w:b/>
          <w:i/>
        </w:rPr>
      </w:pPr>
      <w:r w:rsidRPr="002A505F">
        <w:rPr>
          <w:b/>
          <w:i/>
        </w:rPr>
        <w:t>Table 5: Indicative assessment of criteria for emerging ODS alternatives in the Refrigeration Sector</w:t>
      </w:r>
    </w:p>
    <w:p w14:paraId="19B2EE0C" w14:textId="4C5F2D81" w:rsidR="00A8048D" w:rsidRPr="00A8048D" w:rsidRDefault="00A8048D" w:rsidP="00A8048D">
      <w:pPr>
        <w:jc w:val="both"/>
        <w:rPr>
          <w:lang w:eastAsia="ja-JP"/>
        </w:rPr>
      </w:pPr>
      <w:r>
        <w:rPr>
          <w:lang w:eastAsia="ja-JP"/>
        </w:rPr>
        <w:t xml:space="preserve">As noted above, the commercialisation time-line and global availability of the various unsaturated HCFCs/HFCs will have a considerable bearing on their widespread adoption under the HCFC Phase-out Management Plans currently being enacted. Two of the three potential manufacturers are committing to timelines of 2015 or better, but the supply/demand curves for these alternatives are still not fully understood. As noted earlier, </w:t>
      </w:r>
      <w:r w:rsidRPr="00A8048D">
        <w:rPr>
          <w:lang w:eastAsia="ja-JP"/>
        </w:rPr>
        <w:t xml:space="preserve">one major manufacturer </w:t>
      </w:r>
      <w:r w:rsidR="00547D8E">
        <w:rPr>
          <w:lang w:eastAsia="ja-JP"/>
        </w:rPr>
        <w:t xml:space="preserve">has </w:t>
      </w:r>
      <w:r w:rsidRPr="00A8048D">
        <w:rPr>
          <w:lang w:eastAsia="ja-JP"/>
        </w:rPr>
        <w:t>started up global scale plant</w:t>
      </w:r>
      <w:r w:rsidR="00547D8E">
        <w:rPr>
          <w:lang w:eastAsia="ja-JP"/>
        </w:rPr>
        <w:t>s for both gaseous and liquid HFOs</w:t>
      </w:r>
      <w:r w:rsidRPr="00A8048D">
        <w:rPr>
          <w:lang w:eastAsia="ja-JP"/>
        </w:rPr>
        <w:t xml:space="preserve"> in </w:t>
      </w:r>
      <w:r w:rsidR="00547D8E">
        <w:rPr>
          <w:lang w:eastAsia="ja-JP"/>
        </w:rPr>
        <w:t>the last two years</w:t>
      </w:r>
      <w:r w:rsidRPr="00A8048D">
        <w:rPr>
          <w:lang w:eastAsia="ja-JP"/>
        </w:rPr>
        <w:t xml:space="preserve">. </w:t>
      </w:r>
    </w:p>
    <w:p w14:paraId="0062FFA8" w14:textId="77777777" w:rsidR="00A8048D" w:rsidRPr="00A8048D" w:rsidRDefault="00A8048D" w:rsidP="00A8048D">
      <w:pPr>
        <w:rPr>
          <w:lang w:eastAsia="ja-JP"/>
        </w:rPr>
      </w:pPr>
    </w:p>
    <w:p w14:paraId="70F67378" w14:textId="77777777" w:rsidR="00A8048D" w:rsidRDefault="00A8048D" w:rsidP="00A8048D">
      <w:pPr>
        <w:jc w:val="both"/>
        <w:rPr>
          <w:lang w:eastAsia="ja-JP"/>
        </w:rPr>
      </w:pPr>
      <w:r>
        <w:rPr>
          <w:lang w:eastAsia="ja-JP"/>
        </w:rPr>
        <w:t xml:space="preserve">One factor in the adoption of these new technologies is the potential use of blends of unsaturated HFCs/HCFCs with hydrocarbons to achieve intermediate thermal performance benefits at affordable cost. If the compromises made are too great, then the benefits will be too marginal to justify transition from existing hydrocarbon solutions where they are already in place, and to prefer unsaturated HCFC/HFC solutions over hydrocarbon where they are not. However, with the cost of these new compounds not completely established at this point, it is not clear whether solutions maximising the thermal performance benefits will be affordable. </w:t>
      </w:r>
    </w:p>
    <w:p w14:paraId="39B8BF94" w14:textId="77777777" w:rsidR="00A8048D" w:rsidRDefault="00A8048D" w:rsidP="00A8048D">
      <w:pPr>
        <w:rPr>
          <w:lang w:eastAsia="ja-JP"/>
        </w:rPr>
      </w:pPr>
    </w:p>
    <w:p w14:paraId="7F9A51BA" w14:textId="77777777" w:rsidR="00A8048D" w:rsidRDefault="00A8048D" w:rsidP="00A8048D">
      <w:pPr>
        <w:jc w:val="both"/>
        <w:rPr>
          <w:lang w:eastAsia="ja-JP"/>
        </w:rPr>
      </w:pPr>
      <w:r>
        <w:rPr>
          <w:lang w:eastAsia="ja-JP"/>
        </w:rPr>
        <w:t xml:space="preserve">For those still using HCFC-141b, one strategy being considered in the case of some manufacturers is to make an intermediate transition to a high-GWP (lower investment) technology option such as saturated HFCs on the written understanding that a further transition to a low-GWP option will follow within a specified period. The choice would be left open until such time as optimum technology approaches have been established.            </w:t>
      </w:r>
    </w:p>
    <w:p w14:paraId="5E3E38EA" w14:textId="77777777" w:rsidR="00A8048D" w:rsidRDefault="00A8048D" w:rsidP="00A8048D">
      <w:pPr>
        <w:rPr>
          <w:lang w:eastAsia="ja-JP"/>
        </w:rPr>
      </w:pPr>
    </w:p>
    <w:p w14:paraId="141A5C07" w14:textId="77777777" w:rsidR="00A8048D" w:rsidRDefault="00A8048D" w:rsidP="00A8048D">
      <w:pPr>
        <w:jc w:val="both"/>
      </w:pPr>
      <w:r>
        <w:rPr>
          <w:lang w:eastAsia="ja-JP"/>
        </w:rPr>
        <w:t xml:space="preserve">For transitions directly from HCFC-141b to hydrocarbons, there are potential strategies to reduce the investment costs for smaller enterprises. These include the potential for using pre-blended mixes containing </w:t>
      </w:r>
      <w:proofErr w:type="spellStart"/>
      <w:r>
        <w:rPr>
          <w:lang w:eastAsia="ja-JP"/>
        </w:rPr>
        <w:t>cyclo</w:t>
      </w:r>
      <w:proofErr w:type="spellEnd"/>
      <w:r>
        <w:rPr>
          <w:lang w:eastAsia="ja-JP"/>
        </w:rPr>
        <w:t xml:space="preserve">-pentane. However, this approach is not expected to impact the domestic appliance sector too greatly, since economies of scale would generally support a more comprehensive conversion strategy. However, in the case of some manufacturers of commercial appliances (e.g. vending machines), there may be more relevance. </w:t>
      </w:r>
    </w:p>
    <w:p w14:paraId="5249250D" w14:textId="77777777" w:rsidR="00A8048D" w:rsidRDefault="00A8048D" w:rsidP="00164DBE">
      <w:pPr>
        <w:pStyle w:val="Heading4"/>
      </w:pPr>
    </w:p>
    <w:p w14:paraId="5B1F3984" w14:textId="77777777" w:rsidR="00164DBE" w:rsidRPr="00164DBE" w:rsidRDefault="00164DBE" w:rsidP="00164DBE">
      <w:pPr>
        <w:pStyle w:val="Heading4"/>
      </w:pPr>
      <w:r>
        <w:t>Non-Article 5 Parties</w:t>
      </w:r>
    </w:p>
    <w:p w14:paraId="57EE55F8" w14:textId="77777777" w:rsidR="00164DBE" w:rsidRPr="006E19AF" w:rsidRDefault="00164DBE" w:rsidP="00BB34B3">
      <w:pPr>
        <w:rPr>
          <w:sz w:val="12"/>
          <w:szCs w:val="12"/>
        </w:rPr>
      </w:pPr>
    </w:p>
    <w:p w14:paraId="6D64DCD7" w14:textId="56E88342" w:rsidR="006E19AF" w:rsidRDefault="006E19AF" w:rsidP="006E19AF">
      <w:pPr>
        <w:jc w:val="both"/>
        <w:rPr>
          <w:lang w:eastAsia="ja-JP"/>
        </w:rPr>
      </w:pPr>
      <w:r>
        <w:rPr>
          <w:lang w:eastAsia="ja-JP"/>
        </w:rPr>
        <w:t xml:space="preserve">In Europe and Japan, the dominant blowing agent choices have been hydrocarbon blends, even at the point of phase-out from CFC use in the early/mid 1990s. </w:t>
      </w:r>
      <w:proofErr w:type="spellStart"/>
      <w:r>
        <w:rPr>
          <w:lang w:eastAsia="ja-JP"/>
        </w:rPr>
        <w:t>Cyclo</w:t>
      </w:r>
      <w:proofErr w:type="spellEnd"/>
      <w:r>
        <w:rPr>
          <w:lang w:eastAsia="ja-JP"/>
        </w:rPr>
        <w:t>-pentane was a favoured component of blends because of its contributions to improved thermal performance</w:t>
      </w:r>
      <w:r w:rsidR="003D129A">
        <w:rPr>
          <w:lang w:eastAsia="ja-JP"/>
        </w:rPr>
        <w:t xml:space="preserve"> and its higher </w:t>
      </w:r>
      <w:r w:rsidR="003D129A">
        <w:rPr>
          <w:lang w:eastAsia="ja-JP"/>
        </w:rPr>
        <w:lastRenderedPageBreak/>
        <w:t>boiling/flash point.</w:t>
      </w:r>
      <w:r>
        <w:rPr>
          <w:lang w:eastAsia="ja-JP"/>
        </w:rPr>
        <w:t xml:space="preserve"> </w:t>
      </w:r>
      <w:r w:rsidR="003D129A">
        <w:rPr>
          <w:lang w:eastAsia="ja-JP"/>
        </w:rPr>
        <w:t>However,</w:t>
      </w:r>
      <w:r>
        <w:rPr>
          <w:lang w:eastAsia="ja-JP"/>
        </w:rPr>
        <w:t xml:space="preserve"> its lack of blowing efficiency in pure form and the impact of this on processing and cost often led to the blending with components such as </w:t>
      </w:r>
      <w:proofErr w:type="spellStart"/>
      <w:r>
        <w:rPr>
          <w:lang w:eastAsia="ja-JP"/>
        </w:rPr>
        <w:t>iso</w:t>
      </w:r>
      <w:proofErr w:type="spellEnd"/>
      <w:r>
        <w:rPr>
          <w:lang w:eastAsia="ja-JP"/>
        </w:rPr>
        <w:t xml:space="preserve">-pentane or n-pentane. Therefore, </w:t>
      </w:r>
      <w:proofErr w:type="spellStart"/>
      <w:r>
        <w:rPr>
          <w:lang w:eastAsia="ja-JP"/>
        </w:rPr>
        <w:t>cyclo-iso</w:t>
      </w:r>
      <w:proofErr w:type="spellEnd"/>
      <w:r>
        <w:rPr>
          <w:lang w:eastAsia="ja-JP"/>
        </w:rPr>
        <w:t xml:space="preserve"> blends have been a common feature of the domestic appliance industry and still remain so. </w:t>
      </w:r>
    </w:p>
    <w:p w14:paraId="51790476" w14:textId="77777777" w:rsidR="006E19AF" w:rsidRDefault="006E19AF" w:rsidP="006E19AF">
      <w:pPr>
        <w:rPr>
          <w:lang w:eastAsia="ja-JP"/>
        </w:rPr>
      </w:pPr>
    </w:p>
    <w:p w14:paraId="2AAD137C" w14:textId="77777777" w:rsidR="006E19AF" w:rsidRDefault="006E19AF" w:rsidP="006E19AF">
      <w:pPr>
        <w:jc w:val="both"/>
        <w:rPr>
          <w:lang w:eastAsia="ja-JP"/>
        </w:rPr>
      </w:pPr>
      <w:r>
        <w:rPr>
          <w:lang w:eastAsia="ja-JP"/>
        </w:rPr>
        <w:t xml:space="preserve">In North America, the technology choice was driven in a different direction – partly by the overall size and design of refrigerators and partly because of safety and insurance concerns from a manufacturing perspective. Transitions from CFCs moved to HCFCs and then, primarily, to HFC-245fa. There has also been some use of HFC-134a in the sector and, more recently, the removal of patent restrictions has allowed for the introduction of HFC-365mfc/227ea blends. Therefore, the domestic appliance industry in this region remains largely dependent on high GWP HFCs. </w:t>
      </w:r>
    </w:p>
    <w:p w14:paraId="4CD1561C" w14:textId="77777777" w:rsidR="006E19AF" w:rsidRDefault="006E19AF" w:rsidP="006E19AF">
      <w:pPr>
        <w:rPr>
          <w:lang w:eastAsia="ja-JP"/>
        </w:rPr>
      </w:pPr>
    </w:p>
    <w:p w14:paraId="15E156C0" w14:textId="77777777" w:rsidR="006E19AF" w:rsidRDefault="006E19AF" w:rsidP="006E19AF">
      <w:pPr>
        <w:jc w:val="both"/>
        <w:rPr>
          <w:lang w:eastAsia="ja-JP"/>
        </w:rPr>
      </w:pPr>
      <w:r>
        <w:rPr>
          <w:lang w:eastAsia="ja-JP"/>
        </w:rPr>
        <w:t xml:space="preserve">For commercial appliances and more complex insulated containers, the blowing agent choices have been more varied, with greater reliance on lower flammability options. In some instances (e.g. in vending machines), this has encouraged the use of oxygenated hydrocarbons such as methyl </w:t>
      </w:r>
      <w:proofErr w:type="spellStart"/>
      <w:r>
        <w:rPr>
          <w:lang w:eastAsia="ja-JP"/>
        </w:rPr>
        <w:t>formate</w:t>
      </w:r>
      <w:proofErr w:type="spellEnd"/>
      <w:r>
        <w:rPr>
          <w:lang w:eastAsia="ja-JP"/>
        </w:rPr>
        <w:t xml:space="preserve"> and, to a lesser degree </w:t>
      </w:r>
      <w:proofErr w:type="spellStart"/>
      <w:r>
        <w:rPr>
          <w:lang w:eastAsia="ja-JP"/>
        </w:rPr>
        <w:t>methylal</w:t>
      </w:r>
      <w:proofErr w:type="spellEnd"/>
      <w:r>
        <w:rPr>
          <w:lang w:eastAsia="ja-JP"/>
        </w:rPr>
        <w:t xml:space="preserve">. In addition, there has been widespread reliance on HCFCs and, more latterly high GWP HFCs. </w:t>
      </w:r>
    </w:p>
    <w:p w14:paraId="00C9D0C8" w14:textId="77777777" w:rsidR="006E19AF" w:rsidRDefault="006E19AF" w:rsidP="006E19AF">
      <w:pPr>
        <w:rPr>
          <w:lang w:eastAsia="ja-JP"/>
        </w:rPr>
      </w:pPr>
    </w:p>
    <w:p w14:paraId="595B31A4" w14:textId="77777777" w:rsidR="006E19AF" w:rsidRDefault="006E19AF" w:rsidP="006E19AF">
      <w:pPr>
        <w:jc w:val="both"/>
        <w:rPr>
          <w:lang w:eastAsia="ja-JP"/>
        </w:rPr>
      </w:pPr>
      <w:r>
        <w:rPr>
          <w:lang w:eastAsia="ja-JP"/>
        </w:rPr>
        <w:t xml:space="preserve">Although there are no obvious pressures to change technologies in any of the regions referenced above, the emergence of unsaturated HFCs and HCFCs has generated particular interest in all regions. The main reason is that these molecules offer improved thermal insulating properties in an application where maximising thermal performance and minimising insulation thickness are desirable outcomes. Whether additional market pressures in North America relating to the continued use of high-GWP HFCs will add to the pressure to adopt blends containing the unsaturated molecules is not yet clear. </w:t>
      </w:r>
    </w:p>
    <w:p w14:paraId="1A8C4822" w14:textId="77777777" w:rsidR="00164DBE" w:rsidRDefault="00164DBE" w:rsidP="00BB34B3"/>
    <w:p w14:paraId="12B80058" w14:textId="77777777" w:rsidR="006E19AF" w:rsidRPr="00164DBE" w:rsidRDefault="006E19AF" w:rsidP="006E19AF">
      <w:pPr>
        <w:pStyle w:val="Heading4"/>
      </w:pPr>
      <w:r>
        <w:t>Article 5 Parties</w:t>
      </w:r>
    </w:p>
    <w:p w14:paraId="37F1E817" w14:textId="77777777" w:rsidR="006E19AF" w:rsidRPr="00C60157" w:rsidRDefault="006E19AF" w:rsidP="00BB34B3">
      <w:pPr>
        <w:rPr>
          <w:sz w:val="8"/>
          <w:szCs w:val="8"/>
        </w:rPr>
      </w:pPr>
    </w:p>
    <w:p w14:paraId="56619611" w14:textId="31005D35" w:rsidR="006E19AF" w:rsidRDefault="006E19AF" w:rsidP="006E19AF">
      <w:pPr>
        <w:jc w:val="both"/>
        <w:rPr>
          <w:lang w:eastAsia="ja-JP"/>
        </w:rPr>
      </w:pPr>
      <w:r>
        <w:rPr>
          <w:lang w:eastAsia="ja-JP"/>
        </w:rPr>
        <w:t>Similar trends exist for in the highly populated Article 5 Parties where multi-national companies are often seeking to adopt global technology strategies. In some cases, the transition from HCFCs to alternatives has not yet occurred and there are opportunities to avoid high-GWP HFCs. However, the Multilateral Fun</w:t>
      </w:r>
      <w:r w:rsidR="00547D8E">
        <w:rPr>
          <w:lang w:eastAsia="ja-JP"/>
        </w:rPr>
        <w:t>d</w:t>
      </w:r>
      <w:r>
        <w:rPr>
          <w:lang w:eastAsia="ja-JP"/>
        </w:rPr>
        <w:t xml:space="preserve"> process does not direct influence over these technology choices, since funding is usually not provided. Instead it falls on individual Parties to negotiate a phase-out strategy with their industries. This matter is covered further in Chapter 4. Interest in unsaturated HFCs and HCFCs is expected to mirror the decisions made in non-Article 5 regions. </w:t>
      </w:r>
    </w:p>
    <w:p w14:paraId="78C6F09A" w14:textId="77777777" w:rsidR="006E19AF" w:rsidRDefault="006E19AF" w:rsidP="006E19AF">
      <w:pPr>
        <w:rPr>
          <w:lang w:eastAsia="ja-JP"/>
        </w:rPr>
      </w:pPr>
    </w:p>
    <w:p w14:paraId="03092967" w14:textId="77777777" w:rsidR="006E19AF" w:rsidRDefault="006E19AF" w:rsidP="006E19AF">
      <w:pPr>
        <w:spacing w:after="120"/>
        <w:jc w:val="both"/>
        <w:rPr>
          <w:lang w:eastAsia="ja-JP"/>
        </w:rPr>
      </w:pPr>
      <w:r>
        <w:rPr>
          <w:lang w:eastAsia="ja-JP"/>
        </w:rPr>
        <w:t xml:space="preserve">For those transitions covered under the Multilateral Fund, it has been possible to direct virtually all HCFC phase-out activities towards low-GWP alternatives including pre-blended hydrocarbon, methyl </w:t>
      </w:r>
      <w:proofErr w:type="spellStart"/>
      <w:r>
        <w:rPr>
          <w:lang w:eastAsia="ja-JP"/>
        </w:rPr>
        <w:t>formate</w:t>
      </w:r>
      <w:proofErr w:type="spellEnd"/>
      <w:r>
        <w:rPr>
          <w:lang w:eastAsia="ja-JP"/>
        </w:rPr>
        <w:t xml:space="preserve"> and </w:t>
      </w:r>
      <w:proofErr w:type="spellStart"/>
      <w:r>
        <w:rPr>
          <w:lang w:eastAsia="ja-JP"/>
        </w:rPr>
        <w:t>methylal</w:t>
      </w:r>
      <w:proofErr w:type="spellEnd"/>
      <w:r>
        <w:rPr>
          <w:lang w:eastAsia="ja-JP"/>
        </w:rPr>
        <w:t>. Transitions will not be complete before 2015, at which point the full degree of coverage of these technologies will be more self-evident.</w:t>
      </w:r>
    </w:p>
    <w:p w14:paraId="118605CD" w14:textId="77777777" w:rsidR="00E0548D" w:rsidRDefault="00E0548D" w:rsidP="00050445">
      <w:pPr>
        <w:pStyle w:val="Heading3"/>
      </w:pPr>
    </w:p>
    <w:p w14:paraId="5D99317C" w14:textId="77777777" w:rsidR="00050445" w:rsidRDefault="00050445" w:rsidP="00050445">
      <w:pPr>
        <w:pStyle w:val="Heading3"/>
      </w:pPr>
      <w:bookmarkStart w:id="30" w:name="_Toc415441531"/>
      <w:r>
        <w:t xml:space="preserve">Polyurethane </w:t>
      </w:r>
      <w:proofErr w:type="spellStart"/>
      <w:r>
        <w:t>Boardstock</w:t>
      </w:r>
      <w:bookmarkEnd w:id="30"/>
      <w:proofErr w:type="spellEnd"/>
      <w:r>
        <w:t xml:space="preserve"> </w:t>
      </w:r>
    </w:p>
    <w:p w14:paraId="590C52BD" w14:textId="77777777" w:rsidR="00050445" w:rsidRPr="00050445" w:rsidRDefault="00050445" w:rsidP="00050445">
      <w:pPr>
        <w:rPr>
          <w:sz w:val="12"/>
          <w:szCs w:val="12"/>
        </w:rPr>
      </w:pPr>
    </w:p>
    <w:p w14:paraId="48CEFDB1" w14:textId="77777777" w:rsidR="00A8048D" w:rsidRDefault="00A8048D" w:rsidP="00A8048D">
      <w:pPr>
        <w:jc w:val="both"/>
      </w:pPr>
      <w:r>
        <w:t xml:space="preserve">This is one of the largest markets for rigid polyurethane foams in non-Article 5 Parties, but has only recently started to grow significantly in Article 5 Parties as requirements for building energy efficiency have increased. The historical analysis therefore focuses primarily on the non-Article 5 experiences. </w:t>
      </w:r>
    </w:p>
    <w:p w14:paraId="47E751C2" w14:textId="77777777" w:rsidR="00A8048D" w:rsidRPr="00BD3D9E" w:rsidRDefault="00A8048D" w:rsidP="00726F05">
      <w:pPr>
        <w:pStyle w:val="Heading4"/>
        <w:rPr>
          <w:sz w:val="16"/>
          <w:szCs w:val="16"/>
        </w:rPr>
      </w:pPr>
    </w:p>
    <w:p w14:paraId="10384CE1" w14:textId="77777777" w:rsidR="00726F05" w:rsidRPr="00164DBE" w:rsidRDefault="00726F05" w:rsidP="00726F05">
      <w:pPr>
        <w:pStyle w:val="Heading4"/>
      </w:pPr>
      <w:r>
        <w:t xml:space="preserve">Commercially available alternatives to ODS </w:t>
      </w:r>
    </w:p>
    <w:p w14:paraId="5AEA1F90" w14:textId="77777777" w:rsidR="00726F05" w:rsidRPr="00C60157" w:rsidRDefault="00726F05" w:rsidP="00726F05">
      <w:pPr>
        <w:rPr>
          <w:sz w:val="8"/>
          <w:szCs w:val="8"/>
        </w:rPr>
      </w:pPr>
    </w:p>
    <w:p w14:paraId="62C9D09F" w14:textId="77777777" w:rsidR="00726F05" w:rsidRDefault="00A8048D" w:rsidP="00726F05">
      <w:r>
        <w:t>Table 6</w:t>
      </w:r>
      <w:r w:rsidR="00726F05">
        <w:t xml:space="preserve"> below gives an overview of the alternatives current</w:t>
      </w:r>
      <w:r>
        <w:t xml:space="preserve">ly available for </w:t>
      </w:r>
      <w:proofErr w:type="spellStart"/>
      <w:r>
        <w:t>boardstock</w:t>
      </w:r>
      <w:proofErr w:type="spellEnd"/>
      <w:r w:rsidR="00726F05">
        <w:t xml:space="preserve"> applications</w:t>
      </w:r>
    </w:p>
    <w:p w14:paraId="73554085" w14:textId="77777777" w:rsidR="00726F05" w:rsidRDefault="00726F05" w:rsidP="00050445">
      <w:pPr>
        <w:pStyle w:val="Heading4"/>
      </w:pPr>
    </w:p>
    <w:p w14:paraId="28992993" w14:textId="77777777" w:rsidR="00726F05" w:rsidRDefault="00BD3D9E" w:rsidP="00726F05">
      <w:r>
        <w:rPr>
          <w:noProof/>
          <w:lang w:val="en-US"/>
        </w:rPr>
        <w:drawing>
          <wp:inline distT="0" distB="0" distL="0" distR="0" wp14:anchorId="112C995C" wp14:editId="77040DD9">
            <wp:extent cx="5742940" cy="1657350"/>
            <wp:effectExtent l="19050" t="19050" r="10160"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2940" cy="1657350"/>
                    </a:xfrm>
                    <a:prstGeom prst="rect">
                      <a:avLst/>
                    </a:prstGeom>
                    <a:noFill/>
                    <a:ln>
                      <a:solidFill>
                        <a:schemeClr val="tx1"/>
                      </a:solidFill>
                    </a:ln>
                  </pic:spPr>
                </pic:pic>
              </a:graphicData>
            </a:graphic>
          </wp:inline>
        </w:drawing>
      </w:r>
    </w:p>
    <w:p w14:paraId="16DCBE9A" w14:textId="77777777" w:rsidR="00726F05" w:rsidRPr="00BD3D9E" w:rsidRDefault="00726F05" w:rsidP="00726F05">
      <w:pPr>
        <w:rPr>
          <w:sz w:val="8"/>
          <w:szCs w:val="8"/>
        </w:rPr>
      </w:pPr>
    </w:p>
    <w:p w14:paraId="2D88D763" w14:textId="77777777" w:rsidR="00BD3D9E" w:rsidRPr="002A505F" w:rsidRDefault="00BD3D9E" w:rsidP="00BD3D9E">
      <w:pPr>
        <w:spacing w:after="160" w:line="259" w:lineRule="auto"/>
        <w:jc w:val="center"/>
        <w:rPr>
          <w:b/>
          <w:i/>
        </w:rPr>
      </w:pPr>
      <w:r w:rsidRPr="002A505F">
        <w:rPr>
          <w:b/>
          <w:i/>
        </w:rPr>
        <w:t xml:space="preserve">Table 6: Assessment of selection criteria for ODS alternatives in the </w:t>
      </w:r>
      <w:proofErr w:type="spellStart"/>
      <w:r w:rsidRPr="002A505F">
        <w:rPr>
          <w:b/>
          <w:i/>
        </w:rPr>
        <w:t>Boardstock</w:t>
      </w:r>
      <w:proofErr w:type="spellEnd"/>
      <w:r w:rsidRPr="002A505F">
        <w:rPr>
          <w:b/>
          <w:i/>
        </w:rPr>
        <w:t xml:space="preserve"> Sector</w:t>
      </w:r>
    </w:p>
    <w:p w14:paraId="75BBC8B4" w14:textId="77777777" w:rsidR="00BD3D9E" w:rsidRDefault="00BD3D9E" w:rsidP="00BD3D9E">
      <w:pPr>
        <w:jc w:val="both"/>
        <w:rPr>
          <w:lang w:eastAsia="ja-JP"/>
        </w:rPr>
      </w:pPr>
      <w:r>
        <w:rPr>
          <w:lang w:eastAsia="ja-JP"/>
        </w:rPr>
        <w:t xml:space="preserve">In general, saturated HFCs have shown little uptake in most PU </w:t>
      </w:r>
      <w:proofErr w:type="spellStart"/>
      <w:r>
        <w:rPr>
          <w:lang w:eastAsia="ja-JP"/>
        </w:rPr>
        <w:t>Boardstock</w:t>
      </w:r>
      <w:proofErr w:type="spellEnd"/>
      <w:r>
        <w:rPr>
          <w:lang w:eastAsia="ja-JP"/>
        </w:rPr>
        <w:t xml:space="preserve"> markets because the hydrocarbon-based products have been shown to be fit-for-purpose at a more competitive cost. Since new capacity in the industry can accommodate hydrocarbon process safety issues at the design stage, the high incremental capital costs associated with later transitions can be mitigated to some extent. </w:t>
      </w:r>
    </w:p>
    <w:p w14:paraId="400F9621" w14:textId="77777777" w:rsidR="00BD3D9E" w:rsidRDefault="00BD3D9E" w:rsidP="00BD3D9E">
      <w:pPr>
        <w:rPr>
          <w:lang w:eastAsia="ja-JP"/>
        </w:rPr>
      </w:pPr>
    </w:p>
    <w:p w14:paraId="30FF49D4" w14:textId="77777777" w:rsidR="00BD3D9E" w:rsidRDefault="00BD3D9E" w:rsidP="00BD3D9E">
      <w:pPr>
        <w:jc w:val="both"/>
        <w:rPr>
          <w:lang w:eastAsia="ja-JP"/>
        </w:rPr>
      </w:pPr>
      <w:r>
        <w:rPr>
          <w:lang w:eastAsia="ja-JP"/>
        </w:rPr>
        <w:t>As building energy standards increase, there could be increasing pressure for better thermal efficiency, especially where space is limited and product thickness is constrained. There has therefore been some interest in possible blends of hydrocarbons with saturated HFCs. Indeed, it is suspected that some manufacturers may have adopted this strategy commercially, although it is difficult to track because no further plant modifications would normally be necessary. Such trends may also be short-lived, since there is increasing market pressure (e.g. through LEED and other environmental building schemes) to avoid the use of saturated HFCs.</w:t>
      </w:r>
    </w:p>
    <w:p w14:paraId="4CC01BB0" w14:textId="77777777" w:rsidR="00BD3D9E" w:rsidRDefault="00BD3D9E" w:rsidP="00BD3D9E">
      <w:pPr>
        <w:rPr>
          <w:lang w:eastAsia="ja-JP"/>
        </w:rPr>
      </w:pPr>
    </w:p>
    <w:p w14:paraId="00F30855" w14:textId="77777777" w:rsidR="00BD3D9E" w:rsidRDefault="00BD3D9E" w:rsidP="00BD3D9E">
      <w:pPr>
        <w:jc w:val="both"/>
        <w:rPr>
          <w:lang w:eastAsia="ja-JP"/>
        </w:rPr>
      </w:pPr>
      <w:r>
        <w:rPr>
          <w:lang w:eastAsia="ja-JP"/>
        </w:rPr>
        <w:t xml:space="preserve">According to the chosen criteria, the relative performance of alternative technology solutions in this sector can be summarised as follows: </w:t>
      </w:r>
    </w:p>
    <w:p w14:paraId="06934CBF" w14:textId="77777777" w:rsidR="00BD3D9E" w:rsidRDefault="00BD3D9E" w:rsidP="00726F0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092"/>
        <w:gridCol w:w="1092"/>
        <w:gridCol w:w="1176"/>
        <w:gridCol w:w="1743"/>
      </w:tblGrid>
      <w:tr w:rsidR="00BD3D9E" w14:paraId="3129CC0D" w14:textId="77777777" w:rsidTr="006A3799">
        <w:trPr>
          <w:jc w:val="center"/>
        </w:trPr>
        <w:tc>
          <w:tcPr>
            <w:tcW w:w="2127" w:type="dxa"/>
            <w:shd w:val="clear" w:color="auto" w:fill="C0C0C0"/>
          </w:tcPr>
          <w:p w14:paraId="5BF3E0C7" w14:textId="77777777" w:rsidR="00BD3D9E" w:rsidRDefault="00BD3D9E" w:rsidP="006A3799">
            <w:pPr>
              <w:rPr>
                <w:lang w:eastAsia="ja-JP"/>
              </w:rPr>
            </w:pPr>
          </w:p>
        </w:tc>
        <w:tc>
          <w:tcPr>
            <w:tcW w:w="1134" w:type="dxa"/>
            <w:shd w:val="clear" w:color="auto" w:fill="C0C0C0"/>
            <w:vAlign w:val="center"/>
          </w:tcPr>
          <w:p w14:paraId="360309C5" w14:textId="77777777" w:rsidR="00BD3D9E" w:rsidRDefault="00BD3D9E" w:rsidP="006A3799">
            <w:pPr>
              <w:jc w:val="center"/>
              <w:rPr>
                <w:rFonts w:ascii="Calibri" w:hAnsi="Calibri"/>
                <w:b/>
                <w:i/>
                <w:sz w:val="20"/>
                <w:lang w:eastAsia="ja-JP"/>
              </w:rPr>
            </w:pPr>
            <w:r>
              <w:rPr>
                <w:rFonts w:ascii="Calibri" w:hAnsi="Calibri"/>
                <w:b/>
                <w:i/>
                <w:sz w:val="20"/>
                <w:lang w:eastAsia="ja-JP"/>
              </w:rPr>
              <w:t>c-pentane</w:t>
            </w:r>
          </w:p>
        </w:tc>
        <w:tc>
          <w:tcPr>
            <w:tcW w:w="1092" w:type="dxa"/>
            <w:shd w:val="clear" w:color="auto" w:fill="C0C0C0"/>
            <w:vAlign w:val="center"/>
          </w:tcPr>
          <w:p w14:paraId="2D9A8C21" w14:textId="77777777" w:rsidR="00BD3D9E" w:rsidRDefault="00BD3D9E" w:rsidP="006A3799">
            <w:pPr>
              <w:jc w:val="center"/>
              <w:rPr>
                <w:rFonts w:ascii="Calibri" w:hAnsi="Calibri"/>
                <w:b/>
                <w:i/>
                <w:sz w:val="20"/>
                <w:lang w:eastAsia="ja-JP"/>
              </w:rPr>
            </w:pPr>
            <w:r>
              <w:rPr>
                <w:rFonts w:ascii="Calibri" w:hAnsi="Calibri"/>
                <w:b/>
                <w:i/>
                <w:sz w:val="20"/>
                <w:lang w:eastAsia="ja-JP"/>
              </w:rPr>
              <w:t>n-pentane</w:t>
            </w:r>
          </w:p>
        </w:tc>
        <w:tc>
          <w:tcPr>
            <w:tcW w:w="1092" w:type="dxa"/>
            <w:shd w:val="clear" w:color="auto" w:fill="C0C0C0"/>
            <w:vAlign w:val="center"/>
          </w:tcPr>
          <w:p w14:paraId="1CFEA55B" w14:textId="77777777" w:rsidR="00BD3D9E" w:rsidRDefault="00BD3D9E" w:rsidP="006A3799">
            <w:pPr>
              <w:jc w:val="center"/>
              <w:rPr>
                <w:rFonts w:ascii="Calibri" w:hAnsi="Calibri"/>
                <w:b/>
                <w:i/>
                <w:sz w:val="20"/>
                <w:lang w:eastAsia="ja-JP"/>
              </w:rPr>
            </w:pPr>
            <w:proofErr w:type="spellStart"/>
            <w:r>
              <w:rPr>
                <w:rFonts w:ascii="Calibri" w:hAnsi="Calibri"/>
                <w:b/>
                <w:i/>
                <w:sz w:val="20"/>
                <w:lang w:eastAsia="ja-JP"/>
              </w:rPr>
              <w:t>i</w:t>
            </w:r>
            <w:proofErr w:type="spellEnd"/>
            <w:r>
              <w:rPr>
                <w:rFonts w:ascii="Calibri" w:hAnsi="Calibri"/>
                <w:b/>
                <w:i/>
                <w:sz w:val="20"/>
                <w:lang w:eastAsia="ja-JP"/>
              </w:rPr>
              <w:t>-pentane</w:t>
            </w:r>
          </w:p>
        </w:tc>
        <w:tc>
          <w:tcPr>
            <w:tcW w:w="1176" w:type="dxa"/>
            <w:shd w:val="clear" w:color="auto" w:fill="C0C0C0"/>
            <w:vAlign w:val="center"/>
          </w:tcPr>
          <w:p w14:paraId="701A65F4" w14:textId="77777777" w:rsidR="00BD3D9E" w:rsidRDefault="00BD3D9E" w:rsidP="006A3799">
            <w:pPr>
              <w:jc w:val="center"/>
              <w:rPr>
                <w:rFonts w:ascii="Calibri" w:hAnsi="Calibri"/>
                <w:b/>
                <w:i/>
                <w:sz w:val="20"/>
                <w:lang w:eastAsia="ja-JP"/>
              </w:rPr>
            </w:pPr>
            <w:r>
              <w:rPr>
                <w:rFonts w:ascii="Calibri" w:hAnsi="Calibri"/>
                <w:b/>
                <w:i/>
                <w:sz w:val="20"/>
                <w:lang w:eastAsia="ja-JP"/>
              </w:rPr>
              <w:t>HFC-245fa</w:t>
            </w:r>
          </w:p>
        </w:tc>
        <w:tc>
          <w:tcPr>
            <w:tcW w:w="1743" w:type="dxa"/>
            <w:shd w:val="clear" w:color="auto" w:fill="C0C0C0"/>
            <w:vAlign w:val="center"/>
          </w:tcPr>
          <w:p w14:paraId="3FC62FEF" w14:textId="77777777" w:rsidR="00BD3D9E" w:rsidRDefault="00BD3D9E" w:rsidP="006A3799">
            <w:pPr>
              <w:jc w:val="center"/>
              <w:rPr>
                <w:rFonts w:ascii="Calibri" w:hAnsi="Calibri"/>
                <w:b/>
                <w:i/>
                <w:sz w:val="20"/>
                <w:lang w:eastAsia="ja-JP"/>
              </w:rPr>
            </w:pPr>
            <w:r>
              <w:rPr>
                <w:rFonts w:ascii="Calibri" w:hAnsi="Calibri"/>
                <w:b/>
                <w:i/>
                <w:sz w:val="20"/>
                <w:lang w:eastAsia="ja-JP"/>
              </w:rPr>
              <w:t>HFC365mfc/227ea</w:t>
            </w:r>
          </w:p>
        </w:tc>
      </w:tr>
      <w:tr w:rsidR="00BD3D9E" w14:paraId="1EA5EF0E" w14:textId="77777777" w:rsidTr="006A3799">
        <w:trPr>
          <w:trHeight w:hRule="exact" w:val="113"/>
          <w:jc w:val="center"/>
        </w:trPr>
        <w:tc>
          <w:tcPr>
            <w:tcW w:w="2127" w:type="dxa"/>
          </w:tcPr>
          <w:p w14:paraId="2B85DB9A" w14:textId="77777777" w:rsidR="00BD3D9E" w:rsidRDefault="00BD3D9E" w:rsidP="006A3799">
            <w:pPr>
              <w:rPr>
                <w:rFonts w:ascii="Calibri" w:hAnsi="Calibri"/>
                <w:sz w:val="20"/>
                <w:lang w:eastAsia="ja-JP"/>
              </w:rPr>
            </w:pPr>
          </w:p>
        </w:tc>
        <w:tc>
          <w:tcPr>
            <w:tcW w:w="1134" w:type="dxa"/>
          </w:tcPr>
          <w:p w14:paraId="4946645C" w14:textId="77777777" w:rsidR="00BD3D9E" w:rsidRDefault="00BD3D9E" w:rsidP="006A3799">
            <w:pPr>
              <w:rPr>
                <w:rFonts w:ascii="Calibri" w:hAnsi="Calibri"/>
                <w:sz w:val="20"/>
                <w:lang w:eastAsia="ja-JP"/>
              </w:rPr>
            </w:pPr>
          </w:p>
        </w:tc>
        <w:tc>
          <w:tcPr>
            <w:tcW w:w="1092" w:type="dxa"/>
          </w:tcPr>
          <w:p w14:paraId="2C84E6DA" w14:textId="77777777" w:rsidR="00BD3D9E" w:rsidRDefault="00BD3D9E" w:rsidP="006A3799">
            <w:pPr>
              <w:rPr>
                <w:rFonts w:ascii="Calibri" w:hAnsi="Calibri"/>
                <w:sz w:val="20"/>
                <w:lang w:eastAsia="ja-JP"/>
              </w:rPr>
            </w:pPr>
          </w:p>
        </w:tc>
        <w:tc>
          <w:tcPr>
            <w:tcW w:w="1092" w:type="dxa"/>
          </w:tcPr>
          <w:p w14:paraId="01991357" w14:textId="77777777" w:rsidR="00BD3D9E" w:rsidRDefault="00BD3D9E" w:rsidP="006A3799">
            <w:pPr>
              <w:rPr>
                <w:rFonts w:ascii="Calibri" w:hAnsi="Calibri"/>
                <w:sz w:val="20"/>
                <w:lang w:eastAsia="ja-JP"/>
              </w:rPr>
            </w:pPr>
          </w:p>
        </w:tc>
        <w:tc>
          <w:tcPr>
            <w:tcW w:w="1176" w:type="dxa"/>
          </w:tcPr>
          <w:p w14:paraId="6887916C" w14:textId="77777777" w:rsidR="00BD3D9E" w:rsidRDefault="00BD3D9E" w:rsidP="006A3799">
            <w:pPr>
              <w:rPr>
                <w:rFonts w:ascii="Calibri" w:hAnsi="Calibri"/>
                <w:sz w:val="20"/>
                <w:lang w:eastAsia="ja-JP"/>
              </w:rPr>
            </w:pPr>
          </w:p>
        </w:tc>
        <w:tc>
          <w:tcPr>
            <w:tcW w:w="1743" w:type="dxa"/>
          </w:tcPr>
          <w:p w14:paraId="33E2CB81" w14:textId="77777777" w:rsidR="00BD3D9E" w:rsidRDefault="00BD3D9E" w:rsidP="006A3799">
            <w:pPr>
              <w:rPr>
                <w:rFonts w:ascii="Calibri" w:hAnsi="Calibri"/>
                <w:sz w:val="20"/>
                <w:lang w:eastAsia="ja-JP"/>
              </w:rPr>
            </w:pPr>
          </w:p>
        </w:tc>
      </w:tr>
      <w:tr w:rsidR="00BD3D9E" w14:paraId="070161DE" w14:textId="77777777" w:rsidTr="006A3799">
        <w:trPr>
          <w:jc w:val="center"/>
        </w:trPr>
        <w:tc>
          <w:tcPr>
            <w:tcW w:w="2127" w:type="dxa"/>
          </w:tcPr>
          <w:p w14:paraId="5ED0A1BC" w14:textId="77777777" w:rsidR="00BD3D9E" w:rsidRDefault="00BD3D9E" w:rsidP="006A3799">
            <w:pPr>
              <w:rPr>
                <w:rFonts w:ascii="Calibri" w:hAnsi="Calibri"/>
                <w:sz w:val="20"/>
                <w:lang w:eastAsia="ja-JP"/>
              </w:rPr>
            </w:pPr>
            <w:r>
              <w:rPr>
                <w:rFonts w:ascii="Calibri" w:hAnsi="Calibri"/>
                <w:sz w:val="20"/>
                <w:lang w:eastAsia="ja-JP"/>
              </w:rPr>
              <w:t>Proof of performance</w:t>
            </w:r>
          </w:p>
        </w:tc>
        <w:tc>
          <w:tcPr>
            <w:tcW w:w="1134" w:type="dxa"/>
          </w:tcPr>
          <w:p w14:paraId="04D9853D"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27D923C4"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503DEF4B"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7311E8F5"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1123019B" w14:textId="77777777" w:rsidR="00BD3D9E" w:rsidRDefault="00BD3D9E" w:rsidP="006A3799">
            <w:pPr>
              <w:jc w:val="center"/>
              <w:rPr>
                <w:rFonts w:ascii="Calibri" w:hAnsi="Calibri"/>
                <w:sz w:val="20"/>
                <w:lang w:eastAsia="ja-JP"/>
              </w:rPr>
            </w:pPr>
            <w:r>
              <w:rPr>
                <w:rFonts w:ascii="Calibri" w:hAnsi="Calibri"/>
                <w:sz w:val="20"/>
                <w:lang w:eastAsia="ja-JP"/>
              </w:rPr>
              <w:t>++</w:t>
            </w:r>
          </w:p>
        </w:tc>
      </w:tr>
      <w:tr w:rsidR="00BD3D9E" w14:paraId="3AF0BB61" w14:textId="77777777" w:rsidTr="006A3799">
        <w:trPr>
          <w:jc w:val="center"/>
        </w:trPr>
        <w:tc>
          <w:tcPr>
            <w:tcW w:w="2127" w:type="dxa"/>
          </w:tcPr>
          <w:p w14:paraId="5B142ADC" w14:textId="77777777" w:rsidR="00BD3D9E" w:rsidRDefault="00BD3D9E" w:rsidP="006A3799">
            <w:pPr>
              <w:rPr>
                <w:rFonts w:ascii="Calibri" w:hAnsi="Calibri"/>
                <w:sz w:val="20"/>
                <w:lang w:eastAsia="ja-JP"/>
              </w:rPr>
            </w:pPr>
            <w:r>
              <w:rPr>
                <w:rFonts w:ascii="Calibri" w:hAnsi="Calibri"/>
                <w:sz w:val="20"/>
                <w:lang w:eastAsia="ja-JP"/>
              </w:rPr>
              <w:t>Flammability</w:t>
            </w:r>
          </w:p>
        </w:tc>
        <w:tc>
          <w:tcPr>
            <w:tcW w:w="1134" w:type="dxa"/>
          </w:tcPr>
          <w:p w14:paraId="2FBD1004"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031C37FB"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6C9C5972"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45204C46"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031AEC87" w14:textId="77777777" w:rsidR="00BD3D9E" w:rsidRDefault="00BD3D9E" w:rsidP="006A3799">
            <w:pPr>
              <w:jc w:val="center"/>
              <w:rPr>
                <w:rFonts w:ascii="Calibri" w:hAnsi="Calibri"/>
                <w:sz w:val="20"/>
                <w:lang w:eastAsia="ja-JP"/>
              </w:rPr>
            </w:pPr>
            <w:r>
              <w:rPr>
                <w:rFonts w:ascii="Calibri" w:hAnsi="Calibri"/>
                <w:sz w:val="20"/>
                <w:lang w:eastAsia="ja-JP"/>
              </w:rPr>
              <w:t>+(+)</w:t>
            </w:r>
          </w:p>
        </w:tc>
      </w:tr>
      <w:tr w:rsidR="00BD3D9E" w14:paraId="4F366D5E" w14:textId="77777777" w:rsidTr="006A3799">
        <w:trPr>
          <w:jc w:val="center"/>
        </w:trPr>
        <w:tc>
          <w:tcPr>
            <w:tcW w:w="2127" w:type="dxa"/>
          </w:tcPr>
          <w:p w14:paraId="405144E4" w14:textId="77777777" w:rsidR="00BD3D9E" w:rsidRDefault="00BD3D9E" w:rsidP="006A3799">
            <w:pPr>
              <w:rPr>
                <w:rFonts w:ascii="Calibri" w:hAnsi="Calibri"/>
                <w:sz w:val="20"/>
                <w:lang w:eastAsia="ja-JP"/>
              </w:rPr>
            </w:pPr>
            <w:r>
              <w:rPr>
                <w:rFonts w:ascii="Calibri" w:hAnsi="Calibri"/>
                <w:sz w:val="20"/>
                <w:lang w:eastAsia="ja-JP"/>
              </w:rPr>
              <w:t>Other Health &amp; Safety</w:t>
            </w:r>
          </w:p>
        </w:tc>
        <w:tc>
          <w:tcPr>
            <w:tcW w:w="1134" w:type="dxa"/>
          </w:tcPr>
          <w:p w14:paraId="08CCC8B5" w14:textId="77777777" w:rsidR="00BD3D9E" w:rsidRDefault="00BD3D9E" w:rsidP="006A3799">
            <w:pPr>
              <w:jc w:val="center"/>
              <w:rPr>
                <w:rFonts w:ascii="Calibri" w:hAnsi="Calibri"/>
                <w:sz w:val="20"/>
                <w:lang w:eastAsia="ja-JP"/>
              </w:rPr>
            </w:pPr>
            <w:r>
              <w:rPr>
                <w:rFonts w:ascii="Calibri" w:hAnsi="Calibri"/>
                <w:sz w:val="20"/>
                <w:lang w:eastAsia="ja-JP"/>
              </w:rPr>
              <w:t>0</w:t>
            </w:r>
          </w:p>
        </w:tc>
        <w:tc>
          <w:tcPr>
            <w:tcW w:w="1092" w:type="dxa"/>
          </w:tcPr>
          <w:p w14:paraId="333C6E1E" w14:textId="77777777" w:rsidR="00BD3D9E" w:rsidRDefault="00BD3D9E" w:rsidP="006A3799">
            <w:pPr>
              <w:jc w:val="center"/>
              <w:rPr>
                <w:rFonts w:ascii="Calibri" w:hAnsi="Calibri"/>
                <w:sz w:val="20"/>
                <w:lang w:eastAsia="ja-JP"/>
              </w:rPr>
            </w:pPr>
            <w:r>
              <w:rPr>
                <w:rFonts w:ascii="Calibri" w:hAnsi="Calibri"/>
                <w:sz w:val="20"/>
                <w:lang w:eastAsia="ja-JP"/>
              </w:rPr>
              <w:t>0</w:t>
            </w:r>
          </w:p>
        </w:tc>
        <w:tc>
          <w:tcPr>
            <w:tcW w:w="1092" w:type="dxa"/>
          </w:tcPr>
          <w:p w14:paraId="30594EBD" w14:textId="77777777" w:rsidR="00BD3D9E" w:rsidRDefault="00BD3D9E" w:rsidP="006A3799">
            <w:pPr>
              <w:jc w:val="center"/>
              <w:rPr>
                <w:rFonts w:ascii="Calibri" w:hAnsi="Calibri"/>
                <w:sz w:val="20"/>
                <w:lang w:eastAsia="ja-JP"/>
              </w:rPr>
            </w:pPr>
            <w:r>
              <w:rPr>
                <w:rFonts w:ascii="Calibri" w:hAnsi="Calibri"/>
                <w:sz w:val="20"/>
                <w:lang w:eastAsia="ja-JP"/>
              </w:rPr>
              <w:t>0</w:t>
            </w:r>
          </w:p>
        </w:tc>
        <w:tc>
          <w:tcPr>
            <w:tcW w:w="1176" w:type="dxa"/>
          </w:tcPr>
          <w:p w14:paraId="6D2E7A54"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2B17E845" w14:textId="77777777" w:rsidR="00BD3D9E" w:rsidRDefault="00BD3D9E" w:rsidP="006A3799">
            <w:pPr>
              <w:jc w:val="center"/>
              <w:rPr>
                <w:rFonts w:ascii="Calibri" w:hAnsi="Calibri"/>
                <w:sz w:val="20"/>
                <w:lang w:eastAsia="ja-JP"/>
              </w:rPr>
            </w:pPr>
            <w:r>
              <w:rPr>
                <w:rFonts w:ascii="Calibri" w:hAnsi="Calibri"/>
                <w:sz w:val="20"/>
                <w:lang w:eastAsia="ja-JP"/>
              </w:rPr>
              <w:t>+</w:t>
            </w:r>
          </w:p>
        </w:tc>
      </w:tr>
      <w:tr w:rsidR="00BD3D9E" w14:paraId="0077556F" w14:textId="77777777" w:rsidTr="006A3799">
        <w:trPr>
          <w:jc w:val="center"/>
        </w:trPr>
        <w:tc>
          <w:tcPr>
            <w:tcW w:w="2127" w:type="dxa"/>
          </w:tcPr>
          <w:p w14:paraId="760E81DE" w14:textId="77777777" w:rsidR="00BD3D9E" w:rsidRDefault="00BD3D9E" w:rsidP="006A3799">
            <w:pPr>
              <w:rPr>
                <w:rFonts w:ascii="Calibri" w:hAnsi="Calibri"/>
                <w:sz w:val="20"/>
                <w:lang w:eastAsia="ja-JP"/>
              </w:rPr>
            </w:pPr>
            <w:r>
              <w:rPr>
                <w:rFonts w:ascii="Calibri" w:hAnsi="Calibri"/>
                <w:sz w:val="20"/>
                <w:lang w:eastAsia="ja-JP"/>
              </w:rPr>
              <w:t>Global Warming</w:t>
            </w:r>
          </w:p>
        </w:tc>
        <w:tc>
          <w:tcPr>
            <w:tcW w:w="1134" w:type="dxa"/>
          </w:tcPr>
          <w:p w14:paraId="25990FDF"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7C0298FA"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0AB3AD27"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2A066E3C"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53BFCF0F" w14:textId="77777777" w:rsidR="00BD3D9E" w:rsidRDefault="00BD3D9E" w:rsidP="006A3799">
            <w:pPr>
              <w:jc w:val="center"/>
              <w:rPr>
                <w:rFonts w:ascii="Calibri" w:hAnsi="Calibri"/>
                <w:sz w:val="20"/>
                <w:lang w:eastAsia="ja-JP"/>
              </w:rPr>
            </w:pPr>
            <w:r>
              <w:rPr>
                <w:rFonts w:ascii="Calibri" w:hAnsi="Calibri"/>
                <w:sz w:val="20"/>
                <w:lang w:eastAsia="ja-JP"/>
              </w:rPr>
              <w:t>---</w:t>
            </w:r>
          </w:p>
        </w:tc>
      </w:tr>
      <w:tr w:rsidR="00BD3D9E" w14:paraId="7C1F1449" w14:textId="77777777" w:rsidTr="006A3799">
        <w:trPr>
          <w:jc w:val="center"/>
        </w:trPr>
        <w:tc>
          <w:tcPr>
            <w:tcW w:w="2127" w:type="dxa"/>
          </w:tcPr>
          <w:p w14:paraId="7D1534C6" w14:textId="77777777" w:rsidR="00BD3D9E" w:rsidRDefault="00BD3D9E" w:rsidP="006A3799">
            <w:pPr>
              <w:rPr>
                <w:rFonts w:ascii="Calibri" w:hAnsi="Calibri"/>
                <w:sz w:val="20"/>
                <w:lang w:eastAsia="ja-JP"/>
              </w:rPr>
            </w:pPr>
            <w:r>
              <w:rPr>
                <w:rFonts w:ascii="Calibri" w:hAnsi="Calibri"/>
                <w:sz w:val="20"/>
                <w:lang w:eastAsia="ja-JP"/>
              </w:rPr>
              <w:t>Other Environmental</w:t>
            </w:r>
          </w:p>
        </w:tc>
        <w:tc>
          <w:tcPr>
            <w:tcW w:w="1134" w:type="dxa"/>
          </w:tcPr>
          <w:p w14:paraId="31968BA4"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7777CD65"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4A0F8C15"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517DED26" w14:textId="77777777" w:rsidR="00BD3D9E" w:rsidRDefault="00BD3D9E" w:rsidP="006A3799">
            <w:pPr>
              <w:jc w:val="center"/>
              <w:rPr>
                <w:rFonts w:ascii="Calibri" w:hAnsi="Calibri"/>
                <w:sz w:val="20"/>
                <w:lang w:eastAsia="ja-JP"/>
              </w:rPr>
            </w:pPr>
            <w:r>
              <w:rPr>
                <w:rFonts w:ascii="Calibri" w:hAnsi="Calibri"/>
                <w:sz w:val="20"/>
                <w:lang w:eastAsia="ja-JP"/>
              </w:rPr>
              <w:t>0</w:t>
            </w:r>
          </w:p>
        </w:tc>
        <w:tc>
          <w:tcPr>
            <w:tcW w:w="1743" w:type="dxa"/>
          </w:tcPr>
          <w:p w14:paraId="66FFBDBE" w14:textId="77777777" w:rsidR="00BD3D9E" w:rsidRDefault="00BD3D9E" w:rsidP="006A3799">
            <w:pPr>
              <w:jc w:val="center"/>
              <w:rPr>
                <w:rFonts w:ascii="Calibri" w:hAnsi="Calibri"/>
                <w:sz w:val="20"/>
                <w:lang w:eastAsia="ja-JP"/>
              </w:rPr>
            </w:pPr>
            <w:r>
              <w:rPr>
                <w:rFonts w:ascii="Calibri" w:hAnsi="Calibri"/>
                <w:sz w:val="20"/>
                <w:lang w:eastAsia="ja-JP"/>
              </w:rPr>
              <w:t>0</w:t>
            </w:r>
          </w:p>
        </w:tc>
      </w:tr>
      <w:tr w:rsidR="00BD3D9E" w14:paraId="01AA3E78" w14:textId="77777777" w:rsidTr="006A3799">
        <w:trPr>
          <w:jc w:val="center"/>
        </w:trPr>
        <w:tc>
          <w:tcPr>
            <w:tcW w:w="2127" w:type="dxa"/>
          </w:tcPr>
          <w:p w14:paraId="4F5A34CC" w14:textId="77777777" w:rsidR="00BD3D9E" w:rsidRDefault="00BD3D9E" w:rsidP="006A3799">
            <w:pPr>
              <w:rPr>
                <w:rFonts w:ascii="Calibri" w:hAnsi="Calibri"/>
                <w:sz w:val="20"/>
                <w:lang w:eastAsia="ja-JP"/>
              </w:rPr>
            </w:pPr>
            <w:r>
              <w:rPr>
                <w:rFonts w:ascii="Calibri" w:hAnsi="Calibri"/>
                <w:sz w:val="20"/>
                <w:lang w:eastAsia="ja-JP"/>
              </w:rPr>
              <w:t>Cost Effectiveness (C)</w:t>
            </w:r>
          </w:p>
        </w:tc>
        <w:tc>
          <w:tcPr>
            <w:tcW w:w="1134" w:type="dxa"/>
          </w:tcPr>
          <w:p w14:paraId="52A84EC0"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1DE1F105"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7FE81B6A"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0670A01B"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29BAE32F" w14:textId="77777777" w:rsidR="00BD3D9E" w:rsidRDefault="00BD3D9E" w:rsidP="006A3799">
            <w:pPr>
              <w:jc w:val="center"/>
              <w:rPr>
                <w:rFonts w:ascii="Calibri" w:hAnsi="Calibri"/>
                <w:sz w:val="20"/>
                <w:lang w:eastAsia="ja-JP"/>
              </w:rPr>
            </w:pPr>
            <w:r>
              <w:rPr>
                <w:rFonts w:ascii="Calibri" w:hAnsi="Calibri"/>
                <w:sz w:val="20"/>
                <w:lang w:eastAsia="ja-JP"/>
              </w:rPr>
              <w:t>++</w:t>
            </w:r>
          </w:p>
        </w:tc>
      </w:tr>
      <w:tr w:rsidR="00BD3D9E" w14:paraId="3FF805A6" w14:textId="77777777" w:rsidTr="006A3799">
        <w:trPr>
          <w:jc w:val="center"/>
        </w:trPr>
        <w:tc>
          <w:tcPr>
            <w:tcW w:w="2127" w:type="dxa"/>
          </w:tcPr>
          <w:p w14:paraId="7B2B4480" w14:textId="77777777" w:rsidR="00BD3D9E" w:rsidRDefault="00BD3D9E" w:rsidP="006A3799">
            <w:pPr>
              <w:rPr>
                <w:rFonts w:ascii="Calibri" w:hAnsi="Calibri"/>
                <w:sz w:val="20"/>
                <w:lang w:eastAsia="ja-JP"/>
              </w:rPr>
            </w:pPr>
            <w:r>
              <w:rPr>
                <w:rFonts w:ascii="Calibri" w:hAnsi="Calibri"/>
                <w:sz w:val="20"/>
                <w:lang w:eastAsia="ja-JP"/>
              </w:rPr>
              <w:t>Cost Effectiveness (O)</w:t>
            </w:r>
          </w:p>
        </w:tc>
        <w:tc>
          <w:tcPr>
            <w:tcW w:w="1134" w:type="dxa"/>
          </w:tcPr>
          <w:p w14:paraId="45EFEA92"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2006C306"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3E748ACE"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17FDE192"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01C364A0" w14:textId="77777777" w:rsidR="00BD3D9E" w:rsidRDefault="00BD3D9E" w:rsidP="006A3799">
            <w:pPr>
              <w:jc w:val="center"/>
              <w:rPr>
                <w:rFonts w:ascii="Calibri" w:hAnsi="Calibri"/>
                <w:sz w:val="20"/>
                <w:lang w:eastAsia="ja-JP"/>
              </w:rPr>
            </w:pPr>
            <w:r>
              <w:rPr>
                <w:rFonts w:ascii="Calibri" w:hAnsi="Calibri"/>
                <w:sz w:val="20"/>
                <w:lang w:eastAsia="ja-JP"/>
              </w:rPr>
              <w:t>--</w:t>
            </w:r>
          </w:p>
        </w:tc>
      </w:tr>
      <w:tr w:rsidR="00BD3D9E" w14:paraId="40B78B2A" w14:textId="77777777" w:rsidTr="006A3799">
        <w:trPr>
          <w:jc w:val="center"/>
        </w:trPr>
        <w:tc>
          <w:tcPr>
            <w:tcW w:w="2127" w:type="dxa"/>
          </w:tcPr>
          <w:p w14:paraId="28FD7BA3" w14:textId="77777777" w:rsidR="00BD3D9E" w:rsidRDefault="00BD3D9E" w:rsidP="006A3799">
            <w:pPr>
              <w:rPr>
                <w:rFonts w:ascii="Calibri" w:hAnsi="Calibri"/>
                <w:sz w:val="20"/>
                <w:lang w:eastAsia="ja-JP"/>
              </w:rPr>
            </w:pPr>
            <w:r>
              <w:rPr>
                <w:rFonts w:ascii="Calibri" w:hAnsi="Calibri"/>
                <w:sz w:val="20"/>
                <w:lang w:eastAsia="ja-JP"/>
              </w:rPr>
              <w:t>Process Versatility</w:t>
            </w:r>
          </w:p>
        </w:tc>
        <w:tc>
          <w:tcPr>
            <w:tcW w:w="1134" w:type="dxa"/>
          </w:tcPr>
          <w:p w14:paraId="1F7CEDE4"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16BEF6DB"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092" w:type="dxa"/>
          </w:tcPr>
          <w:p w14:paraId="3710FDC9"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176" w:type="dxa"/>
          </w:tcPr>
          <w:p w14:paraId="21E4D3C6" w14:textId="77777777" w:rsidR="00BD3D9E" w:rsidRDefault="00BD3D9E" w:rsidP="006A3799">
            <w:pPr>
              <w:jc w:val="center"/>
              <w:rPr>
                <w:rFonts w:ascii="Calibri" w:hAnsi="Calibri"/>
                <w:sz w:val="20"/>
                <w:lang w:eastAsia="ja-JP"/>
              </w:rPr>
            </w:pPr>
            <w:r>
              <w:rPr>
                <w:rFonts w:ascii="Calibri" w:hAnsi="Calibri"/>
                <w:sz w:val="20"/>
                <w:lang w:eastAsia="ja-JP"/>
              </w:rPr>
              <w:t>++</w:t>
            </w:r>
          </w:p>
        </w:tc>
        <w:tc>
          <w:tcPr>
            <w:tcW w:w="1743" w:type="dxa"/>
          </w:tcPr>
          <w:p w14:paraId="629D1EE8" w14:textId="77777777" w:rsidR="00BD3D9E" w:rsidRDefault="00BD3D9E" w:rsidP="006A3799">
            <w:pPr>
              <w:jc w:val="center"/>
              <w:rPr>
                <w:rFonts w:ascii="Calibri" w:hAnsi="Calibri"/>
                <w:sz w:val="20"/>
                <w:lang w:eastAsia="ja-JP"/>
              </w:rPr>
            </w:pPr>
            <w:r>
              <w:rPr>
                <w:rFonts w:ascii="Calibri" w:hAnsi="Calibri"/>
                <w:sz w:val="20"/>
                <w:lang w:eastAsia="ja-JP"/>
              </w:rPr>
              <w:t>+</w:t>
            </w:r>
          </w:p>
        </w:tc>
      </w:tr>
    </w:tbl>
    <w:p w14:paraId="5C629EC7" w14:textId="77777777" w:rsidR="00BD3D9E" w:rsidRPr="00BD3D9E" w:rsidRDefault="00BD3D9E" w:rsidP="00BD3D9E">
      <w:pPr>
        <w:spacing w:line="259" w:lineRule="auto"/>
        <w:jc w:val="center"/>
        <w:rPr>
          <w:i/>
          <w:sz w:val="8"/>
          <w:szCs w:val="8"/>
        </w:rPr>
      </w:pPr>
    </w:p>
    <w:p w14:paraId="4E720DEF" w14:textId="77777777" w:rsidR="00BD3D9E" w:rsidRPr="002A505F" w:rsidRDefault="00BD3D9E" w:rsidP="00BD3D9E">
      <w:pPr>
        <w:spacing w:after="160" w:line="259" w:lineRule="auto"/>
        <w:jc w:val="center"/>
        <w:rPr>
          <w:rFonts w:asciiTheme="majorHAnsi" w:eastAsiaTheme="majorEastAsia" w:hAnsiTheme="majorHAnsi" w:cstheme="majorBidi"/>
          <w:b/>
          <w:color w:val="1F4D78" w:themeColor="accent1" w:themeShade="7F"/>
          <w:sz w:val="24"/>
          <w:szCs w:val="24"/>
        </w:rPr>
      </w:pPr>
      <w:r w:rsidRPr="002A505F">
        <w:rPr>
          <w:b/>
          <w:i/>
        </w:rPr>
        <w:t xml:space="preserve">Table 7: Indicative assessment of criteria for current ODS alternatives in the </w:t>
      </w:r>
      <w:proofErr w:type="spellStart"/>
      <w:r w:rsidRPr="002A505F">
        <w:rPr>
          <w:b/>
          <w:i/>
        </w:rPr>
        <w:t>Boardstock</w:t>
      </w:r>
      <w:proofErr w:type="spellEnd"/>
      <w:r w:rsidRPr="002A505F">
        <w:rPr>
          <w:b/>
          <w:i/>
        </w:rPr>
        <w:t xml:space="preserve"> Sector</w:t>
      </w:r>
    </w:p>
    <w:p w14:paraId="088D7B45" w14:textId="77777777" w:rsidR="00BD3D9E" w:rsidRDefault="00BD3D9E" w:rsidP="00BD3D9E">
      <w:pPr>
        <w:jc w:val="both"/>
        <w:rPr>
          <w:lang w:eastAsia="ja-JP"/>
        </w:rPr>
      </w:pPr>
      <w:r>
        <w:rPr>
          <w:lang w:eastAsia="ja-JP"/>
        </w:rPr>
        <w:t>The slight environmental concerns reflected for hydrocarbon options relate to some emerging concerns about local VOC regulations. In some regions there are exemptions for thermal insulation manufacturing plants, but this approach is not universal.</w:t>
      </w:r>
    </w:p>
    <w:p w14:paraId="36BEB9B1" w14:textId="77777777" w:rsidR="00BD3D9E" w:rsidRDefault="00BD3D9E" w:rsidP="00BD3D9E">
      <w:pPr>
        <w:jc w:val="both"/>
        <w:rPr>
          <w:lang w:eastAsia="ja-JP"/>
        </w:rPr>
      </w:pPr>
      <w:r>
        <w:rPr>
          <w:lang w:eastAsia="ja-JP"/>
        </w:rPr>
        <w:t xml:space="preserve">   </w:t>
      </w:r>
    </w:p>
    <w:p w14:paraId="4DE69AE9" w14:textId="77777777" w:rsidR="00BD3D9E" w:rsidRDefault="00BD3D9E" w:rsidP="00BD3D9E">
      <w:pPr>
        <w:pStyle w:val="Heading4"/>
      </w:pPr>
      <w:r>
        <w:t>Emerging Alternatives</w:t>
      </w:r>
    </w:p>
    <w:p w14:paraId="22D1ADCB" w14:textId="77777777" w:rsidR="00BD3D9E" w:rsidRPr="00726F05" w:rsidRDefault="00BD3D9E" w:rsidP="00BD3D9E">
      <w:pPr>
        <w:pStyle w:val="Heading4"/>
        <w:rPr>
          <w:sz w:val="8"/>
          <w:szCs w:val="8"/>
        </w:rPr>
      </w:pPr>
    </w:p>
    <w:p w14:paraId="610513B8" w14:textId="77777777" w:rsidR="00BD3D9E" w:rsidRDefault="00BD3D9E" w:rsidP="00BD3D9E">
      <w:pPr>
        <w:jc w:val="both"/>
        <w:rPr>
          <w:lang w:eastAsia="ja-JP"/>
        </w:rPr>
      </w:pPr>
      <w:r>
        <w:rPr>
          <w:lang w:eastAsia="ja-JP"/>
        </w:rPr>
        <w:t xml:space="preserve">The market pressure on saturated HFCs outlined in the previous section opens up the possibility for hydrocarbon blends with unsaturated fluorocarbons (both HCFCs and HFCs). The uncertainty of cost makes this option even less clear cut for PU </w:t>
      </w:r>
      <w:proofErr w:type="spellStart"/>
      <w:r>
        <w:rPr>
          <w:lang w:eastAsia="ja-JP"/>
        </w:rPr>
        <w:t>Boardstock</w:t>
      </w:r>
      <w:proofErr w:type="spellEnd"/>
      <w:r>
        <w:rPr>
          <w:lang w:eastAsia="ja-JP"/>
        </w:rPr>
        <w:t xml:space="preserve"> than it is for domestic appliances. Nonetheless, there continues to be sufficient interest in the option to justify its inclusion in this section as an emerging technology – albeit as a blend with hydrocarbons.     </w:t>
      </w:r>
    </w:p>
    <w:p w14:paraId="77AEB7D5" w14:textId="4C98B84D" w:rsidR="008A4575" w:rsidRDefault="008A4575" w:rsidP="00726F0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526"/>
        <w:gridCol w:w="1843"/>
        <w:gridCol w:w="3402"/>
      </w:tblGrid>
      <w:tr w:rsidR="008A4575" w14:paraId="22F59B6F" w14:textId="77777777" w:rsidTr="00461C30">
        <w:trPr>
          <w:cantSplit/>
        </w:trPr>
        <w:tc>
          <w:tcPr>
            <w:tcW w:w="9356" w:type="dxa"/>
            <w:gridSpan w:val="4"/>
            <w:shd w:val="clear" w:color="auto" w:fill="FFFFFF"/>
            <w:vAlign w:val="center"/>
          </w:tcPr>
          <w:p w14:paraId="04CF622A" w14:textId="77777777" w:rsidR="008A4575" w:rsidRDefault="008A4575" w:rsidP="00461C30">
            <w:pPr>
              <w:tabs>
                <w:tab w:val="left" w:pos="3544"/>
              </w:tabs>
              <w:spacing w:line="240" w:lineRule="atLeast"/>
              <w:ind w:right="-108"/>
              <w:rPr>
                <w:b/>
                <w:i/>
                <w:sz w:val="20"/>
                <w:lang w:eastAsia="es-ES"/>
              </w:rPr>
            </w:pPr>
            <w:r>
              <w:rPr>
                <w:b/>
                <w:i/>
                <w:sz w:val="20"/>
                <w:lang w:eastAsia="es-ES"/>
              </w:rPr>
              <w:t>HCFC REPLACEMENT OPTIONS FOR PU FOAM FOR BUILDING/ CONSTRUCTION APPLICATIONS</w:t>
            </w:r>
          </w:p>
        </w:tc>
      </w:tr>
      <w:tr w:rsidR="008A4575" w14:paraId="510DD3AF" w14:textId="77777777" w:rsidTr="00461C30">
        <w:trPr>
          <w:cantSplit/>
        </w:trPr>
        <w:tc>
          <w:tcPr>
            <w:tcW w:w="2585" w:type="dxa"/>
            <w:shd w:val="clear" w:color="auto" w:fill="FFFFFF"/>
            <w:vAlign w:val="center"/>
          </w:tcPr>
          <w:p w14:paraId="4358B150" w14:textId="77777777" w:rsidR="008A4575" w:rsidRDefault="008A4575" w:rsidP="00461C30">
            <w:pPr>
              <w:tabs>
                <w:tab w:val="left" w:pos="3544"/>
              </w:tabs>
              <w:ind w:right="-75"/>
              <w:jc w:val="center"/>
              <w:rPr>
                <w:b/>
                <w:sz w:val="18"/>
              </w:rPr>
            </w:pPr>
            <w:r>
              <w:rPr>
                <w:b/>
                <w:sz w:val="18"/>
              </w:rPr>
              <w:t>SECTOR/OPTION</w:t>
            </w:r>
          </w:p>
        </w:tc>
        <w:tc>
          <w:tcPr>
            <w:tcW w:w="1526" w:type="dxa"/>
            <w:shd w:val="clear" w:color="auto" w:fill="FFFFFF"/>
            <w:vAlign w:val="center"/>
          </w:tcPr>
          <w:p w14:paraId="3C97288C" w14:textId="77777777" w:rsidR="008A4575" w:rsidRDefault="008A4575" w:rsidP="00461C30">
            <w:pPr>
              <w:keepNext/>
              <w:widowControl w:val="0"/>
              <w:tabs>
                <w:tab w:val="left" w:pos="1080"/>
                <w:tab w:val="left" w:pos="3544"/>
              </w:tabs>
              <w:spacing w:before="120" w:after="120"/>
              <w:jc w:val="center"/>
              <w:outlineLvl w:val="3"/>
              <w:rPr>
                <w:b/>
                <w:i/>
                <w:sz w:val="18"/>
              </w:rPr>
            </w:pPr>
            <w:r>
              <w:rPr>
                <w:b/>
                <w:i/>
                <w:sz w:val="18"/>
              </w:rPr>
              <w:t>PROS</w:t>
            </w:r>
          </w:p>
        </w:tc>
        <w:tc>
          <w:tcPr>
            <w:tcW w:w="1843" w:type="dxa"/>
            <w:shd w:val="clear" w:color="auto" w:fill="FFFFFF"/>
            <w:vAlign w:val="center"/>
          </w:tcPr>
          <w:p w14:paraId="0DFB5E93" w14:textId="77777777" w:rsidR="008A4575" w:rsidRDefault="008A4575" w:rsidP="00461C30">
            <w:pPr>
              <w:keepNext/>
              <w:widowControl w:val="0"/>
              <w:tabs>
                <w:tab w:val="left" w:pos="1080"/>
                <w:tab w:val="left" w:pos="3544"/>
              </w:tabs>
              <w:spacing w:before="120" w:after="120"/>
              <w:jc w:val="center"/>
              <w:outlineLvl w:val="3"/>
              <w:rPr>
                <w:b/>
                <w:i/>
                <w:sz w:val="18"/>
              </w:rPr>
            </w:pPr>
            <w:r>
              <w:rPr>
                <w:b/>
                <w:i/>
                <w:sz w:val="18"/>
              </w:rPr>
              <w:t>CONS</w:t>
            </w:r>
          </w:p>
        </w:tc>
        <w:tc>
          <w:tcPr>
            <w:tcW w:w="3402" w:type="dxa"/>
            <w:shd w:val="clear" w:color="auto" w:fill="FFFFFF"/>
            <w:vAlign w:val="center"/>
          </w:tcPr>
          <w:p w14:paraId="7F67ED76" w14:textId="77777777" w:rsidR="008A4575" w:rsidRDefault="008A4575" w:rsidP="00461C30">
            <w:pPr>
              <w:keepNext/>
              <w:widowControl w:val="0"/>
              <w:tabs>
                <w:tab w:val="left" w:pos="1080"/>
                <w:tab w:val="left" w:pos="3544"/>
              </w:tabs>
              <w:spacing w:before="120" w:after="120"/>
              <w:jc w:val="center"/>
              <w:outlineLvl w:val="3"/>
              <w:rPr>
                <w:b/>
                <w:i/>
                <w:sz w:val="18"/>
              </w:rPr>
            </w:pPr>
            <w:r>
              <w:rPr>
                <w:b/>
                <w:i/>
                <w:sz w:val="18"/>
              </w:rPr>
              <w:t>COMMENTS</w:t>
            </w:r>
          </w:p>
        </w:tc>
      </w:tr>
      <w:tr w:rsidR="008A4575" w14:paraId="0A71C9CE" w14:textId="77777777" w:rsidTr="00461C30">
        <w:trPr>
          <w:cantSplit/>
        </w:trPr>
        <w:tc>
          <w:tcPr>
            <w:tcW w:w="9356" w:type="dxa"/>
            <w:gridSpan w:val="4"/>
            <w:shd w:val="clear" w:color="auto" w:fill="C0C0C0"/>
            <w:vAlign w:val="center"/>
          </w:tcPr>
          <w:p w14:paraId="1A7EB851" w14:textId="77777777" w:rsidR="008A4575" w:rsidRDefault="008A4575" w:rsidP="00461C30">
            <w:pPr>
              <w:rPr>
                <w:b/>
                <w:i/>
              </w:rPr>
            </w:pPr>
            <w:proofErr w:type="spellStart"/>
            <w:r>
              <w:rPr>
                <w:b/>
                <w:i/>
              </w:rPr>
              <w:t>Boardstock</w:t>
            </w:r>
            <w:proofErr w:type="spellEnd"/>
            <w:r>
              <w:rPr>
                <w:b/>
                <w:i/>
              </w:rPr>
              <w:t xml:space="preserve">  – continuously produced</w:t>
            </w:r>
          </w:p>
        </w:tc>
      </w:tr>
      <w:tr w:rsidR="008A4575" w14:paraId="1476586D" w14:textId="77777777" w:rsidTr="00461C30">
        <w:trPr>
          <w:cantSplit/>
        </w:trPr>
        <w:tc>
          <w:tcPr>
            <w:tcW w:w="2585" w:type="dxa"/>
            <w:vAlign w:val="center"/>
          </w:tcPr>
          <w:p w14:paraId="4A579729" w14:textId="77777777" w:rsidR="008A4575" w:rsidRDefault="008A4575" w:rsidP="00461C30">
            <w:pPr>
              <w:tabs>
                <w:tab w:val="left" w:pos="720"/>
                <w:tab w:val="left" w:pos="1440"/>
                <w:tab w:val="left" w:pos="3544"/>
                <w:tab w:val="left" w:pos="5760"/>
              </w:tabs>
              <w:ind w:right="-72"/>
              <w:rPr>
                <w:sz w:val="18"/>
              </w:rPr>
            </w:pPr>
            <w:r>
              <w:rPr>
                <w:sz w:val="18"/>
              </w:rPr>
              <w:t xml:space="preserve">Liquid Unsaturated HFC/HCFCs (HFOs) </w:t>
            </w:r>
          </w:p>
        </w:tc>
        <w:tc>
          <w:tcPr>
            <w:tcW w:w="1526" w:type="dxa"/>
            <w:vAlign w:val="center"/>
          </w:tcPr>
          <w:p w14:paraId="1D4EE9FF" w14:textId="77777777" w:rsidR="008A4575" w:rsidRDefault="008A4575" w:rsidP="00461C30">
            <w:pPr>
              <w:keepNext/>
              <w:widowControl w:val="0"/>
              <w:tabs>
                <w:tab w:val="left" w:pos="1080"/>
                <w:tab w:val="left" w:pos="3544"/>
              </w:tabs>
              <w:ind w:right="-576"/>
              <w:outlineLvl w:val="3"/>
              <w:rPr>
                <w:i/>
                <w:sz w:val="16"/>
              </w:rPr>
            </w:pPr>
            <w:r>
              <w:rPr>
                <w:i/>
                <w:sz w:val="18"/>
              </w:rPr>
              <w:t>Low GWP</w:t>
            </w:r>
          </w:p>
        </w:tc>
        <w:tc>
          <w:tcPr>
            <w:tcW w:w="1843" w:type="dxa"/>
            <w:vAlign w:val="center"/>
          </w:tcPr>
          <w:p w14:paraId="777396E7" w14:textId="77777777" w:rsidR="008A4575" w:rsidRDefault="008A4575" w:rsidP="00461C30">
            <w:pPr>
              <w:keepNext/>
              <w:widowControl w:val="0"/>
              <w:tabs>
                <w:tab w:val="left" w:pos="1080"/>
                <w:tab w:val="left" w:pos="3544"/>
              </w:tabs>
              <w:jc w:val="both"/>
              <w:outlineLvl w:val="3"/>
              <w:rPr>
                <w:i/>
                <w:sz w:val="18"/>
              </w:rPr>
            </w:pPr>
            <w:r>
              <w:rPr>
                <w:i/>
                <w:sz w:val="18"/>
              </w:rPr>
              <w:t>High operating costs</w:t>
            </w:r>
          </w:p>
        </w:tc>
        <w:tc>
          <w:tcPr>
            <w:tcW w:w="3402" w:type="dxa"/>
            <w:vAlign w:val="center"/>
          </w:tcPr>
          <w:p w14:paraId="28710FC2" w14:textId="6ED2E9C5" w:rsidR="008A4575" w:rsidRDefault="008A4575" w:rsidP="00461C30">
            <w:pPr>
              <w:keepNext/>
              <w:widowControl w:val="0"/>
              <w:tabs>
                <w:tab w:val="left" w:pos="1080"/>
                <w:tab w:val="left" w:pos="3544"/>
              </w:tabs>
              <w:ind w:right="-108"/>
              <w:outlineLvl w:val="3"/>
              <w:rPr>
                <w:i/>
                <w:sz w:val="18"/>
              </w:rPr>
            </w:pPr>
            <w:r>
              <w:rPr>
                <w:i/>
                <w:sz w:val="18"/>
              </w:rPr>
              <w:t>With blowing agent costs a high % of overall system costs, blends are essential</w:t>
            </w:r>
          </w:p>
        </w:tc>
      </w:tr>
      <w:tr w:rsidR="008A4575" w14:paraId="2E7418F2" w14:textId="77777777" w:rsidTr="00461C30">
        <w:trPr>
          <w:cantSplit/>
        </w:trPr>
        <w:tc>
          <w:tcPr>
            <w:tcW w:w="2585" w:type="dxa"/>
            <w:vAlign w:val="center"/>
          </w:tcPr>
          <w:p w14:paraId="1B2B0400" w14:textId="77777777" w:rsidR="008A4575" w:rsidRDefault="008A4575" w:rsidP="00461C30">
            <w:pPr>
              <w:tabs>
                <w:tab w:val="left" w:pos="720"/>
                <w:tab w:val="left" w:pos="1440"/>
                <w:tab w:val="left" w:pos="3544"/>
                <w:tab w:val="left" w:pos="5760"/>
              </w:tabs>
              <w:ind w:right="-75"/>
              <w:jc w:val="both"/>
              <w:rPr>
                <w:sz w:val="18"/>
              </w:rPr>
            </w:pPr>
          </w:p>
        </w:tc>
        <w:tc>
          <w:tcPr>
            <w:tcW w:w="1526" w:type="dxa"/>
            <w:vAlign w:val="center"/>
          </w:tcPr>
          <w:p w14:paraId="5C452287" w14:textId="77777777" w:rsidR="008A4575" w:rsidRDefault="008A4575" w:rsidP="00461C30">
            <w:pPr>
              <w:keepNext/>
              <w:widowControl w:val="0"/>
              <w:tabs>
                <w:tab w:val="left" w:pos="1080"/>
                <w:tab w:val="left" w:pos="3544"/>
              </w:tabs>
              <w:ind w:right="-576"/>
              <w:outlineLvl w:val="3"/>
              <w:rPr>
                <w:i/>
                <w:sz w:val="16"/>
              </w:rPr>
            </w:pPr>
            <w:r>
              <w:rPr>
                <w:i/>
                <w:sz w:val="18"/>
              </w:rPr>
              <w:t>Non-flammable</w:t>
            </w:r>
          </w:p>
        </w:tc>
        <w:tc>
          <w:tcPr>
            <w:tcW w:w="1843" w:type="dxa"/>
            <w:vAlign w:val="center"/>
          </w:tcPr>
          <w:p w14:paraId="634A8D87" w14:textId="77777777" w:rsidR="008A4575" w:rsidRDefault="008A4575" w:rsidP="00461C30">
            <w:pPr>
              <w:keepNext/>
              <w:widowControl w:val="0"/>
              <w:tabs>
                <w:tab w:val="left" w:pos="1080"/>
                <w:tab w:val="left" w:pos="3544"/>
              </w:tabs>
              <w:jc w:val="both"/>
              <w:outlineLvl w:val="3"/>
              <w:rPr>
                <w:i/>
                <w:sz w:val="18"/>
              </w:rPr>
            </w:pPr>
          </w:p>
        </w:tc>
        <w:tc>
          <w:tcPr>
            <w:tcW w:w="3402" w:type="dxa"/>
            <w:vAlign w:val="center"/>
          </w:tcPr>
          <w:p w14:paraId="3E2450E1" w14:textId="093FDC10" w:rsidR="008A4575" w:rsidRDefault="008A4575" w:rsidP="00461C30">
            <w:pPr>
              <w:keepNext/>
              <w:widowControl w:val="0"/>
              <w:tabs>
                <w:tab w:val="left" w:pos="1080"/>
                <w:tab w:val="left" w:pos="3544"/>
              </w:tabs>
              <w:ind w:right="-576"/>
              <w:outlineLvl w:val="3"/>
              <w:rPr>
                <w:i/>
                <w:sz w:val="18"/>
              </w:rPr>
            </w:pPr>
            <w:r>
              <w:rPr>
                <w:i/>
                <w:sz w:val="18"/>
              </w:rPr>
              <w:t xml:space="preserve">Successfully trialled, particularly with </w:t>
            </w:r>
          </w:p>
          <w:p w14:paraId="123FA39A" w14:textId="71E9FAB8" w:rsidR="008A4575" w:rsidRDefault="008A4575" w:rsidP="00461C30">
            <w:pPr>
              <w:keepNext/>
              <w:widowControl w:val="0"/>
              <w:tabs>
                <w:tab w:val="left" w:pos="1080"/>
                <w:tab w:val="left" w:pos="3544"/>
              </w:tabs>
              <w:ind w:right="-576"/>
              <w:outlineLvl w:val="3"/>
              <w:rPr>
                <w:i/>
                <w:sz w:val="18"/>
              </w:rPr>
            </w:pPr>
            <w:proofErr w:type="gramStart"/>
            <w:r>
              <w:rPr>
                <w:i/>
                <w:sz w:val="18"/>
              </w:rPr>
              <w:t>blends</w:t>
            </w:r>
            <w:proofErr w:type="gramEnd"/>
            <w:r>
              <w:rPr>
                <w:i/>
                <w:sz w:val="18"/>
              </w:rPr>
              <w:t xml:space="preserve">. Re-standardisation underway. </w:t>
            </w:r>
          </w:p>
        </w:tc>
      </w:tr>
      <w:tr w:rsidR="008A4575" w14:paraId="046653DF" w14:textId="77777777" w:rsidTr="00461C30">
        <w:trPr>
          <w:cantSplit/>
        </w:trPr>
        <w:tc>
          <w:tcPr>
            <w:tcW w:w="2585" w:type="dxa"/>
            <w:vAlign w:val="center"/>
          </w:tcPr>
          <w:p w14:paraId="36EDD920" w14:textId="77777777" w:rsidR="008A4575" w:rsidRDefault="008A4575" w:rsidP="00461C30">
            <w:pPr>
              <w:tabs>
                <w:tab w:val="left" w:pos="720"/>
                <w:tab w:val="left" w:pos="1440"/>
                <w:tab w:val="left" w:pos="3544"/>
                <w:tab w:val="left" w:pos="5760"/>
              </w:tabs>
              <w:ind w:right="-75"/>
              <w:jc w:val="both"/>
              <w:rPr>
                <w:sz w:val="18"/>
              </w:rPr>
            </w:pPr>
          </w:p>
        </w:tc>
        <w:tc>
          <w:tcPr>
            <w:tcW w:w="1526" w:type="dxa"/>
            <w:vAlign w:val="center"/>
          </w:tcPr>
          <w:p w14:paraId="5DAF78F7" w14:textId="77777777" w:rsidR="008A4575" w:rsidRDefault="008A4575" w:rsidP="00461C30">
            <w:pPr>
              <w:keepNext/>
              <w:widowControl w:val="0"/>
              <w:tabs>
                <w:tab w:val="left" w:pos="1080"/>
                <w:tab w:val="left" w:pos="3544"/>
              </w:tabs>
              <w:ind w:right="-576"/>
              <w:outlineLvl w:val="3"/>
              <w:rPr>
                <w:i/>
                <w:sz w:val="16"/>
              </w:rPr>
            </w:pPr>
          </w:p>
        </w:tc>
        <w:tc>
          <w:tcPr>
            <w:tcW w:w="1843" w:type="dxa"/>
            <w:vAlign w:val="center"/>
          </w:tcPr>
          <w:p w14:paraId="2FC07B7D" w14:textId="77777777" w:rsidR="008A4575" w:rsidRDefault="008A4575" w:rsidP="00461C30">
            <w:pPr>
              <w:keepNext/>
              <w:widowControl w:val="0"/>
              <w:tabs>
                <w:tab w:val="left" w:pos="1080"/>
                <w:tab w:val="left" w:pos="3544"/>
              </w:tabs>
              <w:jc w:val="both"/>
              <w:outlineLvl w:val="3"/>
              <w:rPr>
                <w:i/>
                <w:sz w:val="18"/>
              </w:rPr>
            </w:pPr>
          </w:p>
        </w:tc>
        <w:tc>
          <w:tcPr>
            <w:tcW w:w="3402" w:type="dxa"/>
            <w:vAlign w:val="center"/>
          </w:tcPr>
          <w:p w14:paraId="064E497F" w14:textId="77777777" w:rsidR="008A4575" w:rsidRDefault="008A4575" w:rsidP="00461C30">
            <w:pPr>
              <w:keepNext/>
              <w:widowControl w:val="0"/>
              <w:tabs>
                <w:tab w:val="left" w:pos="1080"/>
                <w:tab w:val="left" w:pos="3544"/>
              </w:tabs>
              <w:jc w:val="both"/>
              <w:outlineLvl w:val="3"/>
              <w:rPr>
                <w:i/>
                <w:sz w:val="18"/>
              </w:rPr>
            </w:pPr>
            <w:r>
              <w:rPr>
                <w:i/>
                <w:sz w:val="18"/>
              </w:rPr>
              <w:t>Low incremental capital cost</w:t>
            </w:r>
          </w:p>
        </w:tc>
      </w:tr>
    </w:tbl>
    <w:p w14:paraId="14765481" w14:textId="0BDEA6B9" w:rsidR="00BD3D9E" w:rsidRDefault="00BD3D9E" w:rsidP="00726F05"/>
    <w:p w14:paraId="1A949722" w14:textId="77777777" w:rsidR="00BD3D9E" w:rsidRPr="00B36EF2" w:rsidRDefault="00BD3D9E" w:rsidP="00BD3D9E">
      <w:pPr>
        <w:spacing w:line="259" w:lineRule="auto"/>
        <w:jc w:val="center"/>
        <w:rPr>
          <w:i/>
          <w:sz w:val="8"/>
          <w:szCs w:val="8"/>
        </w:rPr>
      </w:pPr>
    </w:p>
    <w:p w14:paraId="5176A4A7" w14:textId="77777777" w:rsidR="00BD3D9E" w:rsidRPr="002A505F" w:rsidRDefault="00B36EF2" w:rsidP="00BD3D9E">
      <w:pPr>
        <w:spacing w:after="160" w:line="259" w:lineRule="auto"/>
        <w:jc w:val="center"/>
        <w:rPr>
          <w:b/>
          <w:i/>
        </w:rPr>
      </w:pPr>
      <w:r w:rsidRPr="002A505F">
        <w:rPr>
          <w:b/>
          <w:i/>
        </w:rPr>
        <w:t>Table 8</w:t>
      </w:r>
      <w:r w:rsidR="00BD3D9E" w:rsidRPr="002A505F">
        <w:rPr>
          <w:b/>
          <w:i/>
        </w:rPr>
        <w:t xml:space="preserve">: Emerging alternatives to ODS </w:t>
      </w:r>
      <w:r w:rsidR="00C24540" w:rsidRPr="002A505F">
        <w:rPr>
          <w:b/>
          <w:i/>
        </w:rPr>
        <w:t xml:space="preserve">in the </w:t>
      </w:r>
      <w:proofErr w:type="spellStart"/>
      <w:r w:rsidR="00C24540" w:rsidRPr="002A505F">
        <w:rPr>
          <w:b/>
          <w:i/>
        </w:rPr>
        <w:t>Boardstock</w:t>
      </w:r>
      <w:proofErr w:type="spellEnd"/>
      <w:r w:rsidR="00BD3D9E" w:rsidRPr="002A505F">
        <w:rPr>
          <w:b/>
          <w:i/>
        </w:rPr>
        <w:t xml:space="preserve"> Sector</w:t>
      </w:r>
    </w:p>
    <w:p w14:paraId="4F978870" w14:textId="77777777" w:rsidR="00C24540" w:rsidRDefault="00C24540" w:rsidP="00C24540">
      <w:pPr>
        <w:jc w:val="both"/>
        <w:rPr>
          <w:lang w:eastAsia="ja-JP"/>
        </w:rPr>
      </w:pPr>
      <w:r>
        <w:rPr>
          <w:lang w:eastAsia="ja-JP"/>
        </w:rPr>
        <w:t>The overall assessment of the criteria for unsaturated HCFCs/HFCs is very similar to that shown for PU appliances.</w:t>
      </w:r>
    </w:p>
    <w:p w14:paraId="035A0E80" w14:textId="77777777" w:rsidR="00C24540" w:rsidRDefault="00C24540" w:rsidP="00C245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514"/>
        <w:gridCol w:w="2090"/>
        <w:gridCol w:w="1743"/>
      </w:tblGrid>
      <w:tr w:rsidR="00C24540" w14:paraId="0360B208" w14:textId="77777777" w:rsidTr="00C24540">
        <w:trPr>
          <w:jc w:val="center"/>
        </w:trPr>
        <w:tc>
          <w:tcPr>
            <w:tcW w:w="2067" w:type="dxa"/>
            <w:shd w:val="clear" w:color="auto" w:fill="D9D9D9" w:themeFill="background1" w:themeFillShade="D9"/>
          </w:tcPr>
          <w:p w14:paraId="30EB07DD" w14:textId="77777777" w:rsidR="00C24540" w:rsidRDefault="00C24540" w:rsidP="006A3799">
            <w:pPr>
              <w:rPr>
                <w:lang w:eastAsia="ja-JP"/>
              </w:rPr>
            </w:pPr>
          </w:p>
        </w:tc>
        <w:tc>
          <w:tcPr>
            <w:tcW w:w="1514" w:type="dxa"/>
            <w:shd w:val="clear" w:color="auto" w:fill="D9D9D9" w:themeFill="background1" w:themeFillShade="D9"/>
            <w:vAlign w:val="center"/>
          </w:tcPr>
          <w:p w14:paraId="43996813" w14:textId="77777777" w:rsidR="00C24540" w:rsidRDefault="00C24540" w:rsidP="006A3799">
            <w:pPr>
              <w:jc w:val="center"/>
              <w:rPr>
                <w:rFonts w:ascii="Calibri" w:hAnsi="Calibri"/>
                <w:b/>
                <w:i/>
                <w:sz w:val="20"/>
                <w:lang w:eastAsia="ja-JP"/>
              </w:rPr>
            </w:pPr>
            <w:r>
              <w:rPr>
                <w:rFonts w:ascii="Calibri" w:hAnsi="Calibri"/>
                <w:b/>
                <w:i/>
                <w:sz w:val="20"/>
                <w:lang w:eastAsia="ja-JP"/>
              </w:rPr>
              <w:t>HFO-1234ze(E)</w:t>
            </w:r>
          </w:p>
        </w:tc>
        <w:tc>
          <w:tcPr>
            <w:tcW w:w="2090" w:type="dxa"/>
            <w:shd w:val="clear" w:color="auto" w:fill="D9D9D9" w:themeFill="background1" w:themeFillShade="D9"/>
            <w:vAlign w:val="center"/>
          </w:tcPr>
          <w:p w14:paraId="6F3A82FB" w14:textId="77777777" w:rsidR="00C24540" w:rsidRDefault="00C24540" w:rsidP="006A3799">
            <w:pPr>
              <w:jc w:val="center"/>
              <w:rPr>
                <w:rFonts w:ascii="Calibri" w:hAnsi="Calibri"/>
                <w:b/>
                <w:i/>
                <w:sz w:val="20"/>
                <w:lang w:eastAsia="ja-JP"/>
              </w:rPr>
            </w:pPr>
            <w:r>
              <w:rPr>
                <w:rFonts w:ascii="Calibri" w:hAnsi="Calibri"/>
                <w:b/>
                <w:i/>
                <w:sz w:val="20"/>
                <w:lang w:eastAsia="ja-JP"/>
              </w:rPr>
              <w:t>HFO-1336mzzm(Z)</w:t>
            </w:r>
          </w:p>
        </w:tc>
        <w:tc>
          <w:tcPr>
            <w:tcW w:w="1743" w:type="dxa"/>
            <w:shd w:val="clear" w:color="auto" w:fill="D9D9D9" w:themeFill="background1" w:themeFillShade="D9"/>
            <w:vAlign w:val="center"/>
          </w:tcPr>
          <w:p w14:paraId="32BFCE78" w14:textId="77777777" w:rsidR="00C24540" w:rsidRDefault="00C24540" w:rsidP="006A3799">
            <w:pPr>
              <w:jc w:val="center"/>
              <w:rPr>
                <w:rFonts w:ascii="Calibri" w:hAnsi="Calibri"/>
                <w:b/>
                <w:i/>
                <w:sz w:val="20"/>
                <w:lang w:eastAsia="ja-JP"/>
              </w:rPr>
            </w:pPr>
            <w:r>
              <w:rPr>
                <w:rFonts w:ascii="Calibri" w:hAnsi="Calibri"/>
                <w:b/>
                <w:i/>
                <w:sz w:val="20"/>
                <w:lang w:eastAsia="ja-JP"/>
              </w:rPr>
              <w:t>HFO-1233zd(E)</w:t>
            </w:r>
          </w:p>
        </w:tc>
      </w:tr>
      <w:tr w:rsidR="00C24540" w14:paraId="13592E89" w14:textId="77777777" w:rsidTr="006A3799">
        <w:trPr>
          <w:trHeight w:hRule="exact" w:val="295"/>
          <w:jc w:val="center"/>
        </w:trPr>
        <w:tc>
          <w:tcPr>
            <w:tcW w:w="2067" w:type="dxa"/>
          </w:tcPr>
          <w:p w14:paraId="2F9A879E" w14:textId="77777777" w:rsidR="00C24540" w:rsidRDefault="00C24540" w:rsidP="006A3799">
            <w:pPr>
              <w:rPr>
                <w:rFonts w:ascii="Calibri" w:hAnsi="Calibri"/>
                <w:sz w:val="20"/>
                <w:lang w:eastAsia="ja-JP"/>
              </w:rPr>
            </w:pPr>
          </w:p>
        </w:tc>
        <w:tc>
          <w:tcPr>
            <w:tcW w:w="1514" w:type="dxa"/>
            <w:vAlign w:val="center"/>
          </w:tcPr>
          <w:p w14:paraId="56518067" w14:textId="77777777" w:rsidR="00C24540" w:rsidRDefault="00C24540" w:rsidP="006A3799">
            <w:pPr>
              <w:jc w:val="center"/>
              <w:rPr>
                <w:rFonts w:ascii="Calibri" w:hAnsi="Calibri"/>
                <w:i/>
                <w:sz w:val="20"/>
                <w:lang w:eastAsia="ja-JP"/>
              </w:rPr>
            </w:pPr>
            <w:r>
              <w:rPr>
                <w:rFonts w:ascii="Calibri" w:hAnsi="Calibri"/>
                <w:i/>
                <w:sz w:val="20"/>
                <w:lang w:eastAsia="ja-JP"/>
              </w:rPr>
              <w:t>Gaseous</w:t>
            </w:r>
          </w:p>
        </w:tc>
        <w:tc>
          <w:tcPr>
            <w:tcW w:w="2090" w:type="dxa"/>
            <w:vAlign w:val="center"/>
          </w:tcPr>
          <w:p w14:paraId="0FB7DE9D" w14:textId="77777777" w:rsidR="00C24540" w:rsidRDefault="00C24540" w:rsidP="006A3799">
            <w:pPr>
              <w:jc w:val="center"/>
              <w:rPr>
                <w:rFonts w:ascii="Calibri" w:hAnsi="Calibri"/>
                <w:i/>
                <w:sz w:val="20"/>
                <w:lang w:eastAsia="ja-JP"/>
              </w:rPr>
            </w:pPr>
            <w:r>
              <w:rPr>
                <w:rFonts w:ascii="Calibri" w:hAnsi="Calibri"/>
                <w:i/>
                <w:sz w:val="20"/>
                <w:lang w:eastAsia="ja-JP"/>
              </w:rPr>
              <w:t>Liquid</w:t>
            </w:r>
          </w:p>
        </w:tc>
        <w:tc>
          <w:tcPr>
            <w:tcW w:w="1743" w:type="dxa"/>
            <w:vAlign w:val="center"/>
          </w:tcPr>
          <w:p w14:paraId="1BE3F5CB" w14:textId="77777777" w:rsidR="00C24540" w:rsidRDefault="007B316E" w:rsidP="006A3799">
            <w:pPr>
              <w:jc w:val="center"/>
              <w:rPr>
                <w:rFonts w:ascii="Calibri" w:hAnsi="Calibri"/>
                <w:i/>
                <w:sz w:val="20"/>
                <w:lang w:eastAsia="ja-JP"/>
              </w:rPr>
            </w:pPr>
            <w:r>
              <w:rPr>
                <w:rFonts w:ascii="Calibri" w:hAnsi="Calibri"/>
                <w:i/>
                <w:sz w:val="20"/>
                <w:lang w:eastAsia="ja-JP"/>
              </w:rPr>
              <w:t>L</w:t>
            </w:r>
            <w:r w:rsidR="00C24540">
              <w:rPr>
                <w:rFonts w:ascii="Calibri" w:hAnsi="Calibri"/>
                <w:i/>
                <w:sz w:val="20"/>
                <w:lang w:eastAsia="ja-JP"/>
              </w:rPr>
              <w:t>iquid</w:t>
            </w:r>
          </w:p>
        </w:tc>
      </w:tr>
      <w:tr w:rsidR="00C24540" w14:paraId="1E9290E8" w14:textId="77777777" w:rsidTr="006A3799">
        <w:trPr>
          <w:jc w:val="center"/>
        </w:trPr>
        <w:tc>
          <w:tcPr>
            <w:tcW w:w="2067" w:type="dxa"/>
          </w:tcPr>
          <w:p w14:paraId="5F5B03AD" w14:textId="77777777" w:rsidR="00C24540" w:rsidRDefault="00C24540" w:rsidP="006A3799">
            <w:pPr>
              <w:rPr>
                <w:rFonts w:ascii="Calibri" w:hAnsi="Calibri"/>
                <w:sz w:val="20"/>
                <w:lang w:eastAsia="ja-JP"/>
              </w:rPr>
            </w:pPr>
            <w:r>
              <w:rPr>
                <w:rFonts w:ascii="Calibri" w:hAnsi="Calibri"/>
                <w:sz w:val="20"/>
                <w:lang w:eastAsia="ja-JP"/>
              </w:rPr>
              <w:t>Proof of performance</w:t>
            </w:r>
          </w:p>
        </w:tc>
        <w:tc>
          <w:tcPr>
            <w:tcW w:w="1514" w:type="dxa"/>
          </w:tcPr>
          <w:p w14:paraId="41A8EFBF"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09023B72"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35AF3BB6"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74356F47" w14:textId="77777777" w:rsidTr="006A3799">
        <w:trPr>
          <w:jc w:val="center"/>
        </w:trPr>
        <w:tc>
          <w:tcPr>
            <w:tcW w:w="2067" w:type="dxa"/>
          </w:tcPr>
          <w:p w14:paraId="77CDDB4F" w14:textId="77777777" w:rsidR="00C24540" w:rsidRDefault="00C24540" w:rsidP="006A3799">
            <w:pPr>
              <w:rPr>
                <w:rFonts w:ascii="Calibri" w:hAnsi="Calibri"/>
                <w:sz w:val="20"/>
                <w:lang w:eastAsia="ja-JP"/>
              </w:rPr>
            </w:pPr>
            <w:r>
              <w:rPr>
                <w:rFonts w:ascii="Calibri" w:hAnsi="Calibri"/>
                <w:sz w:val="20"/>
                <w:lang w:eastAsia="ja-JP"/>
              </w:rPr>
              <w:t>Flammability</w:t>
            </w:r>
          </w:p>
        </w:tc>
        <w:tc>
          <w:tcPr>
            <w:tcW w:w="1514" w:type="dxa"/>
          </w:tcPr>
          <w:p w14:paraId="2F636D65"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146893BC"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0AF8572F"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4F36F339" w14:textId="77777777" w:rsidTr="006A3799">
        <w:trPr>
          <w:jc w:val="center"/>
        </w:trPr>
        <w:tc>
          <w:tcPr>
            <w:tcW w:w="2067" w:type="dxa"/>
          </w:tcPr>
          <w:p w14:paraId="40FAE264" w14:textId="77777777" w:rsidR="00C24540" w:rsidRDefault="00C24540" w:rsidP="006A3799">
            <w:pPr>
              <w:rPr>
                <w:rFonts w:ascii="Calibri" w:hAnsi="Calibri"/>
                <w:sz w:val="20"/>
                <w:lang w:eastAsia="ja-JP"/>
              </w:rPr>
            </w:pPr>
            <w:r>
              <w:rPr>
                <w:rFonts w:ascii="Calibri" w:hAnsi="Calibri"/>
                <w:sz w:val="20"/>
                <w:lang w:eastAsia="ja-JP"/>
              </w:rPr>
              <w:t>Other Health &amp; Safety</w:t>
            </w:r>
          </w:p>
        </w:tc>
        <w:tc>
          <w:tcPr>
            <w:tcW w:w="1514" w:type="dxa"/>
          </w:tcPr>
          <w:p w14:paraId="73CBE9DF"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70D7FE27"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293E1EF9"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47F873AA" w14:textId="77777777" w:rsidTr="006A3799">
        <w:trPr>
          <w:jc w:val="center"/>
        </w:trPr>
        <w:tc>
          <w:tcPr>
            <w:tcW w:w="2067" w:type="dxa"/>
          </w:tcPr>
          <w:p w14:paraId="0A1DB777" w14:textId="77777777" w:rsidR="00C24540" w:rsidRDefault="00C24540" w:rsidP="006A3799">
            <w:pPr>
              <w:rPr>
                <w:rFonts w:ascii="Calibri" w:hAnsi="Calibri"/>
                <w:sz w:val="20"/>
                <w:lang w:eastAsia="ja-JP"/>
              </w:rPr>
            </w:pPr>
            <w:r>
              <w:rPr>
                <w:rFonts w:ascii="Calibri" w:hAnsi="Calibri"/>
                <w:sz w:val="20"/>
                <w:lang w:eastAsia="ja-JP"/>
              </w:rPr>
              <w:t>Global Warming</w:t>
            </w:r>
          </w:p>
        </w:tc>
        <w:tc>
          <w:tcPr>
            <w:tcW w:w="1514" w:type="dxa"/>
          </w:tcPr>
          <w:p w14:paraId="3113F6F8"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65F65E69"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3790C593"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35FE37A0" w14:textId="77777777" w:rsidTr="006A3799">
        <w:trPr>
          <w:jc w:val="center"/>
        </w:trPr>
        <w:tc>
          <w:tcPr>
            <w:tcW w:w="2067" w:type="dxa"/>
          </w:tcPr>
          <w:p w14:paraId="217A23BE" w14:textId="77777777" w:rsidR="00C24540" w:rsidRDefault="00C24540" w:rsidP="006A3799">
            <w:pPr>
              <w:rPr>
                <w:rFonts w:ascii="Calibri" w:hAnsi="Calibri"/>
                <w:sz w:val="20"/>
                <w:lang w:eastAsia="ja-JP"/>
              </w:rPr>
            </w:pPr>
            <w:r>
              <w:rPr>
                <w:rFonts w:ascii="Calibri" w:hAnsi="Calibri"/>
                <w:sz w:val="20"/>
                <w:lang w:eastAsia="ja-JP"/>
              </w:rPr>
              <w:t>Other Environmental</w:t>
            </w:r>
          </w:p>
        </w:tc>
        <w:tc>
          <w:tcPr>
            <w:tcW w:w="1514" w:type="dxa"/>
          </w:tcPr>
          <w:p w14:paraId="65B9E179"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270BDAAA"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0CD08154"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33E10546" w14:textId="77777777" w:rsidTr="006A3799">
        <w:trPr>
          <w:jc w:val="center"/>
        </w:trPr>
        <w:tc>
          <w:tcPr>
            <w:tcW w:w="2067" w:type="dxa"/>
          </w:tcPr>
          <w:p w14:paraId="74A8D33B" w14:textId="77777777" w:rsidR="00C24540" w:rsidRDefault="00C24540" w:rsidP="006A3799">
            <w:pPr>
              <w:rPr>
                <w:rFonts w:ascii="Calibri" w:hAnsi="Calibri"/>
                <w:sz w:val="20"/>
                <w:lang w:eastAsia="ja-JP"/>
              </w:rPr>
            </w:pPr>
            <w:r>
              <w:rPr>
                <w:rFonts w:ascii="Calibri" w:hAnsi="Calibri"/>
                <w:sz w:val="20"/>
                <w:lang w:eastAsia="ja-JP"/>
              </w:rPr>
              <w:t>Cost Effectiveness (C)</w:t>
            </w:r>
          </w:p>
        </w:tc>
        <w:tc>
          <w:tcPr>
            <w:tcW w:w="1514" w:type="dxa"/>
          </w:tcPr>
          <w:p w14:paraId="0BBC8409"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5A21FBA6"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64BFF9DA"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434B4ACE" w14:textId="77777777" w:rsidTr="006A3799">
        <w:trPr>
          <w:jc w:val="center"/>
        </w:trPr>
        <w:tc>
          <w:tcPr>
            <w:tcW w:w="2067" w:type="dxa"/>
          </w:tcPr>
          <w:p w14:paraId="5A94298B" w14:textId="77777777" w:rsidR="00C24540" w:rsidRDefault="00C24540" w:rsidP="006A3799">
            <w:pPr>
              <w:rPr>
                <w:rFonts w:ascii="Calibri" w:hAnsi="Calibri"/>
                <w:sz w:val="20"/>
                <w:lang w:eastAsia="ja-JP"/>
              </w:rPr>
            </w:pPr>
            <w:r>
              <w:rPr>
                <w:rFonts w:ascii="Calibri" w:hAnsi="Calibri"/>
                <w:sz w:val="20"/>
                <w:lang w:eastAsia="ja-JP"/>
              </w:rPr>
              <w:t>Cost Effectiveness (O)</w:t>
            </w:r>
          </w:p>
        </w:tc>
        <w:tc>
          <w:tcPr>
            <w:tcW w:w="1514" w:type="dxa"/>
          </w:tcPr>
          <w:p w14:paraId="010A8E8B"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0D0B2432"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7F784064" w14:textId="77777777" w:rsidR="00C24540" w:rsidRDefault="00C24540" w:rsidP="006A3799">
            <w:pPr>
              <w:jc w:val="center"/>
              <w:rPr>
                <w:rFonts w:ascii="Calibri" w:hAnsi="Calibri"/>
                <w:sz w:val="20"/>
                <w:lang w:eastAsia="ja-JP"/>
              </w:rPr>
            </w:pPr>
            <w:r>
              <w:rPr>
                <w:rFonts w:ascii="Calibri" w:hAnsi="Calibri"/>
                <w:sz w:val="20"/>
                <w:lang w:eastAsia="ja-JP"/>
              </w:rPr>
              <w:t>--</w:t>
            </w:r>
          </w:p>
        </w:tc>
      </w:tr>
      <w:tr w:rsidR="00C24540" w14:paraId="7A501445" w14:textId="77777777" w:rsidTr="006A3799">
        <w:trPr>
          <w:jc w:val="center"/>
        </w:trPr>
        <w:tc>
          <w:tcPr>
            <w:tcW w:w="2067" w:type="dxa"/>
          </w:tcPr>
          <w:p w14:paraId="3A81967B" w14:textId="77777777" w:rsidR="00C24540" w:rsidRDefault="00C24540" w:rsidP="006A3799">
            <w:pPr>
              <w:rPr>
                <w:rFonts w:ascii="Calibri" w:hAnsi="Calibri"/>
                <w:sz w:val="20"/>
                <w:lang w:eastAsia="ja-JP"/>
              </w:rPr>
            </w:pPr>
            <w:r>
              <w:rPr>
                <w:rFonts w:ascii="Calibri" w:hAnsi="Calibri"/>
                <w:sz w:val="20"/>
                <w:lang w:eastAsia="ja-JP"/>
              </w:rPr>
              <w:t>Process Versatility</w:t>
            </w:r>
          </w:p>
        </w:tc>
        <w:tc>
          <w:tcPr>
            <w:tcW w:w="1514" w:type="dxa"/>
          </w:tcPr>
          <w:p w14:paraId="1876B7C4"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2090" w:type="dxa"/>
          </w:tcPr>
          <w:p w14:paraId="1D748DD5" w14:textId="77777777" w:rsidR="00C24540" w:rsidRDefault="00C24540" w:rsidP="006A3799">
            <w:pPr>
              <w:jc w:val="center"/>
              <w:rPr>
                <w:rFonts w:ascii="Calibri" w:hAnsi="Calibri"/>
                <w:sz w:val="20"/>
                <w:lang w:eastAsia="ja-JP"/>
              </w:rPr>
            </w:pPr>
            <w:r>
              <w:rPr>
                <w:rFonts w:ascii="Calibri" w:hAnsi="Calibri"/>
                <w:sz w:val="20"/>
                <w:lang w:eastAsia="ja-JP"/>
              </w:rPr>
              <w:t>+</w:t>
            </w:r>
          </w:p>
        </w:tc>
        <w:tc>
          <w:tcPr>
            <w:tcW w:w="1743" w:type="dxa"/>
          </w:tcPr>
          <w:p w14:paraId="1B71DDA0" w14:textId="77777777" w:rsidR="00C24540" w:rsidRDefault="00C24540" w:rsidP="006A3799">
            <w:pPr>
              <w:jc w:val="center"/>
              <w:rPr>
                <w:rFonts w:ascii="Calibri" w:hAnsi="Calibri"/>
                <w:sz w:val="20"/>
                <w:lang w:eastAsia="ja-JP"/>
              </w:rPr>
            </w:pPr>
            <w:r>
              <w:rPr>
                <w:rFonts w:ascii="Calibri" w:hAnsi="Calibri"/>
                <w:sz w:val="20"/>
                <w:lang w:eastAsia="ja-JP"/>
              </w:rPr>
              <w:t>+</w:t>
            </w:r>
          </w:p>
        </w:tc>
      </w:tr>
    </w:tbl>
    <w:p w14:paraId="6D269067" w14:textId="77777777" w:rsidR="00C24540" w:rsidRDefault="00C24540" w:rsidP="00C24540"/>
    <w:p w14:paraId="7B7EAAA3" w14:textId="77777777" w:rsidR="00C24540" w:rsidRPr="001769CA" w:rsidRDefault="00C24540" w:rsidP="00C24540">
      <w:pPr>
        <w:spacing w:after="160" w:line="259" w:lineRule="auto"/>
        <w:jc w:val="center"/>
        <w:rPr>
          <w:b/>
          <w:i/>
        </w:rPr>
      </w:pPr>
      <w:r w:rsidRPr="001769CA">
        <w:rPr>
          <w:b/>
          <w:i/>
        </w:rPr>
        <w:t xml:space="preserve">Table 9: Indicative assessment of criteria for emerging ODS alternatives in the </w:t>
      </w:r>
      <w:proofErr w:type="spellStart"/>
      <w:r w:rsidRPr="001769CA">
        <w:rPr>
          <w:b/>
          <w:i/>
        </w:rPr>
        <w:t>Boardstock</w:t>
      </w:r>
      <w:proofErr w:type="spellEnd"/>
      <w:r w:rsidRPr="001769CA">
        <w:rPr>
          <w:b/>
          <w:i/>
        </w:rPr>
        <w:t xml:space="preserve"> Sector</w:t>
      </w:r>
    </w:p>
    <w:p w14:paraId="45652CB8" w14:textId="77777777" w:rsidR="00BD3D9E" w:rsidRDefault="00C24540" w:rsidP="00C24540">
      <w:pPr>
        <w:jc w:val="both"/>
      </w:pPr>
      <w:r>
        <w:rPr>
          <w:lang w:eastAsia="ja-JP"/>
        </w:rPr>
        <w:t xml:space="preserve">The only potential difference is that the use of a gaseous option being used in the PU Appliances sector is less likely than for PU </w:t>
      </w:r>
      <w:proofErr w:type="spellStart"/>
      <w:r>
        <w:rPr>
          <w:lang w:eastAsia="ja-JP"/>
        </w:rPr>
        <w:t>Boardstock</w:t>
      </w:r>
      <w:proofErr w:type="spellEnd"/>
      <w:r>
        <w:rPr>
          <w:lang w:eastAsia="ja-JP"/>
        </w:rPr>
        <w:t>. Nevertheless, it has been retained for completeness.</w:t>
      </w:r>
    </w:p>
    <w:p w14:paraId="55717246" w14:textId="77777777" w:rsidR="00C24540" w:rsidRDefault="00C24540" w:rsidP="00726F05"/>
    <w:p w14:paraId="7C39C2B0" w14:textId="77777777" w:rsidR="00C24540" w:rsidRDefault="00C24540" w:rsidP="00C24540">
      <w:pPr>
        <w:jc w:val="both"/>
        <w:rPr>
          <w:lang w:eastAsia="ja-JP"/>
        </w:rPr>
      </w:pPr>
      <w:r>
        <w:rPr>
          <w:lang w:eastAsia="ja-JP"/>
        </w:rPr>
        <w:t xml:space="preserve">In practice, the quantity of PU </w:t>
      </w:r>
      <w:proofErr w:type="spellStart"/>
      <w:r>
        <w:rPr>
          <w:lang w:eastAsia="ja-JP"/>
        </w:rPr>
        <w:t>Boardstock</w:t>
      </w:r>
      <w:proofErr w:type="spellEnd"/>
      <w:r>
        <w:rPr>
          <w:lang w:eastAsia="ja-JP"/>
        </w:rPr>
        <w:t xml:space="preserve"> foam still using HCFCs is very limited and this fact alone testifies to the lack of barriers to appropriate transition. As noted earlier, much of the new capacity in the sector has been installed since the ozone issue emerged and the necessary requirements for hydrocarbon have typically been designed in.</w:t>
      </w:r>
    </w:p>
    <w:p w14:paraId="4EEEE348" w14:textId="77777777" w:rsidR="00C24540" w:rsidRDefault="00C24540" w:rsidP="00C24540">
      <w:pPr>
        <w:rPr>
          <w:lang w:eastAsia="ja-JP"/>
        </w:rPr>
      </w:pPr>
    </w:p>
    <w:p w14:paraId="3D92190C" w14:textId="77777777" w:rsidR="00C24540" w:rsidRDefault="00C24540" w:rsidP="00C24540">
      <w:pPr>
        <w:jc w:val="both"/>
        <w:rPr>
          <w:lang w:eastAsia="ja-JP"/>
        </w:rPr>
      </w:pPr>
      <w:r>
        <w:rPr>
          <w:lang w:eastAsia="ja-JP"/>
        </w:rPr>
        <w:t>The only likely transition pressure now emerging relates to the on-going goal of improved thermal efficiency. The major barrier to the adoption of blends of saturated HFCs with hydrocarbons is market pressure, while the potential barrier to the wider use of unsaturated HCFCs/HFCs is one of cost and, in the short term, availability.</w:t>
      </w:r>
    </w:p>
    <w:p w14:paraId="28D7BDAC" w14:textId="77777777" w:rsidR="00C24540" w:rsidRPr="00024AE5" w:rsidRDefault="00C24540" w:rsidP="00726F05">
      <w:pPr>
        <w:rPr>
          <w:sz w:val="16"/>
          <w:szCs w:val="16"/>
        </w:rPr>
      </w:pPr>
    </w:p>
    <w:p w14:paraId="779440EE" w14:textId="77777777" w:rsidR="00050445" w:rsidRPr="00164DBE" w:rsidRDefault="00050445" w:rsidP="00050445">
      <w:pPr>
        <w:pStyle w:val="Heading4"/>
      </w:pPr>
      <w:r>
        <w:t>Non-Article 5 Parties</w:t>
      </w:r>
    </w:p>
    <w:p w14:paraId="0D8BD550" w14:textId="77777777" w:rsidR="00050445" w:rsidRPr="00050445" w:rsidRDefault="00050445" w:rsidP="00050445">
      <w:pPr>
        <w:jc w:val="both"/>
        <w:rPr>
          <w:sz w:val="8"/>
          <w:szCs w:val="8"/>
          <w:lang w:eastAsia="ja-JP"/>
        </w:rPr>
      </w:pPr>
    </w:p>
    <w:p w14:paraId="48831270" w14:textId="77777777" w:rsidR="00050445" w:rsidRDefault="00050445" w:rsidP="00050445">
      <w:pPr>
        <w:jc w:val="both"/>
        <w:rPr>
          <w:lang w:eastAsia="ja-JP"/>
        </w:rPr>
      </w:pPr>
      <w:r>
        <w:rPr>
          <w:lang w:eastAsia="ja-JP"/>
        </w:rPr>
        <w:t xml:space="preserve">In virtually all non-Article 5 regions, hydrocarbons (typically a mixture of </w:t>
      </w:r>
      <w:proofErr w:type="spellStart"/>
      <w:r>
        <w:rPr>
          <w:lang w:eastAsia="ja-JP"/>
        </w:rPr>
        <w:t>cyclo</w:t>
      </w:r>
      <w:proofErr w:type="spellEnd"/>
      <w:r>
        <w:rPr>
          <w:lang w:eastAsia="ja-JP"/>
        </w:rPr>
        <w:t xml:space="preserve">-pentane and </w:t>
      </w:r>
      <w:proofErr w:type="spellStart"/>
      <w:r>
        <w:rPr>
          <w:lang w:eastAsia="ja-JP"/>
        </w:rPr>
        <w:t>iso</w:t>
      </w:r>
      <w:proofErr w:type="spellEnd"/>
      <w:r>
        <w:rPr>
          <w:lang w:eastAsia="ja-JP"/>
        </w:rPr>
        <w:t xml:space="preserve">-pentane) have been the dominant choice of blowing agent in the replacement of ozone depleting substances. Accordingly, this is reflected in the Business-As-Usual scenario used for this report. There may be some future interest in the evaluation of unsaturated HCFCs/HFCs, but the cost is likely to be prohibitive in this cost sensitive application unless space saving is at a premium.     </w:t>
      </w:r>
    </w:p>
    <w:p w14:paraId="67672B40" w14:textId="77777777" w:rsidR="00050445" w:rsidRPr="00024AE5" w:rsidRDefault="00050445" w:rsidP="00024AE5">
      <w:pPr>
        <w:jc w:val="both"/>
        <w:rPr>
          <w:sz w:val="16"/>
          <w:szCs w:val="16"/>
          <w:lang w:eastAsia="ja-JP"/>
        </w:rPr>
      </w:pPr>
    </w:p>
    <w:p w14:paraId="7BF32AE9" w14:textId="77777777" w:rsidR="00050445" w:rsidRPr="00164DBE" w:rsidRDefault="00050445" w:rsidP="00050445">
      <w:pPr>
        <w:pStyle w:val="Heading4"/>
      </w:pPr>
      <w:r>
        <w:t>Article 5 Parties</w:t>
      </w:r>
    </w:p>
    <w:p w14:paraId="3AC225BB" w14:textId="77777777" w:rsidR="00050445" w:rsidRPr="00050445" w:rsidRDefault="00050445" w:rsidP="00050445">
      <w:pPr>
        <w:rPr>
          <w:sz w:val="8"/>
          <w:szCs w:val="8"/>
        </w:rPr>
      </w:pPr>
    </w:p>
    <w:p w14:paraId="452E3ECA" w14:textId="77777777" w:rsidR="00050445" w:rsidRDefault="00050445" w:rsidP="00050445">
      <w:pPr>
        <w:jc w:val="both"/>
      </w:pPr>
      <w:r>
        <w:t xml:space="preserve">There is no significant manufacture of </w:t>
      </w:r>
      <w:proofErr w:type="spellStart"/>
      <w:r>
        <w:t>boardstock</w:t>
      </w:r>
      <w:proofErr w:type="spellEnd"/>
      <w:r>
        <w:t xml:space="preserve"> in Article 5 regions with the possible exception of China. However, where new capacity is installed, it is highly likely that the blowing agent of choice will once again be hydrocarbons. </w:t>
      </w:r>
    </w:p>
    <w:p w14:paraId="188AE094" w14:textId="77777777" w:rsidR="00050445" w:rsidRDefault="00050445" w:rsidP="00050445">
      <w:pPr>
        <w:pStyle w:val="Heading3"/>
      </w:pPr>
      <w:bookmarkStart w:id="31" w:name="_Toc415441532"/>
      <w:r>
        <w:lastRenderedPageBreak/>
        <w:t>Polyurethane Panels</w:t>
      </w:r>
      <w:bookmarkEnd w:id="31"/>
      <w:r>
        <w:t xml:space="preserve"> </w:t>
      </w:r>
    </w:p>
    <w:p w14:paraId="22D64ECE" w14:textId="77777777" w:rsidR="00050445" w:rsidRPr="00050445" w:rsidRDefault="00050445" w:rsidP="00050445">
      <w:pPr>
        <w:rPr>
          <w:sz w:val="12"/>
          <w:szCs w:val="12"/>
        </w:rPr>
      </w:pPr>
    </w:p>
    <w:p w14:paraId="129A01CA" w14:textId="77777777" w:rsidR="006A3799" w:rsidRDefault="006A3799" w:rsidP="006A3799">
      <w:pPr>
        <w:jc w:val="both"/>
      </w:pPr>
      <w:r>
        <w:t xml:space="preserve">In the context of this analysis, the primary panels being referred to are steel-faced and either continuously or discontinuously produced. The market for such panels has developed very differently in various regions of the world, with the early adoption being mostly in Europe. However, the prefabricated approach to building that these panels allow is becoming increasingly widespread globally and manufacturing capacity has continued to grow to meet the need. </w:t>
      </w:r>
    </w:p>
    <w:p w14:paraId="39436AC4" w14:textId="77777777" w:rsidR="006A3799" w:rsidRDefault="006A3799" w:rsidP="006A3799"/>
    <w:p w14:paraId="6A63A682" w14:textId="77777777" w:rsidR="006A3799" w:rsidRPr="006A3799" w:rsidRDefault="006A3799" w:rsidP="006A3799">
      <w:pPr>
        <w:pStyle w:val="Heading4"/>
      </w:pPr>
      <w:r>
        <w:t xml:space="preserve">Commercially available alternatives to ODS </w:t>
      </w:r>
    </w:p>
    <w:p w14:paraId="0BF7CA1B" w14:textId="77777777" w:rsidR="006A3799" w:rsidRPr="007B316E" w:rsidRDefault="006A3799" w:rsidP="006A3799">
      <w:pPr>
        <w:rPr>
          <w:sz w:val="8"/>
          <w:szCs w:val="8"/>
        </w:rPr>
      </w:pPr>
    </w:p>
    <w:p w14:paraId="3C113178" w14:textId="77777777" w:rsidR="007B316E" w:rsidRDefault="007B316E" w:rsidP="006A3799">
      <w:r>
        <w:t xml:space="preserve">Table 10 provides an overview of the commercially available alternatives in both the continuous and discontinuous panel sectors: </w:t>
      </w:r>
    </w:p>
    <w:p w14:paraId="7AA3A341" w14:textId="77777777" w:rsidR="006A3799" w:rsidRPr="006A3799" w:rsidRDefault="006A3799" w:rsidP="006A3799">
      <w:pPr>
        <w:rPr>
          <w:sz w:val="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6A3799" w14:paraId="081295E7" w14:textId="77777777" w:rsidTr="007B316E">
        <w:trPr>
          <w:cantSplit/>
        </w:trPr>
        <w:tc>
          <w:tcPr>
            <w:tcW w:w="9214" w:type="dxa"/>
            <w:gridSpan w:val="4"/>
            <w:shd w:val="clear" w:color="auto" w:fill="FFFFFF"/>
            <w:vAlign w:val="center"/>
          </w:tcPr>
          <w:p w14:paraId="72BAEC92" w14:textId="77777777" w:rsidR="006A3799" w:rsidRDefault="006A3799" w:rsidP="006A3799">
            <w:pPr>
              <w:keepNext/>
              <w:tabs>
                <w:tab w:val="left" w:pos="3544"/>
              </w:tabs>
              <w:spacing w:line="240" w:lineRule="atLeast"/>
              <w:ind w:right="-108"/>
              <w:jc w:val="center"/>
              <w:rPr>
                <w:b/>
                <w:i/>
                <w:sz w:val="20"/>
                <w:lang w:eastAsia="es-ES"/>
              </w:rPr>
            </w:pPr>
            <w:r>
              <w:rPr>
                <w:b/>
                <w:i/>
                <w:sz w:val="20"/>
                <w:lang w:eastAsia="es-ES"/>
              </w:rPr>
              <w:t>HCFC REPLACEMENT OPTIONS FOR PU FOAM FOR BUILDING/ CONSTRUCTION APPLICATIONS</w:t>
            </w:r>
          </w:p>
        </w:tc>
      </w:tr>
      <w:tr w:rsidR="006A3799" w14:paraId="6FB049F0" w14:textId="77777777" w:rsidTr="007B316E">
        <w:trPr>
          <w:cantSplit/>
        </w:trPr>
        <w:tc>
          <w:tcPr>
            <w:tcW w:w="2585" w:type="dxa"/>
            <w:shd w:val="clear" w:color="auto" w:fill="FFFFFF"/>
            <w:vAlign w:val="center"/>
          </w:tcPr>
          <w:p w14:paraId="4C0D71F2" w14:textId="77777777" w:rsidR="006A3799" w:rsidRDefault="006A3799" w:rsidP="006A3799">
            <w:pPr>
              <w:tabs>
                <w:tab w:val="left" w:pos="3544"/>
              </w:tabs>
              <w:ind w:right="-75"/>
              <w:jc w:val="center"/>
              <w:rPr>
                <w:b/>
                <w:sz w:val="18"/>
              </w:rPr>
            </w:pPr>
            <w:r>
              <w:rPr>
                <w:b/>
                <w:sz w:val="18"/>
              </w:rPr>
              <w:t>SECTOR/OPTION</w:t>
            </w:r>
          </w:p>
        </w:tc>
        <w:tc>
          <w:tcPr>
            <w:tcW w:w="1979" w:type="dxa"/>
            <w:shd w:val="clear" w:color="auto" w:fill="FFFFFF"/>
            <w:vAlign w:val="center"/>
          </w:tcPr>
          <w:p w14:paraId="3AD91F24" w14:textId="77777777" w:rsidR="006A3799" w:rsidRDefault="006A3799" w:rsidP="006A3799">
            <w:pPr>
              <w:keepNext/>
              <w:widowControl w:val="0"/>
              <w:tabs>
                <w:tab w:val="left" w:pos="1080"/>
                <w:tab w:val="left" w:pos="3544"/>
              </w:tabs>
              <w:spacing w:before="120" w:after="120"/>
              <w:jc w:val="center"/>
              <w:outlineLvl w:val="3"/>
              <w:rPr>
                <w:b/>
                <w:i/>
                <w:sz w:val="18"/>
              </w:rPr>
            </w:pPr>
            <w:r>
              <w:rPr>
                <w:b/>
                <w:i/>
                <w:sz w:val="18"/>
              </w:rPr>
              <w:t>PROS</w:t>
            </w:r>
          </w:p>
        </w:tc>
        <w:tc>
          <w:tcPr>
            <w:tcW w:w="2099" w:type="dxa"/>
            <w:shd w:val="clear" w:color="auto" w:fill="FFFFFF"/>
            <w:vAlign w:val="center"/>
          </w:tcPr>
          <w:p w14:paraId="368C73D5" w14:textId="77777777" w:rsidR="006A3799" w:rsidRDefault="006A3799" w:rsidP="006A3799">
            <w:pPr>
              <w:keepNext/>
              <w:widowControl w:val="0"/>
              <w:tabs>
                <w:tab w:val="left" w:pos="1080"/>
                <w:tab w:val="left" w:pos="3544"/>
              </w:tabs>
              <w:spacing w:before="120" w:after="120"/>
              <w:jc w:val="center"/>
              <w:outlineLvl w:val="3"/>
              <w:rPr>
                <w:b/>
                <w:i/>
                <w:sz w:val="18"/>
              </w:rPr>
            </w:pPr>
            <w:r>
              <w:rPr>
                <w:b/>
                <w:i/>
                <w:sz w:val="18"/>
              </w:rPr>
              <w:t>CONS</w:t>
            </w:r>
          </w:p>
        </w:tc>
        <w:tc>
          <w:tcPr>
            <w:tcW w:w="2551" w:type="dxa"/>
            <w:shd w:val="clear" w:color="auto" w:fill="FFFFFF"/>
            <w:vAlign w:val="center"/>
          </w:tcPr>
          <w:p w14:paraId="45447E5B" w14:textId="77777777" w:rsidR="006A3799" w:rsidRDefault="006A3799" w:rsidP="006A3799">
            <w:pPr>
              <w:keepNext/>
              <w:widowControl w:val="0"/>
              <w:tabs>
                <w:tab w:val="left" w:pos="1080"/>
                <w:tab w:val="left" w:pos="3544"/>
              </w:tabs>
              <w:spacing w:before="120" w:after="120"/>
              <w:jc w:val="center"/>
              <w:outlineLvl w:val="3"/>
              <w:rPr>
                <w:b/>
                <w:i/>
                <w:sz w:val="18"/>
              </w:rPr>
            </w:pPr>
            <w:r>
              <w:rPr>
                <w:b/>
                <w:i/>
                <w:sz w:val="18"/>
              </w:rPr>
              <w:t>COMMENTS</w:t>
            </w:r>
          </w:p>
        </w:tc>
      </w:tr>
      <w:tr w:rsidR="006A3799" w14:paraId="0E11C32F" w14:textId="77777777" w:rsidTr="007B316E">
        <w:trPr>
          <w:cantSplit/>
        </w:trPr>
        <w:tc>
          <w:tcPr>
            <w:tcW w:w="9214" w:type="dxa"/>
            <w:gridSpan w:val="4"/>
            <w:shd w:val="clear" w:color="auto" w:fill="C0C0C0"/>
            <w:vAlign w:val="center"/>
          </w:tcPr>
          <w:p w14:paraId="59117712" w14:textId="77777777" w:rsidR="006A3799" w:rsidRDefault="006A3799" w:rsidP="006A3799">
            <w:pPr>
              <w:rPr>
                <w:b/>
                <w:i/>
              </w:rPr>
            </w:pPr>
            <w:r>
              <w:rPr>
                <w:b/>
                <w:i/>
              </w:rPr>
              <w:t>Steel-faced panels – continuously produced</w:t>
            </w:r>
          </w:p>
        </w:tc>
      </w:tr>
      <w:tr w:rsidR="006A3799" w14:paraId="40CC230C" w14:textId="77777777" w:rsidTr="007B316E">
        <w:trPr>
          <w:cantSplit/>
        </w:trPr>
        <w:tc>
          <w:tcPr>
            <w:tcW w:w="2585" w:type="dxa"/>
            <w:vMerge w:val="restart"/>
            <w:vAlign w:val="center"/>
          </w:tcPr>
          <w:p w14:paraId="5A79AD27" w14:textId="77777777" w:rsidR="006A3799" w:rsidRDefault="006A3799" w:rsidP="006A3799">
            <w:pPr>
              <w:tabs>
                <w:tab w:val="left" w:pos="720"/>
                <w:tab w:val="left" w:pos="1440"/>
                <w:tab w:val="left" w:pos="3544"/>
                <w:tab w:val="left" w:pos="5760"/>
              </w:tabs>
              <w:ind w:right="-75"/>
              <w:jc w:val="both"/>
              <w:rPr>
                <w:sz w:val="18"/>
              </w:rPr>
            </w:pPr>
            <w:proofErr w:type="spellStart"/>
            <w:r>
              <w:rPr>
                <w:sz w:val="18"/>
              </w:rPr>
              <w:t>Cyclopentane</w:t>
            </w:r>
            <w:proofErr w:type="spellEnd"/>
            <w:r>
              <w:rPr>
                <w:sz w:val="18"/>
              </w:rPr>
              <w:t xml:space="preserve"> &amp; n-Pentane</w:t>
            </w:r>
          </w:p>
        </w:tc>
        <w:tc>
          <w:tcPr>
            <w:tcW w:w="1979" w:type="dxa"/>
            <w:vAlign w:val="center"/>
          </w:tcPr>
          <w:p w14:paraId="08F48B29" w14:textId="77777777" w:rsidR="006A3799" w:rsidRDefault="006A3799" w:rsidP="006A3799">
            <w:pPr>
              <w:keepNext/>
              <w:widowControl w:val="0"/>
              <w:tabs>
                <w:tab w:val="left" w:pos="1080"/>
                <w:tab w:val="left" w:pos="3544"/>
              </w:tabs>
              <w:jc w:val="both"/>
              <w:outlineLvl w:val="3"/>
              <w:rPr>
                <w:i/>
                <w:sz w:val="18"/>
              </w:rPr>
            </w:pPr>
            <w:r>
              <w:rPr>
                <w:i/>
                <w:sz w:val="18"/>
              </w:rPr>
              <w:t>Low GWP</w:t>
            </w:r>
          </w:p>
        </w:tc>
        <w:tc>
          <w:tcPr>
            <w:tcW w:w="2099" w:type="dxa"/>
            <w:vAlign w:val="center"/>
          </w:tcPr>
          <w:p w14:paraId="288B5D24" w14:textId="77777777" w:rsidR="006A3799" w:rsidRDefault="006A3799" w:rsidP="006A3799">
            <w:pPr>
              <w:keepNext/>
              <w:widowControl w:val="0"/>
              <w:tabs>
                <w:tab w:val="left" w:pos="1080"/>
                <w:tab w:val="left" w:pos="3544"/>
              </w:tabs>
              <w:jc w:val="both"/>
              <w:outlineLvl w:val="3"/>
              <w:rPr>
                <w:i/>
                <w:sz w:val="18"/>
              </w:rPr>
            </w:pPr>
            <w:r>
              <w:rPr>
                <w:i/>
                <w:sz w:val="18"/>
              </w:rPr>
              <w:t>Highly flammable</w:t>
            </w:r>
          </w:p>
        </w:tc>
        <w:tc>
          <w:tcPr>
            <w:tcW w:w="2551" w:type="dxa"/>
            <w:vAlign w:val="center"/>
          </w:tcPr>
          <w:p w14:paraId="0580FF3B" w14:textId="77777777" w:rsidR="006A3799" w:rsidRDefault="006A3799" w:rsidP="006A3799">
            <w:pPr>
              <w:keepNext/>
              <w:widowControl w:val="0"/>
              <w:tabs>
                <w:tab w:val="left" w:pos="1080"/>
                <w:tab w:val="left" w:pos="3544"/>
              </w:tabs>
              <w:ind w:right="-108"/>
              <w:outlineLvl w:val="3"/>
              <w:rPr>
                <w:i/>
                <w:sz w:val="18"/>
              </w:rPr>
            </w:pPr>
            <w:r>
              <w:rPr>
                <w:i/>
                <w:sz w:val="18"/>
              </w:rPr>
              <w:t xml:space="preserve">High incremental capital costs but most enterprises in sub-sector are large </w:t>
            </w:r>
          </w:p>
        </w:tc>
      </w:tr>
      <w:tr w:rsidR="006A3799" w14:paraId="278BAC48" w14:textId="77777777" w:rsidTr="007B316E">
        <w:trPr>
          <w:cantSplit/>
        </w:trPr>
        <w:tc>
          <w:tcPr>
            <w:tcW w:w="2585" w:type="dxa"/>
            <w:vMerge/>
            <w:vAlign w:val="center"/>
          </w:tcPr>
          <w:p w14:paraId="72694811" w14:textId="77777777" w:rsidR="006A3799" w:rsidRDefault="006A3799" w:rsidP="006A3799">
            <w:pPr>
              <w:tabs>
                <w:tab w:val="left" w:pos="3544"/>
              </w:tabs>
              <w:ind w:right="-75"/>
              <w:rPr>
                <w:b/>
                <w:sz w:val="18"/>
              </w:rPr>
            </w:pPr>
          </w:p>
        </w:tc>
        <w:tc>
          <w:tcPr>
            <w:tcW w:w="1979" w:type="dxa"/>
            <w:vAlign w:val="center"/>
          </w:tcPr>
          <w:p w14:paraId="4BFEA3AB" w14:textId="77777777" w:rsidR="006A3799" w:rsidRDefault="006A3799" w:rsidP="006A3799">
            <w:pPr>
              <w:keepNext/>
              <w:widowControl w:val="0"/>
              <w:tabs>
                <w:tab w:val="left" w:pos="1080"/>
                <w:tab w:val="left" w:pos="3544"/>
              </w:tabs>
              <w:jc w:val="both"/>
              <w:outlineLvl w:val="3"/>
              <w:rPr>
                <w:i/>
                <w:sz w:val="18"/>
              </w:rPr>
            </w:pPr>
            <w:r>
              <w:rPr>
                <w:i/>
                <w:sz w:val="18"/>
              </w:rPr>
              <w:t>Low operating costs</w:t>
            </w:r>
          </w:p>
        </w:tc>
        <w:tc>
          <w:tcPr>
            <w:tcW w:w="2099" w:type="dxa"/>
            <w:vAlign w:val="center"/>
          </w:tcPr>
          <w:p w14:paraId="02D9BBC1" w14:textId="77777777" w:rsidR="006A3799" w:rsidRDefault="006A3799" w:rsidP="006A3799">
            <w:pPr>
              <w:keepNext/>
              <w:widowControl w:val="0"/>
              <w:tabs>
                <w:tab w:val="left" w:pos="1080"/>
                <w:tab w:val="left" w:pos="3544"/>
              </w:tabs>
              <w:outlineLvl w:val="3"/>
              <w:rPr>
                <w:i/>
                <w:sz w:val="18"/>
              </w:rPr>
            </w:pPr>
          </w:p>
        </w:tc>
        <w:tc>
          <w:tcPr>
            <w:tcW w:w="2551" w:type="dxa"/>
            <w:vAlign w:val="center"/>
          </w:tcPr>
          <w:p w14:paraId="76048C6A" w14:textId="77777777" w:rsidR="006A3799" w:rsidRDefault="006A3799" w:rsidP="006A3799">
            <w:pPr>
              <w:keepNext/>
              <w:widowControl w:val="0"/>
              <w:tabs>
                <w:tab w:val="left" w:pos="1080"/>
                <w:tab w:val="left" w:pos="3544"/>
              </w:tabs>
              <w:jc w:val="both"/>
              <w:outlineLvl w:val="3"/>
              <w:rPr>
                <w:i/>
                <w:sz w:val="18"/>
              </w:rPr>
            </w:pPr>
            <w:r>
              <w:rPr>
                <w:i/>
                <w:sz w:val="18"/>
              </w:rPr>
              <w:t>Industry standard</w:t>
            </w:r>
          </w:p>
        </w:tc>
      </w:tr>
      <w:tr w:rsidR="006A3799" w14:paraId="501E06AA" w14:textId="77777777" w:rsidTr="007B316E">
        <w:trPr>
          <w:cantSplit/>
        </w:trPr>
        <w:tc>
          <w:tcPr>
            <w:tcW w:w="2585" w:type="dxa"/>
            <w:vMerge/>
            <w:vAlign w:val="center"/>
          </w:tcPr>
          <w:p w14:paraId="345D149B" w14:textId="77777777" w:rsidR="006A3799" w:rsidRDefault="006A3799" w:rsidP="006A3799">
            <w:pPr>
              <w:tabs>
                <w:tab w:val="left" w:pos="3544"/>
              </w:tabs>
              <w:ind w:right="-75"/>
              <w:rPr>
                <w:b/>
                <w:sz w:val="18"/>
              </w:rPr>
            </w:pPr>
          </w:p>
        </w:tc>
        <w:tc>
          <w:tcPr>
            <w:tcW w:w="1979" w:type="dxa"/>
            <w:vAlign w:val="center"/>
          </w:tcPr>
          <w:p w14:paraId="71EC5EF7" w14:textId="77777777" w:rsidR="006A3799" w:rsidRDefault="006A3799" w:rsidP="006A3799">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14040FB6" w14:textId="77777777" w:rsidR="006A3799" w:rsidRDefault="006A3799" w:rsidP="006A3799">
            <w:pPr>
              <w:keepNext/>
              <w:widowControl w:val="0"/>
              <w:tabs>
                <w:tab w:val="left" w:pos="1080"/>
                <w:tab w:val="left" w:pos="3544"/>
              </w:tabs>
              <w:jc w:val="both"/>
              <w:outlineLvl w:val="3"/>
              <w:rPr>
                <w:i/>
                <w:sz w:val="18"/>
              </w:rPr>
            </w:pPr>
          </w:p>
        </w:tc>
        <w:tc>
          <w:tcPr>
            <w:tcW w:w="2551" w:type="dxa"/>
            <w:vAlign w:val="center"/>
          </w:tcPr>
          <w:p w14:paraId="7ADB74D5" w14:textId="77777777" w:rsidR="006A3799" w:rsidRDefault="006A3799" w:rsidP="006A3799">
            <w:pPr>
              <w:keepNext/>
              <w:widowControl w:val="0"/>
              <w:tabs>
                <w:tab w:val="left" w:pos="1080"/>
                <w:tab w:val="left" w:pos="3544"/>
              </w:tabs>
              <w:jc w:val="both"/>
              <w:outlineLvl w:val="3"/>
              <w:rPr>
                <w:i/>
                <w:sz w:val="18"/>
              </w:rPr>
            </w:pPr>
          </w:p>
        </w:tc>
      </w:tr>
      <w:tr w:rsidR="006A3799" w14:paraId="615EB414" w14:textId="77777777" w:rsidTr="007B316E">
        <w:trPr>
          <w:cantSplit/>
        </w:trPr>
        <w:tc>
          <w:tcPr>
            <w:tcW w:w="2585" w:type="dxa"/>
            <w:vMerge w:val="restart"/>
            <w:vAlign w:val="center"/>
          </w:tcPr>
          <w:p w14:paraId="2AF28831" w14:textId="488E0748" w:rsidR="006A3799" w:rsidRDefault="006A3799" w:rsidP="006A3799">
            <w:pPr>
              <w:tabs>
                <w:tab w:val="left" w:pos="720"/>
                <w:tab w:val="left" w:pos="1440"/>
                <w:tab w:val="left" w:pos="3544"/>
                <w:tab w:val="left" w:pos="5760"/>
              </w:tabs>
              <w:ind w:right="-75"/>
              <w:jc w:val="both"/>
              <w:rPr>
                <w:sz w:val="18"/>
              </w:rPr>
            </w:pPr>
            <w:r>
              <w:rPr>
                <w:sz w:val="18"/>
              </w:rPr>
              <w:t>HFC-245fa, HFC-365mfc/2</w:t>
            </w:r>
            <w:r w:rsidR="00547D8E">
              <w:rPr>
                <w:sz w:val="18"/>
              </w:rPr>
              <w:t>2</w:t>
            </w:r>
            <w:r>
              <w:rPr>
                <w:sz w:val="18"/>
              </w:rPr>
              <w:t>7ea</w:t>
            </w:r>
          </w:p>
        </w:tc>
        <w:tc>
          <w:tcPr>
            <w:tcW w:w="1979" w:type="dxa"/>
            <w:vAlign w:val="center"/>
          </w:tcPr>
          <w:p w14:paraId="355F90E0" w14:textId="77777777" w:rsidR="006A3799" w:rsidRDefault="006A3799" w:rsidP="006A3799">
            <w:pPr>
              <w:keepNext/>
              <w:widowControl w:val="0"/>
              <w:tabs>
                <w:tab w:val="left" w:pos="1080"/>
                <w:tab w:val="left" w:pos="3544"/>
              </w:tabs>
              <w:jc w:val="both"/>
              <w:outlineLvl w:val="3"/>
              <w:rPr>
                <w:i/>
                <w:sz w:val="18"/>
              </w:rPr>
            </w:pPr>
            <w:r>
              <w:rPr>
                <w:i/>
                <w:sz w:val="18"/>
              </w:rPr>
              <w:t>Non-flammable</w:t>
            </w:r>
          </w:p>
        </w:tc>
        <w:tc>
          <w:tcPr>
            <w:tcW w:w="2099" w:type="dxa"/>
            <w:vAlign w:val="center"/>
          </w:tcPr>
          <w:p w14:paraId="2E45A962" w14:textId="77777777" w:rsidR="006A3799" w:rsidRDefault="006A3799" w:rsidP="006A3799">
            <w:pPr>
              <w:keepNext/>
              <w:widowControl w:val="0"/>
              <w:tabs>
                <w:tab w:val="left" w:pos="1080"/>
                <w:tab w:val="left" w:pos="3544"/>
              </w:tabs>
              <w:jc w:val="both"/>
              <w:outlineLvl w:val="3"/>
              <w:rPr>
                <w:i/>
                <w:sz w:val="18"/>
              </w:rPr>
            </w:pPr>
            <w:r>
              <w:rPr>
                <w:i/>
                <w:sz w:val="18"/>
              </w:rPr>
              <w:t>High GWP</w:t>
            </w:r>
          </w:p>
        </w:tc>
        <w:tc>
          <w:tcPr>
            <w:tcW w:w="2551" w:type="dxa"/>
            <w:vAlign w:val="center"/>
          </w:tcPr>
          <w:p w14:paraId="417FDD6F" w14:textId="77777777" w:rsidR="006A3799" w:rsidRDefault="006A3799" w:rsidP="006A3799">
            <w:pPr>
              <w:keepNext/>
              <w:widowControl w:val="0"/>
              <w:tabs>
                <w:tab w:val="left" w:pos="1080"/>
                <w:tab w:val="left" w:pos="3544"/>
              </w:tabs>
              <w:jc w:val="both"/>
              <w:outlineLvl w:val="3"/>
              <w:rPr>
                <w:i/>
                <w:sz w:val="18"/>
              </w:rPr>
            </w:pPr>
            <w:r>
              <w:rPr>
                <w:i/>
                <w:sz w:val="18"/>
              </w:rPr>
              <w:t>Low incremental capital cost</w:t>
            </w:r>
          </w:p>
        </w:tc>
      </w:tr>
      <w:tr w:rsidR="006A3799" w14:paraId="4C5BBE38" w14:textId="77777777" w:rsidTr="007B316E">
        <w:trPr>
          <w:cantSplit/>
        </w:trPr>
        <w:tc>
          <w:tcPr>
            <w:tcW w:w="2585" w:type="dxa"/>
            <w:vMerge/>
            <w:vAlign w:val="center"/>
          </w:tcPr>
          <w:p w14:paraId="092F4B6B" w14:textId="77777777" w:rsidR="006A3799" w:rsidRDefault="006A3799" w:rsidP="006A3799">
            <w:pPr>
              <w:tabs>
                <w:tab w:val="left" w:pos="3544"/>
              </w:tabs>
              <w:ind w:right="-75"/>
              <w:rPr>
                <w:b/>
                <w:sz w:val="18"/>
              </w:rPr>
            </w:pPr>
          </w:p>
        </w:tc>
        <w:tc>
          <w:tcPr>
            <w:tcW w:w="1979" w:type="dxa"/>
            <w:vAlign w:val="center"/>
          </w:tcPr>
          <w:p w14:paraId="766D0DC7" w14:textId="77777777" w:rsidR="006A3799" w:rsidRDefault="006A3799" w:rsidP="006A3799">
            <w:pPr>
              <w:keepNext/>
              <w:widowControl w:val="0"/>
              <w:tabs>
                <w:tab w:val="left" w:pos="1080"/>
                <w:tab w:val="left" w:pos="3544"/>
              </w:tabs>
              <w:jc w:val="both"/>
              <w:outlineLvl w:val="3"/>
              <w:rPr>
                <w:i/>
                <w:sz w:val="18"/>
              </w:rPr>
            </w:pPr>
            <w:r>
              <w:rPr>
                <w:i/>
                <w:sz w:val="18"/>
              </w:rPr>
              <w:t>Good foam properties</w:t>
            </w:r>
          </w:p>
        </w:tc>
        <w:tc>
          <w:tcPr>
            <w:tcW w:w="2099" w:type="dxa"/>
            <w:vAlign w:val="center"/>
          </w:tcPr>
          <w:p w14:paraId="50B67730" w14:textId="77777777" w:rsidR="006A3799" w:rsidRDefault="006A3799" w:rsidP="006A3799">
            <w:pPr>
              <w:keepNext/>
              <w:widowControl w:val="0"/>
              <w:tabs>
                <w:tab w:val="left" w:pos="1080"/>
                <w:tab w:val="left" w:pos="3544"/>
              </w:tabs>
              <w:jc w:val="both"/>
              <w:outlineLvl w:val="3"/>
              <w:rPr>
                <w:i/>
                <w:sz w:val="18"/>
              </w:rPr>
            </w:pPr>
            <w:r>
              <w:rPr>
                <w:i/>
                <w:sz w:val="18"/>
              </w:rPr>
              <w:t>High operating costs</w:t>
            </w:r>
          </w:p>
        </w:tc>
        <w:tc>
          <w:tcPr>
            <w:tcW w:w="2551" w:type="dxa"/>
            <w:vAlign w:val="center"/>
          </w:tcPr>
          <w:p w14:paraId="03075BDC" w14:textId="77777777" w:rsidR="006A3799" w:rsidRDefault="006A3799" w:rsidP="006A3799">
            <w:pPr>
              <w:keepNext/>
              <w:widowControl w:val="0"/>
              <w:tabs>
                <w:tab w:val="left" w:pos="1080"/>
                <w:tab w:val="left" w:pos="3544"/>
              </w:tabs>
              <w:jc w:val="both"/>
              <w:outlineLvl w:val="3"/>
              <w:rPr>
                <w:i/>
                <w:sz w:val="18"/>
              </w:rPr>
            </w:pPr>
          </w:p>
        </w:tc>
      </w:tr>
      <w:tr w:rsidR="006A3799" w14:paraId="51A859CD" w14:textId="77777777" w:rsidTr="007B316E">
        <w:trPr>
          <w:cantSplit/>
        </w:trPr>
        <w:tc>
          <w:tcPr>
            <w:tcW w:w="2585" w:type="dxa"/>
            <w:vMerge/>
            <w:vAlign w:val="center"/>
          </w:tcPr>
          <w:p w14:paraId="769D4621" w14:textId="77777777" w:rsidR="006A3799" w:rsidRDefault="006A3799" w:rsidP="006A3799">
            <w:pPr>
              <w:tabs>
                <w:tab w:val="left" w:pos="3544"/>
              </w:tabs>
              <w:ind w:right="-75"/>
              <w:rPr>
                <w:b/>
                <w:sz w:val="18"/>
              </w:rPr>
            </w:pPr>
          </w:p>
        </w:tc>
        <w:tc>
          <w:tcPr>
            <w:tcW w:w="1979" w:type="dxa"/>
            <w:vAlign w:val="center"/>
          </w:tcPr>
          <w:p w14:paraId="0A986464" w14:textId="77777777" w:rsidR="006A3799" w:rsidRDefault="006A3799" w:rsidP="006A3799">
            <w:pPr>
              <w:keepNext/>
              <w:widowControl w:val="0"/>
              <w:tabs>
                <w:tab w:val="left" w:pos="1080"/>
                <w:tab w:val="left" w:pos="3544"/>
              </w:tabs>
              <w:jc w:val="both"/>
              <w:outlineLvl w:val="3"/>
              <w:rPr>
                <w:i/>
                <w:sz w:val="18"/>
              </w:rPr>
            </w:pPr>
          </w:p>
        </w:tc>
        <w:tc>
          <w:tcPr>
            <w:tcW w:w="2099" w:type="dxa"/>
            <w:vAlign w:val="center"/>
          </w:tcPr>
          <w:p w14:paraId="1350024F" w14:textId="77777777" w:rsidR="006A3799" w:rsidRDefault="006A3799" w:rsidP="006A3799">
            <w:pPr>
              <w:keepNext/>
              <w:widowControl w:val="0"/>
              <w:tabs>
                <w:tab w:val="left" w:pos="1080"/>
                <w:tab w:val="left" w:pos="3544"/>
              </w:tabs>
              <w:jc w:val="both"/>
              <w:outlineLvl w:val="3"/>
              <w:rPr>
                <w:i/>
                <w:sz w:val="18"/>
              </w:rPr>
            </w:pPr>
          </w:p>
        </w:tc>
        <w:tc>
          <w:tcPr>
            <w:tcW w:w="2551" w:type="dxa"/>
            <w:vAlign w:val="center"/>
          </w:tcPr>
          <w:p w14:paraId="7F754A17" w14:textId="77777777" w:rsidR="006A3799" w:rsidRDefault="006A3799" w:rsidP="006A3799">
            <w:pPr>
              <w:keepNext/>
              <w:widowControl w:val="0"/>
              <w:tabs>
                <w:tab w:val="left" w:pos="1080"/>
                <w:tab w:val="left" w:pos="3544"/>
              </w:tabs>
              <w:ind w:right="-108"/>
              <w:outlineLvl w:val="3"/>
              <w:rPr>
                <w:i/>
                <w:sz w:val="18"/>
              </w:rPr>
            </w:pPr>
            <w:r>
              <w:rPr>
                <w:i/>
                <w:sz w:val="18"/>
              </w:rPr>
              <w:t>Improved insulation (cf. HC)</w:t>
            </w:r>
          </w:p>
        </w:tc>
      </w:tr>
      <w:tr w:rsidR="006A3799" w14:paraId="4261585E" w14:textId="77777777" w:rsidTr="007B316E">
        <w:trPr>
          <w:cantSplit/>
          <w:trHeight w:hRule="exact" w:val="170"/>
        </w:trPr>
        <w:tc>
          <w:tcPr>
            <w:tcW w:w="9214" w:type="dxa"/>
            <w:gridSpan w:val="4"/>
            <w:vAlign w:val="center"/>
          </w:tcPr>
          <w:p w14:paraId="4289FAA5" w14:textId="77777777" w:rsidR="006A3799" w:rsidRDefault="006A3799" w:rsidP="006A3799">
            <w:pPr>
              <w:keepNext/>
              <w:widowControl w:val="0"/>
              <w:tabs>
                <w:tab w:val="left" w:pos="1080"/>
                <w:tab w:val="left" w:pos="3544"/>
              </w:tabs>
              <w:spacing w:after="240"/>
              <w:ind w:right="-75"/>
              <w:jc w:val="both"/>
              <w:outlineLvl w:val="3"/>
              <w:rPr>
                <w:i/>
                <w:sz w:val="18"/>
              </w:rPr>
            </w:pPr>
          </w:p>
        </w:tc>
      </w:tr>
      <w:tr w:rsidR="006A3799" w14:paraId="196E147B" w14:textId="77777777" w:rsidTr="007B316E">
        <w:trPr>
          <w:cantSplit/>
        </w:trPr>
        <w:tc>
          <w:tcPr>
            <w:tcW w:w="9214" w:type="dxa"/>
            <w:gridSpan w:val="4"/>
            <w:shd w:val="clear" w:color="auto" w:fill="C0C0C0"/>
            <w:vAlign w:val="center"/>
          </w:tcPr>
          <w:p w14:paraId="2B87F27B" w14:textId="77777777" w:rsidR="006A3799" w:rsidRDefault="006A3799" w:rsidP="006A3799">
            <w:pPr>
              <w:rPr>
                <w:b/>
                <w:i/>
              </w:rPr>
            </w:pPr>
            <w:r>
              <w:rPr>
                <w:b/>
                <w:i/>
              </w:rPr>
              <w:t>Steel-faced  panels – discontinuously produced</w:t>
            </w:r>
          </w:p>
        </w:tc>
      </w:tr>
      <w:tr w:rsidR="006A3799" w14:paraId="4A605594" w14:textId="77777777" w:rsidTr="007B316E">
        <w:trPr>
          <w:cantSplit/>
        </w:trPr>
        <w:tc>
          <w:tcPr>
            <w:tcW w:w="2585" w:type="dxa"/>
            <w:vMerge w:val="restart"/>
            <w:vAlign w:val="center"/>
          </w:tcPr>
          <w:p w14:paraId="2F146436" w14:textId="77777777" w:rsidR="006A3799" w:rsidRDefault="006A3799" w:rsidP="006A3799">
            <w:pPr>
              <w:tabs>
                <w:tab w:val="left" w:pos="720"/>
                <w:tab w:val="left" w:pos="1440"/>
                <w:tab w:val="left" w:pos="3544"/>
                <w:tab w:val="left" w:pos="5760"/>
              </w:tabs>
              <w:ind w:right="-75"/>
              <w:jc w:val="both"/>
              <w:rPr>
                <w:sz w:val="18"/>
              </w:rPr>
            </w:pPr>
            <w:proofErr w:type="spellStart"/>
            <w:r>
              <w:rPr>
                <w:sz w:val="18"/>
              </w:rPr>
              <w:t>Cyclopentane</w:t>
            </w:r>
            <w:proofErr w:type="spellEnd"/>
            <w:r>
              <w:rPr>
                <w:sz w:val="18"/>
              </w:rPr>
              <w:t xml:space="preserve"> &amp; n-Pentane</w:t>
            </w:r>
          </w:p>
        </w:tc>
        <w:tc>
          <w:tcPr>
            <w:tcW w:w="1979" w:type="dxa"/>
            <w:vAlign w:val="center"/>
          </w:tcPr>
          <w:p w14:paraId="3C5547EE" w14:textId="77777777" w:rsidR="006A3799" w:rsidRDefault="006A3799" w:rsidP="006A3799">
            <w:pPr>
              <w:keepNext/>
              <w:widowControl w:val="0"/>
              <w:tabs>
                <w:tab w:val="left" w:pos="1080"/>
                <w:tab w:val="left" w:pos="3544"/>
              </w:tabs>
              <w:jc w:val="both"/>
              <w:outlineLvl w:val="3"/>
              <w:rPr>
                <w:i/>
                <w:sz w:val="18"/>
              </w:rPr>
            </w:pPr>
            <w:r>
              <w:rPr>
                <w:i/>
                <w:sz w:val="18"/>
              </w:rPr>
              <w:t>Low GWP</w:t>
            </w:r>
          </w:p>
        </w:tc>
        <w:tc>
          <w:tcPr>
            <w:tcW w:w="2099" w:type="dxa"/>
            <w:vAlign w:val="center"/>
          </w:tcPr>
          <w:p w14:paraId="2EB546E9" w14:textId="77777777" w:rsidR="006A3799" w:rsidRDefault="006A3799" w:rsidP="006A3799">
            <w:pPr>
              <w:keepNext/>
              <w:widowControl w:val="0"/>
              <w:tabs>
                <w:tab w:val="left" w:pos="1080"/>
                <w:tab w:val="left" w:pos="3544"/>
              </w:tabs>
              <w:jc w:val="both"/>
              <w:outlineLvl w:val="3"/>
              <w:rPr>
                <w:i/>
                <w:sz w:val="18"/>
              </w:rPr>
            </w:pPr>
            <w:r>
              <w:rPr>
                <w:i/>
                <w:sz w:val="18"/>
              </w:rPr>
              <w:t>Highly flammable</w:t>
            </w:r>
          </w:p>
        </w:tc>
        <w:tc>
          <w:tcPr>
            <w:tcW w:w="2551" w:type="dxa"/>
            <w:vAlign w:val="center"/>
          </w:tcPr>
          <w:p w14:paraId="7B6E1D20" w14:textId="77777777" w:rsidR="006A3799" w:rsidRDefault="006A3799" w:rsidP="006A3799">
            <w:pPr>
              <w:keepNext/>
              <w:widowControl w:val="0"/>
              <w:tabs>
                <w:tab w:val="left" w:pos="1080"/>
                <w:tab w:val="left" w:pos="3544"/>
              </w:tabs>
              <w:outlineLvl w:val="3"/>
              <w:rPr>
                <w:i/>
                <w:sz w:val="18"/>
              </w:rPr>
            </w:pPr>
            <w:r>
              <w:rPr>
                <w:i/>
                <w:sz w:val="18"/>
              </w:rPr>
              <w:t xml:space="preserve">High incremental capital cost, may be uneconomic for SMEs </w:t>
            </w:r>
          </w:p>
        </w:tc>
      </w:tr>
      <w:tr w:rsidR="006A3799" w14:paraId="4D8DA1DA" w14:textId="77777777" w:rsidTr="007B316E">
        <w:trPr>
          <w:cantSplit/>
        </w:trPr>
        <w:tc>
          <w:tcPr>
            <w:tcW w:w="2585" w:type="dxa"/>
            <w:vMerge/>
            <w:vAlign w:val="center"/>
          </w:tcPr>
          <w:p w14:paraId="6CBFD977" w14:textId="77777777" w:rsidR="006A3799" w:rsidRDefault="006A3799" w:rsidP="006A3799">
            <w:pPr>
              <w:tabs>
                <w:tab w:val="left" w:pos="3544"/>
              </w:tabs>
              <w:ind w:right="-75"/>
              <w:rPr>
                <w:b/>
                <w:sz w:val="18"/>
              </w:rPr>
            </w:pPr>
          </w:p>
        </w:tc>
        <w:tc>
          <w:tcPr>
            <w:tcW w:w="1979" w:type="dxa"/>
            <w:vAlign w:val="center"/>
          </w:tcPr>
          <w:p w14:paraId="1706AE1B" w14:textId="77777777" w:rsidR="006A3799" w:rsidRDefault="006A3799" w:rsidP="006A3799">
            <w:pPr>
              <w:keepNext/>
              <w:widowControl w:val="0"/>
              <w:tabs>
                <w:tab w:val="left" w:pos="1080"/>
                <w:tab w:val="left" w:pos="3544"/>
              </w:tabs>
              <w:jc w:val="both"/>
              <w:outlineLvl w:val="3"/>
              <w:rPr>
                <w:i/>
                <w:sz w:val="18"/>
              </w:rPr>
            </w:pPr>
            <w:r>
              <w:rPr>
                <w:i/>
                <w:sz w:val="18"/>
              </w:rPr>
              <w:t>Low operating costs</w:t>
            </w:r>
          </w:p>
        </w:tc>
        <w:tc>
          <w:tcPr>
            <w:tcW w:w="2099" w:type="dxa"/>
            <w:vAlign w:val="center"/>
          </w:tcPr>
          <w:p w14:paraId="76520FA8" w14:textId="77777777" w:rsidR="006A3799" w:rsidRDefault="006A3799" w:rsidP="006A3799">
            <w:pPr>
              <w:keepNext/>
              <w:widowControl w:val="0"/>
              <w:tabs>
                <w:tab w:val="left" w:pos="1080"/>
                <w:tab w:val="left" w:pos="3544"/>
              </w:tabs>
              <w:outlineLvl w:val="3"/>
              <w:rPr>
                <w:i/>
                <w:sz w:val="18"/>
              </w:rPr>
            </w:pPr>
          </w:p>
        </w:tc>
        <w:tc>
          <w:tcPr>
            <w:tcW w:w="2551" w:type="dxa"/>
            <w:vAlign w:val="center"/>
          </w:tcPr>
          <w:p w14:paraId="452F95AB" w14:textId="77777777" w:rsidR="006A3799" w:rsidRDefault="006A3799" w:rsidP="006A3799">
            <w:pPr>
              <w:keepNext/>
              <w:widowControl w:val="0"/>
              <w:tabs>
                <w:tab w:val="left" w:pos="1080"/>
                <w:tab w:val="left" w:pos="3544"/>
              </w:tabs>
              <w:jc w:val="both"/>
              <w:outlineLvl w:val="3"/>
              <w:rPr>
                <w:i/>
                <w:sz w:val="18"/>
              </w:rPr>
            </w:pPr>
          </w:p>
        </w:tc>
      </w:tr>
      <w:tr w:rsidR="006A3799" w14:paraId="75351E36" w14:textId="77777777" w:rsidTr="007B316E">
        <w:trPr>
          <w:cantSplit/>
        </w:trPr>
        <w:tc>
          <w:tcPr>
            <w:tcW w:w="2585" w:type="dxa"/>
            <w:vMerge/>
            <w:vAlign w:val="center"/>
          </w:tcPr>
          <w:p w14:paraId="4D871524" w14:textId="77777777" w:rsidR="006A3799" w:rsidRDefault="006A3799" w:rsidP="006A3799">
            <w:pPr>
              <w:tabs>
                <w:tab w:val="left" w:pos="3544"/>
              </w:tabs>
              <w:ind w:right="-75"/>
              <w:rPr>
                <w:b/>
                <w:sz w:val="18"/>
              </w:rPr>
            </w:pPr>
          </w:p>
        </w:tc>
        <w:tc>
          <w:tcPr>
            <w:tcW w:w="1979" w:type="dxa"/>
            <w:vAlign w:val="center"/>
          </w:tcPr>
          <w:p w14:paraId="5242E3F6" w14:textId="77777777" w:rsidR="006A3799" w:rsidRDefault="006A3799" w:rsidP="006A3799">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6B30450F" w14:textId="77777777" w:rsidR="006A3799" w:rsidRDefault="006A3799" w:rsidP="006A3799">
            <w:pPr>
              <w:keepNext/>
              <w:widowControl w:val="0"/>
              <w:tabs>
                <w:tab w:val="left" w:pos="1080"/>
                <w:tab w:val="left" w:pos="3544"/>
              </w:tabs>
              <w:jc w:val="both"/>
              <w:outlineLvl w:val="3"/>
              <w:rPr>
                <w:i/>
                <w:sz w:val="18"/>
              </w:rPr>
            </w:pPr>
          </w:p>
        </w:tc>
        <w:tc>
          <w:tcPr>
            <w:tcW w:w="2551" w:type="dxa"/>
            <w:vAlign w:val="center"/>
          </w:tcPr>
          <w:p w14:paraId="35D6317B" w14:textId="77777777" w:rsidR="006A3799" w:rsidRDefault="006A3799" w:rsidP="006A3799">
            <w:pPr>
              <w:keepNext/>
              <w:widowControl w:val="0"/>
              <w:tabs>
                <w:tab w:val="left" w:pos="1080"/>
                <w:tab w:val="left" w:pos="3544"/>
              </w:tabs>
              <w:jc w:val="both"/>
              <w:outlineLvl w:val="3"/>
              <w:rPr>
                <w:i/>
                <w:sz w:val="18"/>
              </w:rPr>
            </w:pPr>
          </w:p>
        </w:tc>
      </w:tr>
      <w:tr w:rsidR="006A3799" w14:paraId="57523B9C" w14:textId="77777777" w:rsidTr="007B316E">
        <w:trPr>
          <w:cantSplit/>
        </w:trPr>
        <w:tc>
          <w:tcPr>
            <w:tcW w:w="2585" w:type="dxa"/>
            <w:vMerge w:val="restart"/>
            <w:vAlign w:val="center"/>
          </w:tcPr>
          <w:p w14:paraId="11D4F85A" w14:textId="0BBA2389" w:rsidR="006A3799" w:rsidRDefault="006A3799" w:rsidP="006A3799">
            <w:pPr>
              <w:tabs>
                <w:tab w:val="left" w:pos="720"/>
                <w:tab w:val="left" w:pos="1440"/>
                <w:tab w:val="left" w:pos="3544"/>
                <w:tab w:val="left" w:pos="5760"/>
              </w:tabs>
              <w:ind w:right="-75"/>
              <w:jc w:val="both"/>
              <w:rPr>
                <w:sz w:val="18"/>
              </w:rPr>
            </w:pPr>
            <w:r>
              <w:rPr>
                <w:sz w:val="18"/>
              </w:rPr>
              <w:t>HFC-245fa, HFC-365mfc/2</w:t>
            </w:r>
            <w:r w:rsidR="00547D8E">
              <w:rPr>
                <w:sz w:val="18"/>
              </w:rPr>
              <w:t>2</w:t>
            </w:r>
            <w:r>
              <w:rPr>
                <w:sz w:val="18"/>
              </w:rPr>
              <w:t>7ea, HFC-134a</w:t>
            </w:r>
          </w:p>
        </w:tc>
        <w:tc>
          <w:tcPr>
            <w:tcW w:w="1979" w:type="dxa"/>
            <w:vAlign w:val="center"/>
          </w:tcPr>
          <w:p w14:paraId="32485C8D" w14:textId="77777777" w:rsidR="006A3799" w:rsidRDefault="006A3799" w:rsidP="006A3799">
            <w:pPr>
              <w:keepNext/>
              <w:widowControl w:val="0"/>
              <w:tabs>
                <w:tab w:val="left" w:pos="1080"/>
                <w:tab w:val="left" w:pos="3544"/>
              </w:tabs>
              <w:jc w:val="both"/>
              <w:outlineLvl w:val="3"/>
              <w:rPr>
                <w:i/>
                <w:sz w:val="18"/>
              </w:rPr>
            </w:pPr>
            <w:r>
              <w:rPr>
                <w:i/>
                <w:sz w:val="18"/>
              </w:rPr>
              <w:t>Non-flammable</w:t>
            </w:r>
          </w:p>
        </w:tc>
        <w:tc>
          <w:tcPr>
            <w:tcW w:w="2099" w:type="dxa"/>
            <w:vAlign w:val="center"/>
          </w:tcPr>
          <w:p w14:paraId="1D136E7B" w14:textId="77777777" w:rsidR="006A3799" w:rsidRDefault="006A3799" w:rsidP="006A3799">
            <w:pPr>
              <w:keepNext/>
              <w:widowControl w:val="0"/>
              <w:tabs>
                <w:tab w:val="left" w:pos="1080"/>
                <w:tab w:val="left" w:pos="3544"/>
              </w:tabs>
              <w:jc w:val="both"/>
              <w:outlineLvl w:val="3"/>
              <w:rPr>
                <w:i/>
                <w:sz w:val="18"/>
              </w:rPr>
            </w:pPr>
            <w:r>
              <w:rPr>
                <w:i/>
                <w:sz w:val="18"/>
              </w:rPr>
              <w:t>High GWP</w:t>
            </w:r>
          </w:p>
        </w:tc>
        <w:tc>
          <w:tcPr>
            <w:tcW w:w="2551" w:type="dxa"/>
            <w:vAlign w:val="center"/>
          </w:tcPr>
          <w:p w14:paraId="0D8235AF" w14:textId="77777777" w:rsidR="006A3799" w:rsidRDefault="006A3799" w:rsidP="006A3799">
            <w:pPr>
              <w:keepNext/>
              <w:widowControl w:val="0"/>
              <w:tabs>
                <w:tab w:val="left" w:pos="1080"/>
                <w:tab w:val="left" w:pos="3544"/>
              </w:tabs>
              <w:jc w:val="both"/>
              <w:outlineLvl w:val="3"/>
              <w:rPr>
                <w:i/>
                <w:sz w:val="18"/>
              </w:rPr>
            </w:pPr>
            <w:r>
              <w:rPr>
                <w:i/>
                <w:sz w:val="18"/>
              </w:rPr>
              <w:t>Low incremental capital cost</w:t>
            </w:r>
          </w:p>
        </w:tc>
      </w:tr>
      <w:tr w:rsidR="006A3799" w14:paraId="5865711B" w14:textId="77777777" w:rsidTr="007B316E">
        <w:trPr>
          <w:cantSplit/>
          <w:trHeight w:val="386"/>
        </w:trPr>
        <w:tc>
          <w:tcPr>
            <w:tcW w:w="2585" w:type="dxa"/>
            <w:vMerge/>
            <w:vAlign w:val="center"/>
          </w:tcPr>
          <w:p w14:paraId="08C5C2FD" w14:textId="77777777" w:rsidR="006A3799" w:rsidRDefault="006A3799" w:rsidP="006A3799">
            <w:pPr>
              <w:tabs>
                <w:tab w:val="left" w:pos="3544"/>
              </w:tabs>
              <w:ind w:right="-75"/>
              <w:rPr>
                <w:b/>
                <w:sz w:val="18"/>
              </w:rPr>
            </w:pPr>
          </w:p>
        </w:tc>
        <w:tc>
          <w:tcPr>
            <w:tcW w:w="1979" w:type="dxa"/>
            <w:vAlign w:val="center"/>
          </w:tcPr>
          <w:p w14:paraId="25D62C4B" w14:textId="77777777" w:rsidR="006A3799" w:rsidRDefault="006A3799" w:rsidP="006A3799">
            <w:pPr>
              <w:keepNext/>
              <w:widowControl w:val="0"/>
              <w:tabs>
                <w:tab w:val="left" w:pos="1080"/>
                <w:tab w:val="left" w:pos="3544"/>
              </w:tabs>
              <w:jc w:val="both"/>
              <w:outlineLvl w:val="3"/>
              <w:rPr>
                <w:i/>
                <w:sz w:val="18"/>
              </w:rPr>
            </w:pPr>
            <w:r>
              <w:rPr>
                <w:i/>
                <w:sz w:val="18"/>
              </w:rPr>
              <w:t>Good foam properties</w:t>
            </w:r>
          </w:p>
        </w:tc>
        <w:tc>
          <w:tcPr>
            <w:tcW w:w="2099" w:type="dxa"/>
            <w:vAlign w:val="center"/>
          </w:tcPr>
          <w:p w14:paraId="246DFE8F" w14:textId="77777777" w:rsidR="006A3799" w:rsidRDefault="006A3799" w:rsidP="006A3799">
            <w:pPr>
              <w:keepNext/>
              <w:widowControl w:val="0"/>
              <w:tabs>
                <w:tab w:val="left" w:pos="1080"/>
                <w:tab w:val="left" w:pos="3544"/>
              </w:tabs>
              <w:jc w:val="both"/>
              <w:outlineLvl w:val="3"/>
              <w:rPr>
                <w:i/>
                <w:sz w:val="18"/>
              </w:rPr>
            </w:pPr>
            <w:r>
              <w:rPr>
                <w:i/>
                <w:sz w:val="18"/>
              </w:rPr>
              <w:t>High operating costs</w:t>
            </w:r>
          </w:p>
        </w:tc>
        <w:tc>
          <w:tcPr>
            <w:tcW w:w="2551" w:type="dxa"/>
            <w:vAlign w:val="center"/>
          </w:tcPr>
          <w:p w14:paraId="2ACB681A" w14:textId="77777777" w:rsidR="006A3799" w:rsidRDefault="006A3799" w:rsidP="006A3799">
            <w:pPr>
              <w:keepNext/>
              <w:widowControl w:val="0"/>
              <w:tabs>
                <w:tab w:val="left" w:pos="1080"/>
                <w:tab w:val="left" w:pos="3544"/>
              </w:tabs>
              <w:jc w:val="both"/>
              <w:outlineLvl w:val="3"/>
              <w:rPr>
                <w:i/>
                <w:sz w:val="18"/>
              </w:rPr>
            </w:pPr>
            <w:r>
              <w:rPr>
                <w:i/>
                <w:sz w:val="18"/>
              </w:rPr>
              <w:t>Improved insulation (cf. HC)</w:t>
            </w:r>
          </w:p>
        </w:tc>
      </w:tr>
      <w:tr w:rsidR="006A3799" w14:paraId="0914735C" w14:textId="77777777" w:rsidTr="007B316E">
        <w:trPr>
          <w:cantSplit/>
        </w:trPr>
        <w:tc>
          <w:tcPr>
            <w:tcW w:w="2585" w:type="dxa"/>
            <w:vMerge w:val="restart"/>
            <w:vAlign w:val="center"/>
          </w:tcPr>
          <w:p w14:paraId="46B0F379" w14:textId="77777777" w:rsidR="006A3799" w:rsidRDefault="006A3799" w:rsidP="006A3799">
            <w:pPr>
              <w:tabs>
                <w:tab w:val="left" w:pos="720"/>
                <w:tab w:val="left" w:pos="1440"/>
                <w:tab w:val="left" w:pos="3544"/>
                <w:tab w:val="left" w:pos="5760"/>
              </w:tabs>
              <w:ind w:right="-75"/>
              <w:jc w:val="both"/>
              <w:rPr>
                <w:sz w:val="18"/>
              </w:rPr>
            </w:pPr>
            <w:r>
              <w:rPr>
                <w:sz w:val="18"/>
              </w:rPr>
              <w:t>CO</w:t>
            </w:r>
            <w:r>
              <w:rPr>
                <w:sz w:val="18"/>
                <w:vertAlign w:val="subscript"/>
              </w:rPr>
              <w:t xml:space="preserve">2 </w:t>
            </w:r>
            <w:r>
              <w:rPr>
                <w:sz w:val="18"/>
              </w:rPr>
              <w:t>(water)</w:t>
            </w:r>
          </w:p>
        </w:tc>
        <w:tc>
          <w:tcPr>
            <w:tcW w:w="1979" w:type="dxa"/>
            <w:vAlign w:val="center"/>
          </w:tcPr>
          <w:p w14:paraId="0D793A8F" w14:textId="77777777" w:rsidR="006A3799" w:rsidRDefault="006A3799" w:rsidP="006A3799">
            <w:pPr>
              <w:keepNext/>
              <w:widowControl w:val="0"/>
              <w:tabs>
                <w:tab w:val="left" w:pos="1080"/>
                <w:tab w:val="left" w:pos="3544"/>
              </w:tabs>
              <w:jc w:val="both"/>
              <w:outlineLvl w:val="3"/>
              <w:rPr>
                <w:i/>
                <w:sz w:val="18"/>
              </w:rPr>
            </w:pPr>
            <w:r>
              <w:rPr>
                <w:i/>
                <w:sz w:val="18"/>
              </w:rPr>
              <w:t>Low GWP</w:t>
            </w:r>
          </w:p>
        </w:tc>
        <w:tc>
          <w:tcPr>
            <w:tcW w:w="2099" w:type="dxa"/>
            <w:vAlign w:val="center"/>
          </w:tcPr>
          <w:p w14:paraId="7EC82C01" w14:textId="77777777" w:rsidR="006A3799" w:rsidRDefault="006A3799" w:rsidP="006A3799">
            <w:pPr>
              <w:keepNext/>
              <w:widowControl w:val="0"/>
              <w:tabs>
                <w:tab w:val="left" w:pos="1080"/>
                <w:tab w:val="left" w:pos="3544"/>
              </w:tabs>
              <w:ind w:right="-86"/>
              <w:outlineLvl w:val="3"/>
              <w:rPr>
                <w:i/>
                <w:sz w:val="18"/>
              </w:rPr>
            </w:pPr>
            <w:r>
              <w:rPr>
                <w:i/>
                <w:sz w:val="18"/>
              </w:rPr>
              <w:t>Moderate foam properties -high thermal conductivity-</w:t>
            </w:r>
          </w:p>
        </w:tc>
        <w:tc>
          <w:tcPr>
            <w:tcW w:w="2551" w:type="dxa"/>
            <w:vAlign w:val="center"/>
          </w:tcPr>
          <w:p w14:paraId="604D1B12" w14:textId="77777777" w:rsidR="006A3799" w:rsidRDefault="006A3799" w:rsidP="006A3799">
            <w:pPr>
              <w:keepNext/>
              <w:widowControl w:val="0"/>
              <w:tabs>
                <w:tab w:val="left" w:pos="1080"/>
                <w:tab w:val="left" w:pos="3544"/>
              </w:tabs>
              <w:ind w:right="-108"/>
              <w:outlineLvl w:val="3"/>
              <w:rPr>
                <w:i/>
                <w:sz w:val="18"/>
              </w:rPr>
            </w:pPr>
            <w:r>
              <w:rPr>
                <w:i/>
                <w:sz w:val="18"/>
              </w:rPr>
              <w:t>Low incremental capital cost</w:t>
            </w:r>
          </w:p>
        </w:tc>
      </w:tr>
      <w:tr w:rsidR="006A3799" w14:paraId="6357D5C1" w14:textId="77777777" w:rsidTr="007B316E">
        <w:trPr>
          <w:cantSplit/>
          <w:trHeight w:val="246"/>
        </w:trPr>
        <w:tc>
          <w:tcPr>
            <w:tcW w:w="2585" w:type="dxa"/>
            <w:vMerge/>
            <w:vAlign w:val="center"/>
          </w:tcPr>
          <w:p w14:paraId="709A4086" w14:textId="77777777" w:rsidR="006A3799" w:rsidRDefault="006A3799" w:rsidP="006A3799">
            <w:pPr>
              <w:tabs>
                <w:tab w:val="left" w:pos="720"/>
                <w:tab w:val="left" w:pos="1440"/>
                <w:tab w:val="left" w:pos="3544"/>
                <w:tab w:val="left" w:pos="5760"/>
              </w:tabs>
              <w:ind w:right="-75"/>
              <w:jc w:val="both"/>
              <w:rPr>
                <w:sz w:val="18"/>
              </w:rPr>
            </w:pPr>
          </w:p>
        </w:tc>
        <w:tc>
          <w:tcPr>
            <w:tcW w:w="1979" w:type="dxa"/>
            <w:vAlign w:val="center"/>
          </w:tcPr>
          <w:p w14:paraId="68AA460B" w14:textId="77777777" w:rsidR="006A3799" w:rsidRDefault="006A3799" w:rsidP="006A3799">
            <w:pPr>
              <w:keepNext/>
              <w:widowControl w:val="0"/>
              <w:tabs>
                <w:tab w:val="left" w:pos="1080"/>
                <w:tab w:val="left" w:pos="3544"/>
              </w:tabs>
              <w:jc w:val="both"/>
              <w:outlineLvl w:val="3"/>
              <w:rPr>
                <w:i/>
                <w:sz w:val="18"/>
              </w:rPr>
            </w:pPr>
            <w:r>
              <w:rPr>
                <w:i/>
                <w:sz w:val="18"/>
              </w:rPr>
              <w:t>Non-flammable</w:t>
            </w:r>
          </w:p>
        </w:tc>
        <w:tc>
          <w:tcPr>
            <w:tcW w:w="2099" w:type="dxa"/>
            <w:vAlign w:val="center"/>
          </w:tcPr>
          <w:p w14:paraId="674E0D74" w14:textId="77777777" w:rsidR="006A3799" w:rsidRDefault="006A3799" w:rsidP="006A3799">
            <w:pPr>
              <w:keepNext/>
              <w:widowControl w:val="0"/>
              <w:tabs>
                <w:tab w:val="left" w:pos="1080"/>
                <w:tab w:val="left" w:pos="3544"/>
              </w:tabs>
              <w:outlineLvl w:val="3"/>
              <w:rPr>
                <w:i/>
                <w:sz w:val="18"/>
              </w:rPr>
            </w:pPr>
          </w:p>
        </w:tc>
        <w:tc>
          <w:tcPr>
            <w:tcW w:w="2551" w:type="dxa"/>
            <w:vAlign w:val="center"/>
          </w:tcPr>
          <w:p w14:paraId="386705D7" w14:textId="77777777" w:rsidR="006A3799" w:rsidRDefault="006A3799" w:rsidP="006A3799">
            <w:pPr>
              <w:keepNext/>
              <w:widowControl w:val="0"/>
              <w:tabs>
                <w:tab w:val="left" w:pos="1080"/>
                <w:tab w:val="left" w:pos="3544"/>
              </w:tabs>
              <w:ind w:right="-108"/>
              <w:outlineLvl w:val="3"/>
              <w:rPr>
                <w:i/>
                <w:sz w:val="18"/>
              </w:rPr>
            </w:pPr>
          </w:p>
        </w:tc>
      </w:tr>
      <w:tr w:rsidR="006A3799" w14:paraId="4C90C782" w14:textId="77777777" w:rsidTr="007B316E">
        <w:trPr>
          <w:cantSplit/>
        </w:trPr>
        <w:tc>
          <w:tcPr>
            <w:tcW w:w="2585" w:type="dxa"/>
            <w:vMerge w:val="restart"/>
            <w:vAlign w:val="center"/>
          </w:tcPr>
          <w:p w14:paraId="3BB04659" w14:textId="77777777" w:rsidR="006A3799" w:rsidRDefault="006A3799" w:rsidP="006A3799">
            <w:pPr>
              <w:tabs>
                <w:tab w:val="left" w:pos="720"/>
                <w:tab w:val="left" w:pos="1440"/>
                <w:tab w:val="left" w:pos="3544"/>
                <w:tab w:val="left" w:pos="5760"/>
              </w:tabs>
              <w:ind w:right="-75"/>
              <w:jc w:val="both"/>
              <w:rPr>
                <w:sz w:val="18"/>
              </w:rPr>
            </w:pPr>
            <w:r>
              <w:rPr>
                <w:sz w:val="18"/>
              </w:rPr>
              <w:t xml:space="preserve">Methyl </w:t>
            </w:r>
            <w:proofErr w:type="spellStart"/>
            <w:r>
              <w:rPr>
                <w:sz w:val="18"/>
              </w:rPr>
              <w:t>Formate</w:t>
            </w:r>
            <w:proofErr w:type="spellEnd"/>
            <w:r>
              <w:rPr>
                <w:sz w:val="18"/>
              </w:rPr>
              <w:t>/</w:t>
            </w:r>
            <w:proofErr w:type="spellStart"/>
            <w:r>
              <w:rPr>
                <w:sz w:val="18"/>
              </w:rPr>
              <w:t>Methylal</w:t>
            </w:r>
            <w:proofErr w:type="spellEnd"/>
          </w:p>
        </w:tc>
        <w:tc>
          <w:tcPr>
            <w:tcW w:w="1979" w:type="dxa"/>
            <w:vAlign w:val="center"/>
          </w:tcPr>
          <w:p w14:paraId="74879A1F" w14:textId="77777777" w:rsidR="006A3799" w:rsidRDefault="006A3799" w:rsidP="006A3799">
            <w:pPr>
              <w:keepNext/>
              <w:widowControl w:val="0"/>
              <w:tabs>
                <w:tab w:val="left" w:pos="1080"/>
                <w:tab w:val="left" w:pos="3544"/>
              </w:tabs>
              <w:jc w:val="both"/>
              <w:outlineLvl w:val="3"/>
              <w:rPr>
                <w:i/>
                <w:sz w:val="18"/>
              </w:rPr>
            </w:pPr>
            <w:r>
              <w:rPr>
                <w:i/>
                <w:sz w:val="18"/>
              </w:rPr>
              <w:t>Low GWP</w:t>
            </w:r>
          </w:p>
        </w:tc>
        <w:tc>
          <w:tcPr>
            <w:tcW w:w="2099" w:type="dxa"/>
            <w:vAlign w:val="center"/>
          </w:tcPr>
          <w:p w14:paraId="113096A5" w14:textId="77777777" w:rsidR="006A3799" w:rsidRDefault="006A3799" w:rsidP="006A3799">
            <w:pPr>
              <w:keepNext/>
              <w:widowControl w:val="0"/>
              <w:tabs>
                <w:tab w:val="left" w:pos="1080"/>
                <w:tab w:val="left" w:pos="3544"/>
              </w:tabs>
              <w:ind w:right="-86"/>
              <w:outlineLvl w:val="3"/>
              <w:rPr>
                <w:i/>
                <w:sz w:val="18"/>
              </w:rPr>
            </w:pPr>
            <w:r>
              <w:rPr>
                <w:i/>
                <w:sz w:val="18"/>
              </w:rPr>
              <w:t>Moderate foam properties - high thermal conductivity-</w:t>
            </w:r>
          </w:p>
        </w:tc>
        <w:tc>
          <w:tcPr>
            <w:tcW w:w="2551" w:type="dxa"/>
            <w:vAlign w:val="center"/>
          </w:tcPr>
          <w:p w14:paraId="100FE354" w14:textId="77777777" w:rsidR="006A3799" w:rsidRDefault="006A3799" w:rsidP="006A3799">
            <w:pPr>
              <w:keepNext/>
              <w:widowControl w:val="0"/>
              <w:tabs>
                <w:tab w:val="left" w:pos="1080"/>
                <w:tab w:val="left" w:pos="3544"/>
              </w:tabs>
              <w:ind w:right="-108"/>
              <w:outlineLvl w:val="3"/>
              <w:rPr>
                <w:i/>
                <w:sz w:val="18"/>
              </w:rPr>
            </w:pPr>
            <w:r>
              <w:rPr>
                <w:i/>
                <w:sz w:val="18"/>
              </w:rPr>
              <w:t>Moderate incremental capital cost (corrosion protection recommended)</w:t>
            </w:r>
          </w:p>
        </w:tc>
      </w:tr>
      <w:tr w:rsidR="006A3799" w14:paraId="527DE503" w14:textId="77777777" w:rsidTr="007B316E">
        <w:trPr>
          <w:cantSplit/>
        </w:trPr>
        <w:tc>
          <w:tcPr>
            <w:tcW w:w="2585" w:type="dxa"/>
            <w:vMerge/>
            <w:vAlign w:val="center"/>
          </w:tcPr>
          <w:p w14:paraId="6942B6B1" w14:textId="77777777" w:rsidR="006A3799" w:rsidRDefault="006A3799" w:rsidP="006A3799">
            <w:pPr>
              <w:tabs>
                <w:tab w:val="left" w:pos="720"/>
                <w:tab w:val="left" w:pos="1440"/>
                <w:tab w:val="left" w:pos="3544"/>
                <w:tab w:val="left" w:pos="5760"/>
              </w:tabs>
              <w:ind w:right="-75"/>
              <w:jc w:val="both"/>
              <w:rPr>
                <w:sz w:val="18"/>
              </w:rPr>
            </w:pPr>
          </w:p>
        </w:tc>
        <w:tc>
          <w:tcPr>
            <w:tcW w:w="1979" w:type="dxa"/>
            <w:vAlign w:val="center"/>
          </w:tcPr>
          <w:p w14:paraId="3F6796CB" w14:textId="77777777" w:rsidR="006A3799" w:rsidRDefault="006A3799" w:rsidP="006A3799">
            <w:pPr>
              <w:keepNext/>
              <w:widowControl w:val="0"/>
              <w:tabs>
                <w:tab w:val="left" w:pos="1080"/>
                <w:tab w:val="left" w:pos="3544"/>
              </w:tabs>
              <w:ind w:right="-80"/>
              <w:outlineLvl w:val="3"/>
              <w:rPr>
                <w:i/>
                <w:sz w:val="18"/>
              </w:rPr>
            </w:pPr>
            <w:r>
              <w:rPr>
                <w:i/>
                <w:sz w:val="18"/>
              </w:rPr>
              <w:t xml:space="preserve">Flammable although blends with </w:t>
            </w:r>
            <w:proofErr w:type="spellStart"/>
            <w:r>
              <w:rPr>
                <w:i/>
                <w:sz w:val="18"/>
              </w:rPr>
              <w:t>polyols</w:t>
            </w:r>
            <w:proofErr w:type="spellEnd"/>
            <w:r>
              <w:rPr>
                <w:i/>
                <w:sz w:val="18"/>
              </w:rPr>
              <w:t xml:space="preserve"> may not be flammable</w:t>
            </w:r>
          </w:p>
        </w:tc>
        <w:tc>
          <w:tcPr>
            <w:tcW w:w="2099" w:type="dxa"/>
            <w:vAlign w:val="center"/>
          </w:tcPr>
          <w:p w14:paraId="0410B235" w14:textId="77777777" w:rsidR="006A3799" w:rsidRDefault="006A3799" w:rsidP="006A3799">
            <w:pPr>
              <w:keepNext/>
              <w:widowControl w:val="0"/>
              <w:tabs>
                <w:tab w:val="left" w:pos="1080"/>
                <w:tab w:val="left" w:pos="3544"/>
              </w:tabs>
              <w:jc w:val="both"/>
              <w:outlineLvl w:val="3"/>
              <w:rPr>
                <w:i/>
                <w:sz w:val="18"/>
              </w:rPr>
            </w:pPr>
          </w:p>
        </w:tc>
        <w:tc>
          <w:tcPr>
            <w:tcW w:w="2551" w:type="dxa"/>
            <w:vAlign w:val="center"/>
          </w:tcPr>
          <w:p w14:paraId="0F91412C" w14:textId="77777777" w:rsidR="006A3799" w:rsidRDefault="006A3799" w:rsidP="006A3799">
            <w:pPr>
              <w:keepNext/>
              <w:widowControl w:val="0"/>
              <w:tabs>
                <w:tab w:val="left" w:pos="1080"/>
                <w:tab w:val="left" w:pos="3544"/>
              </w:tabs>
              <w:jc w:val="both"/>
              <w:outlineLvl w:val="3"/>
              <w:rPr>
                <w:i/>
                <w:sz w:val="18"/>
              </w:rPr>
            </w:pPr>
          </w:p>
        </w:tc>
      </w:tr>
    </w:tbl>
    <w:p w14:paraId="42C78E7D" w14:textId="77777777" w:rsidR="007B316E" w:rsidRPr="007B316E" w:rsidRDefault="007B316E" w:rsidP="007B316E">
      <w:pPr>
        <w:spacing w:line="259" w:lineRule="auto"/>
        <w:jc w:val="center"/>
        <w:rPr>
          <w:i/>
          <w:sz w:val="8"/>
          <w:szCs w:val="8"/>
        </w:rPr>
      </w:pPr>
    </w:p>
    <w:p w14:paraId="7CB2288C" w14:textId="77777777" w:rsidR="007B316E" w:rsidRPr="001769CA" w:rsidRDefault="007B316E" w:rsidP="007B316E">
      <w:pPr>
        <w:spacing w:line="259" w:lineRule="auto"/>
        <w:jc w:val="center"/>
        <w:rPr>
          <w:b/>
          <w:i/>
        </w:rPr>
      </w:pPr>
      <w:r w:rsidRPr="001769CA">
        <w:rPr>
          <w:b/>
          <w:i/>
        </w:rPr>
        <w:t>Table 10: Assessment of selection criteria for ODS alternatives in the PU Panel Sector</w:t>
      </w:r>
    </w:p>
    <w:p w14:paraId="59CA8C94" w14:textId="77777777" w:rsidR="006A3799" w:rsidRDefault="006A3799" w:rsidP="00050445">
      <w:pPr>
        <w:pStyle w:val="Heading4"/>
        <w:rPr>
          <w:i w:val="0"/>
        </w:rPr>
      </w:pPr>
    </w:p>
    <w:p w14:paraId="4A7FDE36" w14:textId="77777777" w:rsidR="007B316E" w:rsidRDefault="007B316E" w:rsidP="007B316E">
      <w:pPr>
        <w:jc w:val="both"/>
        <w:rPr>
          <w:lang w:eastAsia="ja-JP"/>
        </w:rPr>
      </w:pPr>
      <w:r>
        <w:rPr>
          <w:lang w:eastAsia="ja-JP"/>
        </w:rPr>
        <w:t xml:space="preserve">The pressure for improved thermal performance in the architectural (cladding) panel is less pronounced than it is for other building insulation types because of the structural requirements which are associated with that application. However, the same cannot be said for refrigerated transport where additional benefits in thermal performance can improve the load-carrying capacity of a vehicle. Therefore, there is on-going interest in saturated HFCs as legitimate alternatives, or at least components of blends for that application. </w:t>
      </w:r>
    </w:p>
    <w:p w14:paraId="267C8C4B" w14:textId="77777777" w:rsidR="007B316E" w:rsidRDefault="007B316E" w:rsidP="007B316E">
      <w:pPr>
        <w:rPr>
          <w:sz w:val="16"/>
          <w:lang w:eastAsia="ja-JP"/>
        </w:rPr>
      </w:pPr>
    </w:p>
    <w:p w14:paraId="131EE873" w14:textId="77777777" w:rsidR="007B316E" w:rsidRDefault="007B316E" w:rsidP="007B316E">
      <w:pPr>
        <w:jc w:val="both"/>
        <w:rPr>
          <w:lang w:eastAsia="ja-JP"/>
        </w:rPr>
      </w:pPr>
      <w:r>
        <w:rPr>
          <w:lang w:eastAsia="ja-JP"/>
        </w:rPr>
        <w:t>In the discontinuous sector, there are other potential technologies based around CO</w:t>
      </w:r>
      <w:r>
        <w:rPr>
          <w:vertAlign w:val="subscript"/>
          <w:lang w:eastAsia="ja-JP"/>
        </w:rPr>
        <w:t xml:space="preserve">2 </w:t>
      </w:r>
      <w:r>
        <w:rPr>
          <w:lang w:eastAsia="ja-JP"/>
        </w:rPr>
        <w:t xml:space="preserve">(water) and HCOs such as methyl </w:t>
      </w:r>
      <w:proofErr w:type="spellStart"/>
      <w:r>
        <w:rPr>
          <w:lang w:eastAsia="ja-JP"/>
        </w:rPr>
        <w:t>formate</w:t>
      </w:r>
      <w:proofErr w:type="spellEnd"/>
      <w:r>
        <w:rPr>
          <w:lang w:eastAsia="ja-JP"/>
        </w:rPr>
        <w:t xml:space="preserve"> or </w:t>
      </w:r>
      <w:proofErr w:type="spellStart"/>
      <w:r>
        <w:rPr>
          <w:lang w:eastAsia="ja-JP"/>
        </w:rPr>
        <w:t>methylal</w:t>
      </w:r>
      <w:proofErr w:type="spellEnd"/>
      <w:r>
        <w:rPr>
          <w:lang w:eastAsia="ja-JP"/>
        </w:rPr>
        <w:t xml:space="preserve">. These reduce the perceived risks associated with the use of hydrocarbons on discontinuous plants but do result in some compromises in foam properties including higher density and potentially poorer thermal performance. Nonetheless, they do offer </w:t>
      </w:r>
      <w:r>
        <w:rPr>
          <w:lang w:eastAsia="ja-JP"/>
        </w:rPr>
        <w:lastRenderedPageBreak/>
        <w:t xml:space="preserve">low-GWP solutions in markets, which may not be too sensitive to thermal performance issues. These are all important considerations in the Article 5 context where the need to phase-out HCFCs requires the widest range of alternatives, especially for small and mixed use discontinuous panel facilities. The strengths and weaknesses of these alternatives are once again shown in the Table 11 – this time relating to the panel sector. </w:t>
      </w:r>
    </w:p>
    <w:p w14:paraId="23C83708" w14:textId="77777777" w:rsidR="007B316E" w:rsidRDefault="007B316E" w:rsidP="007B316E"/>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092"/>
        <w:gridCol w:w="1176"/>
        <w:gridCol w:w="1743"/>
        <w:gridCol w:w="1158"/>
        <w:gridCol w:w="1096"/>
      </w:tblGrid>
      <w:tr w:rsidR="007B316E" w14:paraId="06133572" w14:textId="77777777" w:rsidTr="007B316E">
        <w:tc>
          <w:tcPr>
            <w:tcW w:w="2127" w:type="dxa"/>
            <w:shd w:val="clear" w:color="auto" w:fill="D9D9D9" w:themeFill="background1" w:themeFillShade="D9"/>
          </w:tcPr>
          <w:p w14:paraId="52F3EAAC" w14:textId="77777777" w:rsidR="007B316E" w:rsidRDefault="007B316E" w:rsidP="001769CA">
            <w:pPr>
              <w:keepNext/>
              <w:rPr>
                <w:lang w:eastAsia="ja-JP"/>
              </w:rPr>
            </w:pPr>
          </w:p>
        </w:tc>
        <w:tc>
          <w:tcPr>
            <w:tcW w:w="1134" w:type="dxa"/>
            <w:shd w:val="clear" w:color="auto" w:fill="D9D9D9" w:themeFill="background1" w:themeFillShade="D9"/>
            <w:vAlign w:val="center"/>
          </w:tcPr>
          <w:p w14:paraId="727EAE3C" w14:textId="77777777" w:rsidR="007B316E" w:rsidRDefault="007B316E" w:rsidP="001769CA">
            <w:pPr>
              <w:keepNext/>
              <w:jc w:val="center"/>
              <w:rPr>
                <w:rFonts w:ascii="Calibri" w:hAnsi="Calibri"/>
                <w:b/>
                <w:i/>
                <w:sz w:val="20"/>
                <w:lang w:eastAsia="ja-JP"/>
              </w:rPr>
            </w:pPr>
            <w:r>
              <w:rPr>
                <w:rFonts w:ascii="Calibri" w:hAnsi="Calibri"/>
                <w:b/>
                <w:i/>
                <w:sz w:val="20"/>
                <w:lang w:eastAsia="ja-JP"/>
              </w:rPr>
              <w:t>c-pentane</w:t>
            </w:r>
          </w:p>
        </w:tc>
        <w:tc>
          <w:tcPr>
            <w:tcW w:w="1092" w:type="dxa"/>
            <w:shd w:val="clear" w:color="auto" w:fill="D9D9D9" w:themeFill="background1" w:themeFillShade="D9"/>
            <w:vAlign w:val="center"/>
          </w:tcPr>
          <w:p w14:paraId="00EF2744" w14:textId="77777777" w:rsidR="007B316E" w:rsidRDefault="007B316E" w:rsidP="001769CA">
            <w:pPr>
              <w:keepNext/>
              <w:jc w:val="center"/>
              <w:rPr>
                <w:rFonts w:ascii="Calibri" w:hAnsi="Calibri"/>
                <w:b/>
                <w:i/>
                <w:sz w:val="20"/>
                <w:lang w:eastAsia="ja-JP"/>
              </w:rPr>
            </w:pPr>
            <w:proofErr w:type="spellStart"/>
            <w:r>
              <w:rPr>
                <w:rFonts w:ascii="Calibri" w:hAnsi="Calibri"/>
                <w:b/>
                <w:i/>
                <w:sz w:val="20"/>
                <w:lang w:eastAsia="ja-JP"/>
              </w:rPr>
              <w:t>i</w:t>
            </w:r>
            <w:proofErr w:type="spellEnd"/>
            <w:r>
              <w:rPr>
                <w:rFonts w:ascii="Calibri" w:hAnsi="Calibri"/>
                <w:b/>
                <w:i/>
                <w:sz w:val="20"/>
                <w:lang w:eastAsia="ja-JP"/>
              </w:rPr>
              <w:t>-pentane n-pentane</w:t>
            </w:r>
          </w:p>
        </w:tc>
        <w:tc>
          <w:tcPr>
            <w:tcW w:w="1176" w:type="dxa"/>
            <w:shd w:val="clear" w:color="auto" w:fill="D9D9D9" w:themeFill="background1" w:themeFillShade="D9"/>
            <w:vAlign w:val="center"/>
          </w:tcPr>
          <w:p w14:paraId="71C20BBB" w14:textId="77777777" w:rsidR="007B316E" w:rsidRDefault="007B316E" w:rsidP="001769CA">
            <w:pPr>
              <w:keepNext/>
              <w:jc w:val="center"/>
              <w:rPr>
                <w:rFonts w:ascii="Calibri" w:hAnsi="Calibri"/>
                <w:b/>
                <w:i/>
                <w:sz w:val="20"/>
                <w:lang w:eastAsia="ja-JP"/>
              </w:rPr>
            </w:pPr>
            <w:r>
              <w:rPr>
                <w:rFonts w:ascii="Calibri" w:hAnsi="Calibri"/>
                <w:b/>
                <w:i/>
                <w:sz w:val="20"/>
                <w:lang w:eastAsia="ja-JP"/>
              </w:rPr>
              <w:t>HFC-245fa</w:t>
            </w:r>
          </w:p>
        </w:tc>
        <w:tc>
          <w:tcPr>
            <w:tcW w:w="1743" w:type="dxa"/>
            <w:shd w:val="clear" w:color="auto" w:fill="D9D9D9" w:themeFill="background1" w:themeFillShade="D9"/>
            <w:vAlign w:val="center"/>
          </w:tcPr>
          <w:p w14:paraId="3C48EF55" w14:textId="77777777" w:rsidR="007B316E" w:rsidRDefault="007B316E" w:rsidP="001769CA">
            <w:pPr>
              <w:keepNext/>
              <w:jc w:val="center"/>
              <w:rPr>
                <w:rFonts w:ascii="Calibri" w:hAnsi="Calibri"/>
                <w:b/>
                <w:i/>
                <w:sz w:val="20"/>
                <w:lang w:eastAsia="ja-JP"/>
              </w:rPr>
            </w:pPr>
            <w:r>
              <w:rPr>
                <w:rFonts w:ascii="Calibri" w:hAnsi="Calibri"/>
                <w:b/>
                <w:i/>
                <w:sz w:val="20"/>
                <w:lang w:eastAsia="ja-JP"/>
              </w:rPr>
              <w:t>HFC365mfc/227ea</w:t>
            </w:r>
          </w:p>
        </w:tc>
        <w:tc>
          <w:tcPr>
            <w:tcW w:w="1158" w:type="dxa"/>
            <w:shd w:val="clear" w:color="auto" w:fill="D9D9D9" w:themeFill="background1" w:themeFillShade="D9"/>
            <w:vAlign w:val="center"/>
          </w:tcPr>
          <w:p w14:paraId="5512728F" w14:textId="77777777" w:rsidR="007B316E" w:rsidRDefault="007B316E" w:rsidP="001769CA">
            <w:pPr>
              <w:keepNext/>
              <w:jc w:val="center"/>
              <w:rPr>
                <w:rFonts w:ascii="Calibri" w:hAnsi="Calibri"/>
                <w:b/>
                <w:i/>
                <w:sz w:val="20"/>
                <w:lang w:eastAsia="ja-JP"/>
              </w:rPr>
            </w:pPr>
            <w:r>
              <w:rPr>
                <w:rFonts w:ascii="Calibri" w:hAnsi="Calibri"/>
                <w:b/>
                <w:i/>
                <w:sz w:val="20"/>
                <w:lang w:eastAsia="ja-JP"/>
              </w:rPr>
              <w:t>CO</w:t>
            </w:r>
            <w:r>
              <w:rPr>
                <w:rFonts w:ascii="Calibri" w:hAnsi="Calibri"/>
                <w:b/>
                <w:i/>
                <w:sz w:val="20"/>
                <w:vertAlign w:val="subscript"/>
                <w:lang w:eastAsia="ja-JP"/>
              </w:rPr>
              <w:t>2</w:t>
            </w:r>
            <w:r>
              <w:rPr>
                <w:rFonts w:ascii="Calibri" w:hAnsi="Calibri"/>
                <w:b/>
                <w:i/>
                <w:sz w:val="20"/>
                <w:lang w:eastAsia="ja-JP"/>
              </w:rPr>
              <w:t>(water)</w:t>
            </w:r>
          </w:p>
        </w:tc>
        <w:tc>
          <w:tcPr>
            <w:tcW w:w="1096" w:type="dxa"/>
            <w:shd w:val="clear" w:color="auto" w:fill="D9D9D9" w:themeFill="background1" w:themeFillShade="D9"/>
            <w:vAlign w:val="center"/>
          </w:tcPr>
          <w:p w14:paraId="3FC1BA41" w14:textId="77777777" w:rsidR="007B316E" w:rsidRDefault="007B316E" w:rsidP="001769CA">
            <w:pPr>
              <w:keepNext/>
              <w:jc w:val="center"/>
              <w:rPr>
                <w:rFonts w:ascii="Calibri" w:hAnsi="Calibri"/>
                <w:b/>
                <w:i/>
                <w:sz w:val="20"/>
                <w:lang w:eastAsia="ja-JP"/>
              </w:rPr>
            </w:pPr>
            <w:r>
              <w:rPr>
                <w:rFonts w:ascii="Calibri" w:hAnsi="Calibri"/>
                <w:b/>
                <w:i/>
                <w:sz w:val="20"/>
                <w:lang w:eastAsia="ja-JP"/>
              </w:rPr>
              <w:t xml:space="preserve">Methyl </w:t>
            </w:r>
            <w:proofErr w:type="spellStart"/>
            <w:r>
              <w:rPr>
                <w:rFonts w:ascii="Calibri" w:hAnsi="Calibri"/>
                <w:b/>
                <w:i/>
                <w:sz w:val="20"/>
                <w:lang w:eastAsia="ja-JP"/>
              </w:rPr>
              <w:t>Formate</w:t>
            </w:r>
            <w:proofErr w:type="spellEnd"/>
          </w:p>
        </w:tc>
      </w:tr>
      <w:tr w:rsidR="007B316E" w14:paraId="1A7835E7" w14:textId="77777777" w:rsidTr="007B316E">
        <w:trPr>
          <w:trHeight w:hRule="exact" w:val="113"/>
        </w:trPr>
        <w:tc>
          <w:tcPr>
            <w:tcW w:w="2127" w:type="dxa"/>
          </w:tcPr>
          <w:p w14:paraId="29F6041F" w14:textId="77777777" w:rsidR="007B316E" w:rsidRDefault="007B316E" w:rsidP="001769CA">
            <w:pPr>
              <w:keepNext/>
              <w:rPr>
                <w:rFonts w:ascii="Calibri" w:hAnsi="Calibri"/>
                <w:sz w:val="20"/>
                <w:lang w:eastAsia="ja-JP"/>
              </w:rPr>
            </w:pPr>
          </w:p>
        </w:tc>
        <w:tc>
          <w:tcPr>
            <w:tcW w:w="1134" w:type="dxa"/>
          </w:tcPr>
          <w:p w14:paraId="5E08EB75" w14:textId="77777777" w:rsidR="007B316E" w:rsidRDefault="007B316E" w:rsidP="001769CA">
            <w:pPr>
              <w:keepNext/>
              <w:rPr>
                <w:rFonts w:ascii="Calibri" w:hAnsi="Calibri"/>
                <w:sz w:val="20"/>
                <w:lang w:eastAsia="ja-JP"/>
              </w:rPr>
            </w:pPr>
          </w:p>
        </w:tc>
        <w:tc>
          <w:tcPr>
            <w:tcW w:w="1092" w:type="dxa"/>
          </w:tcPr>
          <w:p w14:paraId="173DCB50" w14:textId="77777777" w:rsidR="007B316E" w:rsidRDefault="007B316E" w:rsidP="001769CA">
            <w:pPr>
              <w:keepNext/>
              <w:rPr>
                <w:rFonts w:ascii="Calibri" w:hAnsi="Calibri"/>
                <w:sz w:val="20"/>
                <w:lang w:eastAsia="ja-JP"/>
              </w:rPr>
            </w:pPr>
          </w:p>
        </w:tc>
        <w:tc>
          <w:tcPr>
            <w:tcW w:w="1176" w:type="dxa"/>
          </w:tcPr>
          <w:p w14:paraId="38AD6D71" w14:textId="77777777" w:rsidR="007B316E" w:rsidRDefault="007B316E" w:rsidP="001769CA">
            <w:pPr>
              <w:keepNext/>
              <w:rPr>
                <w:rFonts w:ascii="Calibri" w:hAnsi="Calibri"/>
                <w:sz w:val="20"/>
                <w:lang w:eastAsia="ja-JP"/>
              </w:rPr>
            </w:pPr>
          </w:p>
        </w:tc>
        <w:tc>
          <w:tcPr>
            <w:tcW w:w="1743" w:type="dxa"/>
          </w:tcPr>
          <w:p w14:paraId="704C566C" w14:textId="77777777" w:rsidR="007B316E" w:rsidRDefault="007B316E" w:rsidP="001769CA">
            <w:pPr>
              <w:keepNext/>
              <w:rPr>
                <w:rFonts w:ascii="Calibri" w:hAnsi="Calibri"/>
                <w:sz w:val="20"/>
                <w:lang w:eastAsia="ja-JP"/>
              </w:rPr>
            </w:pPr>
          </w:p>
        </w:tc>
        <w:tc>
          <w:tcPr>
            <w:tcW w:w="1158" w:type="dxa"/>
          </w:tcPr>
          <w:p w14:paraId="3B9C6D4A" w14:textId="77777777" w:rsidR="007B316E" w:rsidRDefault="007B316E" w:rsidP="001769CA">
            <w:pPr>
              <w:keepNext/>
              <w:rPr>
                <w:rFonts w:ascii="Calibri" w:hAnsi="Calibri"/>
                <w:sz w:val="20"/>
                <w:lang w:eastAsia="ja-JP"/>
              </w:rPr>
            </w:pPr>
          </w:p>
        </w:tc>
        <w:tc>
          <w:tcPr>
            <w:tcW w:w="1096" w:type="dxa"/>
          </w:tcPr>
          <w:p w14:paraId="7B1973B1" w14:textId="77777777" w:rsidR="007B316E" w:rsidRDefault="007B316E" w:rsidP="001769CA">
            <w:pPr>
              <w:keepNext/>
              <w:rPr>
                <w:rFonts w:ascii="Calibri" w:hAnsi="Calibri"/>
                <w:sz w:val="20"/>
                <w:lang w:eastAsia="ja-JP"/>
              </w:rPr>
            </w:pPr>
          </w:p>
        </w:tc>
      </w:tr>
      <w:tr w:rsidR="007B316E" w14:paraId="2BA2983D" w14:textId="77777777" w:rsidTr="007B316E">
        <w:tc>
          <w:tcPr>
            <w:tcW w:w="2127" w:type="dxa"/>
          </w:tcPr>
          <w:p w14:paraId="10B8A847" w14:textId="77777777" w:rsidR="007B316E" w:rsidRDefault="007B316E" w:rsidP="001769CA">
            <w:pPr>
              <w:keepNext/>
              <w:rPr>
                <w:rFonts w:ascii="Calibri" w:hAnsi="Calibri"/>
                <w:sz w:val="20"/>
                <w:lang w:eastAsia="ja-JP"/>
              </w:rPr>
            </w:pPr>
            <w:r>
              <w:rPr>
                <w:rFonts w:ascii="Calibri" w:hAnsi="Calibri"/>
                <w:sz w:val="20"/>
                <w:lang w:eastAsia="ja-JP"/>
              </w:rPr>
              <w:t>Proof of performance</w:t>
            </w:r>
          </w:p>
        </w:tc>
        <w:tc>
          <w:tcPr>
            <w:tcW w:w="1134" w:type="dxa"/>
          </w:tcPr>
          <w:p w14:paraId="171C589A"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2" w:type="dxa"/>
          </w:tcPr>
          <w:p w14:paraId="357FD740"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76" w:type="dxa"/>
          </w:tcPr>
          <w:p w14:paraId="04717AC9"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743" w:type="dxa"/>
          </w:tcPr>
          <w:p w14:paraId="10801DE8"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58" w:type="dxa"/>
          </w:tcPr>
          <w:p w14:paraId="1E07F931"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6" w:type="dxa"/>
          </w:tcPr>
          <w:p w14:paraId="32EF9136"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r>
      <w:tr w:rsidR="007B316E" w14:paraId="7091A2C9" w14:textId="77777777" w:rsidTr="007B316E">
        <w:tc>
          <w:tcPr>
            <w:tcW w:w="2127" w:type="dxa"/>
          </w:tcPr>
          <w:p w14:paraId="17B72AEA" w14:textId="77777777" w:rsidR="007B316E" w:rsidRDefault="007B316E" w:rsidP="001769CA">
            <w:pPr>
              <w:keepNext/>
              <w:rPr>
                <w:rFonts w:ascii="Calibri" w:hAnsi="Calibri"/>
                <w:sz w:val="20"/>
                <w:lang w:eastAsia="ja-JP"/>
              </w:rPr>
            </w:pPr>
            <w:r>
              <w:rPr>
                <w:rFonts w:ascii="Calibri" w:hAnsi="Calibri"/>
                <w:sz w:val="20"/>
                <w:lang w:eastAsia="ja-JP"/>
              </w:rPr>
              <w:t>Flammability</w:t>
            </w:r>
          </w:p>
        </w:tc>
        <w:tc>
          <w:tcPr>
            <w:tcW w:w="1134" w:type="dxa"/>
          </w:tcPr>
          <w:p w14:paraId="68F602CF"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2" w:type="dxa"/>
          </w:tcPr>
          <w:p w14:paraId="40D6BB0E"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76" w:type="dxa"/>
          </w:tcPr>
          <w:p w14:paraId="08D2EB98"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743" w:type="dxa"/>
          </w:tcPr>
          <w:p w14:paraId="1EA4E217"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58" w:type="dxa"/>
          </w:tcPr>
          <w:p w14:paraId="368244DA"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6" w:type="dxa"/>
          </w:tcPr>
          <w:p w14:paraId="3E983763"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r>
      <w:tr w:rsidR="007B316E" w14:paraId="41A3B3EA" w14:textId="77777777" w:rsidTr="007B316E">
        <w:tc>
          <w:tcPr>
            <w:tcW w:w="2127" w:type="dxa"/>
          </w:tcPr>
          <w:p w14:paraId="1E1EE059" w14:textId="77777777" w:rsidR="007B316E" w:rsidRDefault="007B316E" w:rsidP="001769CA">
            <w:pPr>
              <w:keepNext/>
              <w:rPr>
                <w:rFonts w:ascii="Calibri" w:hAnsi="Calibri"/>
                <w:sz w:val="20"/>
                <w:lang w:eastAsia="ja-JP"/>
              </w:rPr>
            </w:pPr>
            <w:r>
              <w:rPr>
                <w:rFonts w:ascii="Calibri" w:hAnsi="Calibri"/>
                <w:sz w:val="20"/>
                <w:lang w:eastAsia="ja-JP"/>
              </w:rPr>
              <w:t>Other Health &amp; Safety</w:t>
            </w:r>
          </w:p>
        </w:tc>
        <w:tc>
          <w:tcPr>
            <w:tcW w:w="1134" w:type="dxa"/>
          </w:tcPr>
          <w:p w14:paraId="21917C64" w14:textId="77777777" w:rsidR="007B316E" w:rsidRDefault="007B316E" w:rsidP="001769CA">
            <w:pPr>
              <w:keepNext/>
              <w:jc w:val="center"/>
              <w:rPr>
                <w:rFonts w:ascii="Calibri" w:hAnsi="Calibri"/>
                <w:sz w:val="20"/>
                <w:lang w:eastAsia="ja-JP"/>
              </w:rPr>
            </w:pPr>
            <w:r>
              <w:rPr>
                <w:rFonts w:ascii="Calibri" w:hAnsi="Calibri"/>
                <w:sz w:val="20"/>
                <w:lang w:eastAsia="ja-JP"/>
              </w:rPr>
              <w:t>0</w:t>
            </w:r>
          </w:p>
        </w:tc>
        <w:tc>
          <w:tcPr>
            <w:tcW w:w="1092" w:type="dxa"/>
          </w:tcPr>
          <w:p w14:paraId="655DDBCC" w14:textId="77777777" w:rsidR="007B316E" w:rsidRDefault="007B316E" w:rsidP="001769CA">
            <w:pPr>
              <w:keepNext/>
              <w:jc w:val="center"/>
              <w:rPr>
                <w:rFonts w:ascii="Calibri" w:hAnsi="Calibri"/>
                <w:sz w:val="20"/>
                <w:lang w:eastAsia="ja-JP"/>
              </w:rPr>
            </w:pPr>
            <w:r>
              <w:rPr>
                <w:rFonts w:ascii="Calibri" w:hAnsi="Calibri"/>
                <w:sz w:val="20"/>
                <w:lang w:eastAsia="ja-JP"/>
              </w:rPr>
              <w:t>0</w:t>
            </w:r>
          </w:p>
        </w:tc>
        <w:tc>
          <w:tcPr>
            <w:tcW w:w="1176" w:type="dxa"/>
          </w:tcPr>
          <w:p w14:paraId="5CC60849"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743" w:type="dxa"/>
          </w:tcPr>
          <w:p w14:paraId="3438B6EE"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58" w:type="dxa"/>
          </w:tcPr>
          <w:p w14:paraId="7ECE9D34"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6" w:type="dxa"/>
          </w:tcPr>
          <w:p w14:paraId="5771BE70" w14:textId="77777777" w:rsidR="007B316E" w:rsidRDefault="007B316E" w:rsidP="001769CA">
            <w:pPr>
              <w:keepNext/>
              <w:jc w:val="center"/>
              <w:rPr>
                <w:rFonts w:ascii="Calibri" w:hAnsi="Calibri"/>
                <w:sz w:val="20"/>
                <w:lang w:eastAsia="ja-JP"/>
              </w:rPr>
            </w:pPr>
            <w:r>
              <w:rPr>
                <w:rFonts w:ascii="Calibri" w:hAnsi="Calibri"/>
                <w:sz w:val="20"/>
                <w:lang w:eastAsia="ja-JP"/>
              </w:rPr>
              <w:t>0</w:t>
            </w:r>
          </w:p>
        </w:tc>
      </w:tr>
      <w:tr w:rsidR="007B316E" w14:paraId="0FCDEE62" w14:textId="77777777" w:rsidTr="007B316E">
        <w:tc>
          <w:tcPr>
            <w:tcW w:w="2127" w:type="dxa"/>
          </w:tcPr>
          <w:p w14:paraId="403A010F" w14:textId="77777777" w:rsidR="007B316E" w:rsidRDefault="007B316E" w:rsidP="001769CA">
            <w:pPr>
              <w:keepNext/>
              <w:rPr>
                <w:rFonts w:ascii="Calibri" w:hAnsi="Calibri"/>
                <w:sz w:val="20"/>
                <w:lang w:eastAsia="ja-JP"/>
              </w:rPr>
            </w:pPr>
            <w:r>
              <w:rPr>
                <w:rFonts w:ascii="Calibri" w:hAnsi="Calibri"/>
                <w:sz w:val="20"/>
                <w:lang w:eastAsia="ja-JP"/>
              </w:rPr>
              <w:t>Global Warming</w:t>
            </w:r>
          </w:p>
        </w:tc>
        <w:tc>
          <w:tcPr>
            <w:tcW w:w="1134" w:type="dxa"/>
          </w:tcPr>
          <w:p w14:paraId="0C476941"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2" w:type="dxa"/>
          </w:tcPr>
          <w:p w14:paraId="2A9D9D0F"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76" w:type="dxa"/>
          </w:tcPr>
          <w:p w14:paraId="7B9F15FF"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743" w:type="dxa"/>
          </w:tcPr>
          <w:p w14:paraId="211BD7C4"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158" w:type="dxa"/>
          </w:tcPr>
          <w:p w14:paraId="4431450E"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c>
          <w:tcPr>
            <w:tcW w:w="1096" w:type="dxa"/>
          </w:tcPr>
          <w:p w14:paraId="31331589" w14:textId="77777777" w:rsidR="007B316E" w:rsidRDefault="007B316E" w:rsidP="001769CA">
            <w:pPr>
              <w:keepNext/>
              <w:jc w:val="center"/>
              <w:rPr>
                <w:rFonts w:ascii="Calibri" w:hAnsi="Calibri"/>
                <w:sz w:val="20"/>
                <w:lang w:eastAsia="ja-JP"/>
              </w:rPr>
            </w:pPr>
            <w:r>
              <w:rPr>
                <w:rFonts w:ascii="Calibri" w:hAnsi="Calibri"/>
                <w:sz w:val="20"/>
                <w:lang w:eastAsia="ja-JP"/>
              </w:rPr>
              <w:t>++</w:t>
            </w:r>
          </w:p>
        </w:tc>
      </w:tr>
      <w:tr w:rsidR="007B316E" w14:paraId="4B0FAB45" w14:textId="77777777" w:rsidTr="007B316E">
        <w:tc>
          <w:tcPr>
            <w:tcW w:w="2127" w:type="dxa"/>
          </w:tcPr>
          <w:p w14:paraId="6A3ECF42" w14:textId="77777777" w:rsidR="007B316E" w:rsidRDefault="007B316E" w:rsidP="001769CA">
            <w:pPr>
              <w:rPr>
                <w:rFonts w:ascii="Calibri" w:hAnsi="Calibri"/>
                <w:sz w:val="20"/>
                <w:lang w:eastAsia="ja-JP"/>
              </w:rPr>
            </w:pPr>
            <w:r>
              <w:rPr>
                <w:rFonts w:ascii="Calibri" w:hAnsi="Calibri"/>
                <w:sz w:val="20"/>
                <w:lang w:eastAsia="ja-JP"/>
              </w:rPr>
              <w:t>Other Environmental</w:t>
            </w:r>
          </w:p>
        </w:tc>
        <w:tc>
          <w:tcPr>
            <w:tcW w:w="1134" w:type="dxa"/>
          </w:tcPr>
          <w:p w14:paraId="06A216E2"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2" w:type="dxa"/>
          </w:tcPr>
          <w:p w14:paraId="135491E7"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76" w:type="dxa"/>
          </w:tcPr>
          <w:p w14:paraId="2E6E0E6E" w14:textId="77777777" w:rsidR="007B316E" w:rsidRDefault="007B316E" w:rsidP="001769CA">
            <w:pPr>
              <w:jc w:val="center"/>
              <w:rPr>
                <w:rFonts w:ascii="Calibri" w:hAnsi="Calibri"/>
                <w:sz w:val="20"/>
                <w:lang w:eastAsia="ja-JP"/>
              </w:rPr>
            </w:pPr>
            <w:r>
              <w:rPr>
                <w:rFonts w:ascii="Calibri" w:hAnsi="Calibri"/>
                <w:sz w:val="20"/>
                <w:lang w:eastAsia="ja-JP"/>
              </w:rPr>
              <w:t>0</w:t>
            </w:r>
          </w:p>
        </w:tc>
        <w:tc>
          <w:tcPr>
            <w:tcW w:w="1743" w:type="dxa"/>
          </w:tcPr>
          <w:p w14:paraId="4F2C5EB0" w14:textId="77777777" w:rsidR="007B316E" w:rsidRDefault="007B316E" w:rsidP="001769CA">
            <w:pPr>
              <w:jc w:val="center"/>
              <w:rPr>
                <w:rFonts w:ascii="Calibri" w:hAnsi="Calibri"/>
                <w:sz w:val="20"/>
                <w:lang w:eastAsia="ja-JP"/>
              </w:rPr>
            </w:pPr>
            <w:r>
              <w:rPr>
                <w:rFonts w:ascii="Calibri" w:hAnsi="Calibri"/>
                <w:sz w:val="20"/>
                <w:lang w:eastAsia="ja-JP"/>
              </w:rPr>
              <w:t>0</w:t>
            </w:r>
          </w:p>
        </w:tc>
        <w:tc>
          <w:tcPr>
            <w:tcW w:w="1158" w:type="dxa"/>
          </w:tcPr>
          <w:p w14:paraId="74395FC6"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6" w:type="dxa"/>
          </w:tcPr>
          <w:p w14:paraId="581C26F7"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4DF7440E" w14:textId="77777777" w:rsidTr="007B316E">
        <w:tc>
          <w:tcPr>
            <w:tcW w:w="2127" w:type="dxa"/>
          </w:tcPr>
          <w:p w14:paraId="332A523B" w14:textId="77777777" w:rsidR="007B316E" w:rsidRDefault="007B316E" w:rsidP="001769CA">
            <w:pPr>
              <w:rPr>
                <w:rFonts w:ascii="Calibri" w:hAnsi="Calibri"/>
                <w:sz w:val="20"/>
                <w:lang w:eastAsia="ja-JP"/>
              </w:rPr>
            </w:pPr>
            <w:r>
              <w:rPr>
                <w:rFonts w:ascii="Calibri" w:hAnsi="Calibri"/>
                <w:sz w:val="20"/>
                <w:lang w:eastAsia="ja-JP"/>
              </w:rPr>
              <w:t>Cost Effectiveness (C)</w:t>
            </w:r>
          </w:p>
        </w:tc>
        <w:tc>
          <w:tcPr>
            <w:tcW w:w="1134" w:type="dxa"/>
          </w:tcPr>
          <w:p w14:paraId="79A164F1"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2" w:type="dxa"/>
          </w:tcPr>
          <w:p w14:paraId="3FAA64A4"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76" w:type="dxa"/>
          </w:tcPr>
          <w:p w14:paraId="06E3C16C"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6A7FF78A"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58" w:type="dxa"/>
          </w:tcPr>
          <w:p w14:paraId="4A4868E3"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6" w:type="dxa"/>
          </w:tcPr>
          <w:p w14:paraId="56EC9AB0" w14:textId="77777777" w:rsidR="007B316E" w:rsidRDefault="007B316E" w:rsidP="001769CA">
            <w:pPr>
              <w:jc w:val="center"/>
              <w:rPr>
                <w:rFonts w:ascii="Calibri" w:hAnsi="Calibri"/>
                <w:sz w:val="20"/>
                <w:lang w:eastAsia="ja-JP"/>
              </w:rPr>
            </w:pPr>
            <w:r>
              <w:rPr>
                <w:rFonts w:ascii="Calibri" w:hAnsi="Calibri"/>
                <w:sz w:val="20"/>
                <w:lang w:eastAsia="ja-JP"/>
              </w:rPr>
              <w:t>0</w:t>
            </w:r>
          </w:p>
        </w:tc>
      </w:tr>
      <w:tr w:rsidR="007B316E" w14:paraId="2A31EAF2" w14:textId="77777777" w:rsidTr="007B316E">
        <w:tc>
          <w:tcPr>
            <w:tcW w:w="2127" w:type="dxa"/>
          </w:tcPr>
          <w:p w14:paraId="21FA9911" w14:textId="77777777" w:rsidR="007B316E" w:rsidRDefault="007B316E" w:rsidP="001769CA">
            <w:pPr>
              <w:rPr>
                <w:rFonts w:ascii="Calibri" w:hAnsi="Calibri"/>
                <w:sz w:val="20"/>
                <w:lang w:eastAsia="ja-JP"/>
              </w:rPr>
            </w:pPr>
            <w:r>
              <w:rPr>
                <w:rFonts w:ascii="Calibri" w:hAnsi="Calibri"/>
                <w:sz w:val="20"/>
                <w:lang w:eastAsia="ja-JP"/>
              </w:rPr>
              <w:t>Cost Effectiveness (O)</w:t>
            </w:r>
          </w:p>
        </w:tc>
        <w:tc>
          <w:tcPr>
            <w:tcW w:w="1134" w:type="dxa"/>
          </w:tcPr>
          <w:p w14:paraId="25CEDBB2"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2" w:type="dxa"/>
          </w:tcPr>
          <w:p w14:paraId="0BCF1030"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76" w:type="dxa"/>
          </w:tcPr>
          <w:p w14:paraId="21ACB0B8"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79044DEB"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58" w:type="dxa"/>
          </w:tcPr>
          <w:p w14:paraId="352E30B9"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6" w:type="dxa"/>
          </w:tcPr>
          <w:p w14:paraId="481008E4"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633B3E9E" w14:textId="77777777" w:rsidTr="007B316E">
        <w:tc>
          <w:tcPr>
            <w:tcW w:w="2127" w:type="dxa"/>
          </w:tcPr>
          <w:p w14:paraId="580F10C4" w14:textId="77777777" w:rsidR="007B316E" w:rsidRDefault="007B316E" w:rsidP="001769CA">
            <w:pPr>
              <w:rPr>
                <w:rFonts w:ascii="Calibri" w:hAnsi="Calibri"/>
                <w:sz w:val="20"/>
                <w:lang w:eastAsia="ja-JP"/>
              </w:rPr>
            </w:pPr>
            <w:r>
              <w:rPr>
                <w:rFonts w:ascii="Calibri" w:hAnsi="Calibri"/>
                <w:sz w:val="20"/>
                <w:lang w:eastAsia="ja-JP"/>
              </w:rPr>
              <w:t>Process Versatility</w:t>
            </w:r>
          </w:p>
        </w:tc>
        <w:tc>
          <w:tcPr>
            <w:tcW w:w="1134" w:type="dxa"/>
          </w:tcPr>
          <w:p w14:paraId="55031AA6"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2" w:type="dxa"/>
          </w:tcPr>
          <w:p w14:paraId="73223E46"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76" w:type="dxa"/>
          </w:tcPr>
          <w:p w14:paraId="03BBF9D2"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5D6BA077"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158" w:type="dxa"/>
          </w:tcPr>
          <w:p w14:paraId="04F7D165"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096" w:type="dxa"/>
          </w:tcPr>
          <w:p w14:paraId="3228D334" w14:textId="77777777" w:rsidR="007B316E" w:rsidRDefault="007B316E" w:rsidP="001769CA">
            <w:pPr>
              <w:jc w:val="center"/>
              <w:rPr>
                <w:rFonts w:ascii="Calibri" w:hAnsi="Calibri"/>
                <w:sz w:val="20"/>
                <w:lang w:eastAsia="ja-JP"/>
              </w:rPr>
            </w:pPr>
            <w:r>
              <w:rPr>
                <w:rFonts w:ascii="Calibri" w:hAnsi="Calibri"/>
                <w:sz w:val="20"/>
                <w:lang w:eastAsia="ja-JP"/>
              </w:rPr>
              <w:t>+</w:t>
            </w:r>
          </w:p>
        </w:tc>
      </w:tr>
    </w:tbl>
    <w:p w14:paraId="72DE0D3C" w14:textId="77777777" w:rsidR="007B316E" w:rsidRPr="007B316E" w:rsidRDefault="007B316E" w:rsidP="007B316E">
      <w:pPr>
        <w:spacing w:line="259" w:lineRule="auto"/>
        <w:jc w:val="center"/>
        <w:rPr>
          <w:i/>
          <w:sz w:val="8"/>
          <w:szCs w:val="8"/>
        </w:rPr>
      </w:pPr>
    </w:p>
    <w:p w14:paraId="4BAEAED5" w14:textId="77777777" w:rsidR="007B316E" w:rsidRPr="001769CA" w:rsidRDefault="007B316E" w:rsidP="007B316E">
      <w:pPr>
        <w:spacing w:line="259" w:lineRule="auto"/>
        <w:jc w:val="center"/>
        <w:rPr>
          <w:b/>
          <w:i/>
        </w:rPr>
      </w:pPr>
      <w:r w:rsidRPr="001769CA">
        <w:rPr>
          <w:b/>
          <w:i/>
        </w:rPr>
        <w:t>Table 11: Indicative assessment of criteria for emerging ODS alternatives in the PU Panel Sector</w:t>
      </w:r>
    </w:p>
    <w:p w14:paraId="0775FAEC" w14:textId="77777777" w:rsidR="007B316E" w:rsidRDefault="007B316E" w:rsidP="007B316E"/>
    <w:p w14:paraId="5427E588" w14:textId="77777777" w:rsidR="007B316E" w:rsidRDefault="007B316E" w:rsidP="007B316E">
      <w:pPr>
        <w:pStyle w:val="Heading4"/>
      </w:pPr>
      <w:r>
        <w:t>Emerging Alternatives</w:t>
      </w:r>
    </w:p>
    <w:p w14:paraId="199D7C48" w14:textId="77777777" w:rsidR="007B316E" w:rsidRPr="00726F05" w:rsidRDefault="007B316E" w:rsidP="007B316E">
      <w:pPr>
        <w:pStyle w:val="Heading4"/>
        <w:rPr>
          <w:sz w:val="8"/>
          <w:szCs w:val="8"/>
        </w:rPr>
      </w:pPr>
    </w:p>
    <w:p w14:paraId="49B5A2E2" w14:textId="77777777" w:rsidR="007B316E" w:rsidRDefault="007B316E" w:rsidP="007B316E">
      <w:pPr>
        <w:jc w:val="both"/>
        <w:rPr>
          <w:lang w:eastAsia="ja-JP"/>
        </w:rPr>
      </w:pPr>
      <w:r>
        <w:rPr>
          <w:lang w:eastAsia="ja-JP"/>
        </w:rPr>
        <w:t xml:space="preserve">Again, the major emerging alternatives are unsaturated HCFCs/HFCs. In view of the relative abundance of commercially available alternatives, these blowing agents are likely to be focused on niche markets in the panel sector. </w:t>
      </w:r>
    </w:p>
    <w:p w14:paraId="583691F0" w14:textId="77777777" w:rsidR="007B316E" w:rsidRDefault="007B316E" w:rsidP="007B316E">
      <w:pPr>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7B316E" w14:paraId="7A3B1018" w14:textId="77777777" w:rsidTr="001769CA">
        <w:trPr>
          <w:cantSplit/>
        </w:trPr>
        <w:tc>
          <w:tcPr>
            <w:tcW w:w="9214" w:type="dxa"/>
            <w:gridSpan w:val="4"/>
            <w:shd w:val="clear" w:color="auto" w:fill="FFFFFF"/>
            <w:vAlign w:val="center"/>
          </w:tcPr>
          <w:p w14:paraId="40899C39" w14:textId="77777777" w:rsidR="007B316E" w:rsidRDefault="007B316E" w:rsidP="001769CA">
            <w:pPr>
              <w:tabs>
                <w:tab w:val="left" w:pos="3544"/>
              </w:tabs>
              <w:spacing w:line="240" w:lineRule="atLeast"/>
              <w:ind w:right="-108"/>
              <w:jc w:val="center"/>
              <w:rPr>
                <w:b/>
                <w:i/>
                <w:sz w:val="20"/>
                <w:lang w:eastAsia="es-ES"/>
              </w:rPr>
            </w:pPr>
            <w:r>
              <w:rPr>
                <w:b/>
                <w:i/>
                <w:sz w:val="20"/>
                <w:lang w:eastAsia="es-ES"/>
              </w:rPr>
              <w:t>HCFC REPLACEMENT OPTIONS FOR PU FOAM FOR BUILDING/ CONSTRUCTION APPLICATIONS</w:t>
            </w:r>
          </w:p>
        </w:tc>
      </w:tr>
      <w:tr w:rsidR="007B316E" w14:paraId="7EF3853F" w14:textId="77777777" w:rsidTr="001769CA">
        <w:trPr>
          <w:cantSplit/>
        </w:trPr>
        <w:tc>
          <w:tcPr>
            <w:tcW w:w="2585" w:type="dxa"/>
            <w:shd w:val="clear" w:color="auto" w:fill="FFFFFF"/>
            <w:vAlign w:val="center"/>
          </w:tcPr>
          <w:p w14:paraId="46E55D4F" w14:textId="77777777" w:rsidR="007B316E" w:rsidRDefault="007B316E" w:rsidP="001769CA">
            <w:pPr>
              <w:tabs>
                <w:tab w:val="left" w:pos="3544"/>
              </w:tabs>
              <w:ind w:right="-75"/>
              <w:jc w:val="center"/>
              <w:rPr>
                <w:b/>
                <w:sz w:val="18"/>
              </w:rPr>
            </w:pPr>
            <w:r>
              <w:rPr>
                <w:b/>
                <w:sz w:val="18"/>
              </w:rPr>
              <w:t>SECTOR/OPTION</w:t>
            </w:r>
          </w:p>
        </w:tc>
        <w:tc>
          <w:tcPr>
            <w:tcW w:w="1979" w:type="dxa"/>
            <w:shd w:val="clear" w:color="auto" w:fill="FFFFFF"/>
            <w:vAlign w:val="center"/>
          </w:tcPr>
          <w:p w14:paraId="68396B73" w14:textId="77777777" w:rsidR="007B316E" w:rsidRDefault="007B316E"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shd w:val="clear" w:color="auto" w:fill="FFFFFF"/>
            <w:vAlign w:val="center"/>
          </w:tcPr>
          <w:p w14:paraId="7DDC0D1D" w14:textId="77777777" w:rsidR="007B316E" w:rsidRDefault="007B316E"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shd w:val="clear" w:color="auto" w:fill="FFFFFF"/>
            <w:vAlign w:val="center"/>
          </w:tcPr>
          <w:p w14:paraId="7DF018C7" w14:textId="77777777" w:rsidR="007B316E" w:rsidRDefault="007B316E" w:rsidP="001769CA">
            <w:pPr>
              <w:keepNext/>
              <w:widowControl w:val="0"/>
              <w:tabs>
                <w:tab w:val="left" w:pos="1080"/>
                <w:tab w:val="left" w:pos="3544"/>
              </w:tabs>
              <w:spacing w:before="120" w:after="120"/>
              <w:jc w:val="center"/>
              <w:outlineLvl w:val="3"/>
              <w:rPr>
                <w:b/>
                <w:i/>
                <w:sz w:val="18"/>
              </w:rPr>
            </w:pPr>
            <w:r>
              <w:rPr>
                <w:b/>
                <w:i/>
                <w:sz w:val="18"/>
              </w:rPr>
              <w:t>COMMENTS</w:t>
            </w:r>
          </w:p>
        </w:tc>
      </w:tr>
      <w:tr w:rsidR="007B316E" w14:paraId="78CEF92F" w14:textId="77777777" w:rsidTr="001769CA">
        <w:trPr>
          <w:cantSplit/>
        </w:trPr>
        <w:tc>
          <w:tcPr>
            <w:tcW w:w="9214" w:type="dxa"/>
            <w:gridSpan w:val="4"/>
            <w:shd w:val="clear" w:color="auto" w:fill="C0C0C0"/>
            <w:vAlign w:val="center"/>
          </w:tcPr>
          <w:p w14:paraId="5F4BC4EF" w14:textId="77777777" w:rsidR="007B316E" w:rsidRDefault="007B316E" w:rsidP="001769CA">
            <w:pPr>
              <w:rPr>
                <w:b/>
                <w:i/>
              </w:rPr>
            </w:pPr>
            <w:r>
              <w:rPr>
                <w:b/>
                <w:i/>
              </w:rPr>
              <w:t>Steel-faced panels – continuously produced</w:t>
            </w:r>
          </w:p>
        </w:tc>
      </w:tr>
      <w:tr w:rsidR="007B316E" w14:paraId="3F597545" w14:textId="77777777" w:rsidTr="001769CA">
        <w:trPr>
          <w:cantSplit/>
        </w:trPr>
        <w:tc>
          <w:tcPr>
            <w:tcW w:w="2585" w:type="dxa"/>
            <w:vAlign w:val="center"/>
          </w:tcPr>
          <w:p w14:paraId="373A83A6" w14:textId="2D785CE4" w:rsidR="007B316E" w:rsidRDefault="007B316E" w:rsidP="001769CA">
            <w:pPr>
              <w:tabs>
                <w:tab w:val="left" w:pos="720"/>
                <w:tab w:val="left" w:pos="1440"/>
                <w:tab w:val="left" w:pos="3544"/>
                <w:tab w:val="left" w:pos="5760"/>
              </w:tabs>
              <w:ind w:right="-72"/>
              <w:rPr>
                <w:sz w:val="18"/>
              </w:rPr>
            </w:pPr>
            <w:r>
              <w:rPr>
                <w:sz w:val="18"/>
              </w:rPr>
              <w:t>Liquid Unsaturated HFC/HCFCs (HFOs</w:t>
            </w:r>
            <w:r w:rsidR="00547D8E">
              <w:rPr>
                <w:sz w:val="18"/>
              </w:rPr>
              <w:t>)</w:t>
            </w:r>
            <w:r>
              <w:rPr>
                <w:sz w:val="18"/>
              </w:rPr>
              <w:t xml:space="preserve"> </w:t>
            </w:r>
          </w:p>
        </w:tc>
        <w:tc>
          <w:tcPr>
            <w:tcW w:w="1979" w:type="dxa"/>
            <w:vAlign w:val="center"/>
          </w:tcPr>
          <w:p w14:paraId="5AD94FA5" w14:textId="77777777" w:rsidR="007B316E" w:rsidRDefault="007B316E" w:rsidP="001769CA">
            <w:pPr>
              <w:keepNext/>
              <w:widowControl w:val="0"/>
              <w:tabs>
                <w:tab w:val="left" w:pos="1080"/>
                <w:tab w:val="left" w:pos="3544"/>
              </w:tabs>
              <w:ind w:right="-576"/>
              <w:outlineLvl w:val="3"/>
              <w:rPr>
                <w:i/>
                <w:sz w:val="16"/>
              </w:rPr>
            </w:pPr>
            <w:r>
              <w:rPr>
                <w:i/>
                <w:sz w:val="18"/>
              </w:rPr>
              <w:t>Low GWP</w:t>
            </w:r>
          </w:p>
        </w:tc>
        <w:tc>
          <w:tcPr>
            <w:tcW w:w="2099" w:type="dxa"/>
            <w:vAlign w:val="center"/>
          </w:tcPr>
          <w:p w14:paraId="5DD14CB3" w14:textId="77777777" w:rsidR="007B316E" w:rsidRDefault="007B316E" w:rsidP="001769CA">
            <w:pPr>
              <w:keepNext/>
              <w:widowControl w:val="0"/>
              <w:tabs>
                <w:tab w:val="left" w:pos="1080"/>
                <w:tab w:val="left" w:pos="3544"/>
              </w:tabs>
              <w:jc w:val="both"/>
              <w:outlineLvl w:val="3"/>
              <w:rPr>
                <w:i/>
                <w:sz w:val="18"/>
              </w:rPr>
            </w:pPr>
            <w:r>
              <w:rPr>
                <w:i/>
                <w:sz w:val="18"/>
              </w:rPr>
              <w:t>High operating costs</w:t>
            </w:r>
          </w:p>
        </w:tc>
        <w:tc>
          <w:tcPr>
            <w:tcW w:w="2551" w:type="dxa"/>
            <w:vAlign w:val="center"/>
          </w:tcPr>
          <w:p w14:paraId="41784E1D" w14:textId="7EF1F218" w:rsidR="007B316E" w:rsidRDefault="008A4575" w:rsidP="008A4575">
            <w:pPr>
              <w:keepNext/>
              <w:widowControl w:val="0"/>
              <w:tabs>
                <w:tab w:val="left" w:pos="1080"/>
                <w:tab w:val="left" w:pos="3544"/>
              </w:tabs>
              <w:ind w:right="-108"/>
              <w:outlineLvl w:val="3"/>
              <w:rPr>
                <w:i/>
                <w:sz w:val="18"/>
              </w:rPr>
            </w:pPr>
            <w:r>
              <w:rPr>
                <w:i/>
                <w:sz w:val="18"/>
              </w:rPr>
              <w:t>Cost sensitivity less significant, but thermal performance improvement also less critical</w:t>
            </w:r>
          </w:p>
        </w:tc>
      </w:tr>
      <w:tr w:rsidR="007B316E" w14:paraId="36CBF09C" w14:textId="77777777" w:rsidTr="001769CA">
        <w:trPr>
          <w:cantSplit/>
        </w:trPr>
        <w:tc>
          <w:tcPr>
            <w:tcW w:w="2585" w:type="dxa"/>
            <w:vAlign w:val="center"/>
          </w:tcPr>
          <w:p w14:paraId="65F49D86" w14:textId="77777777" w:rsidR="007B316E" w:rsidRDefault="007B316E" w:rsidP="001769CA">
            <w:pPr>
              <w:tabs>
                <w:tab w:val="left" w:pos="720"/>
                <w:tab w:val="left" w:pos="1440"/>
                <w:tab w:val="left" w:pos="3544"/>
                <w:tab w:val="left" w:pos="5760"/>
              </w:tabs>
              <w:ind w:right="-75"/>
              <w:jc w:val="both"/>
              <w:rPr>
                <w:sz w:val="18"/>
              </w:rPr>
            </w:pPr>
          </w:p>
        </w:tc>
        <w:tc>
          <w:tcPr>
            <w:tcW w:w="1979" w:type="dxa"/>
            <w:vAlign w:val="center"/>
          </w:tcPr>
          <w:p w14:paraId="744C0620" w14:textId="77777777" w:rsidR="007B316E" w:rsidRDefault="007B316E" w:rsidP="001769CA">
            <w:pPr>
              <w:keepNext/>
              <w:widowControl w:val="0"/>
              <w:tabs>
                <w:tab w:val="left" w:pos="1080"/>
                <w:tab w:val="left" w:pos="3544"/>
              </w:tabs>
              <w:ind w:right="-576"/>
              <w:outlineLvl w:val="3"/>
              <w:rPr>
                <w:i/>
                <w:sz w:val="16"/>
              </w:rPr>
            </w:pPr>
            <w:r>
              <w:rPr>
                <w:i/>
                <w:sz w:val="18"/>
              </w:rPr>
              <w:t>Non-flammable</w:t>
            </w:r>
          </w:p>
        </w:tc>
        <w:tc>
          <w:tcPr>
            <w:tcW w:w="2099" w:type="dxa"/>
            <w:vAlign w:val="center"/>
          </w:tcPr>
          <w:p w14:paraId="239401C6" w14:textId="77777777" w:rsidR="007B316E" w:rsidRDefault="007B316E" w:rsidP="001769CA">
            <w:pPr>
              <w:keepNext/>
              <w:widowControl w:val="0"/>
              <w:tabs>
                <w:tab w:val="left" w:pos="1080"/>
                <w:tab w:val="left" w:pos="3544"/>
              </w:tabs>
              <w:jc w:val="both"/>
              <w:outlineLvl w:val="3"/>
              <w:rPr>
                <w:i/>
                <w:sz w:val="18"/>
              </w:rPr>
            </w:pPr>
          </w:p>
        </w:tc>
        <w:tc>
          <w:tcPr>
            <w:tcW w:w="2551" w:type="dxa"/>
            <w:vAlign w:val="center"/>
          </w:tcPr>
          <w:p w14:paraId="0014BE0F" w14:textId="77777777" w:rsidR="007B316E" w:rsidRDefault="007B316E" w:rsidP="001769CA">
            <w:pPr>
              <w:keepNext/>
              <w:widowControl w:val="0"/>
              <w:tabs>
                <w:tab w:val="left" w:pos="1080"/>
                <w:tab w:val="left" w:pos="3544"/>
              </w:tabs>
              <w:ind w:right="-576"/>
              <w:outlineLvl w:val="3"/>
              <w:rPr>
                <w:i/>
                <w:sz w:val="18"/>
              </w:rPr>
            </w:pPr>
            <w:r>
              <w:rPr>
                <w:i/>
                <w:sz w:val="18"/>
              </w:rPr>
              <w:t>Trials in progress</w:t>
            </w:r>
          </w:p>
        </w:tc>
      </w:tr>
      <w:tr w:rsidR="007B316E" w14:paraId="35025693" w14:textId="77777777" w:rsidTr="001769CA">
        <w:trPr>
          <w:cantSplit/>
        </w:trPr>
        <w:tc>
          <w:tcPr>
            <w:tcW w:w="2585" w:type="dxa"/>
            <w:vAlign w:val="center"/>
          </w:tcPr>
          <w:p w14:paraId="48DA5C20" w14:textId="77777777" w:rsidR="007B316E" w:rsidRDefault="007B316E" w:rsidP="001769CA">
            <w:pPr>
              <w:tabs>
                <w:tab w:val="left" w:pos="720"/>
                <w:tab w:val="left" w:pos="1440"/>
                <w:tab w:val="left" w:pos="3544"/>
                <w:tab w:val="left" w:pos="5760"/>
              </w:tabs>
              <w:ind w:right="-75"/>
              <w:jc w:val="both"/>
              <w:rPr>
                <w:sz w:val="18"/>
              </w:rPr>
            </w:pPr>
          </w:p>
        </w:tc>
        <w:tc>
          <w:tcPr>
            <w:tcW w:w="1979" w:type="dxa"/>
            <w:vAlign w:val="center"/>
          </w:tcPr>
          <w:p w14:paraId="7C0D1BBA" w14:textId="77777777" w:rsidR="007B316E" w:rsidRDefault="007B316E" w:rsidP="001769CA">
            <w:pPr>
              <w:keepNext/>
              <w:widowControl w:val="0"/>
              <w:tabs>
                <w:tab w:val="left" w:pos="1080"/>
                <w:tab w:val="left" w:pos="3544"/>
              </w:tabs>
              <w:ind w:right="-576"/>
              <w:outlineLvl w:val="3"/>
              <w:rPr>
                <w:i/>
                <w:sz w:val="16"/>
              </w:rPr>
            </w:pPr>
          </w:p>
        </w:tc>
        <w:tc>
          <w:tcPr>
            <w:tcW w:w="2099" w:type="dxa"/>
            <w:vAlign w:val="center"/>
          </w:tcPr>
          <w:p w14:paraId="1DEDA230" w14:textId="77777777" w:rsidR="007B316E" w:rsidRDefault="007B316E" w:rsidP="001769CA">
            <w:pPr>
              <w:keepNext/>
              <w:widowControl w:val="0"/>
              <w:tabs>
                <w:tab w:val="left" w:pos="1080"/>
                <w:tab w:val="left" w:pos="3544"/>
              </w:tabs>
              <w:jc w:val="both"/>
              <w:outlineLvl w:val="3"/>
              <w:rPr>
                <w:i/>
                <w:sz w:val="18"/>
              </w:rPr>
            </w:pPr>
          </w:p>
        </w:tc>
        <w:tc>
          <w:tcPr>
            <w:tcW w:w="2551" w:type="dxa"/>
            <w:vAlign w:val="center"/>
          </w:tcPr>
          <w:p w14:paraId="4073C967" w14:textId="77777777" w:rsidR="007B316E" w:rsidRDefault="007B316E" w:rsidP="001769CA">
            <w:pPr>
              <w:keepNext/>
              <w:widowControl w:val="0"/>
              <w:tabs>
                <w:tab w:val="left" w:pos="1080"/>
                <w:tab w:val="left" w:pos="3544"/>
              </w:tabs>
              <w:jc w:val="both"/>
              <w:outlineLvl w:val="3"/>
              <w:rPr>
                <w:i/>
                <w:sz w:val="18"/>
              </w:rPr>
            </w:pPr>
            <w:r>
              <w:rPr>
                <w:i/>
                <w:sz w:val="18"/>
              </w:rPr>
              <w:t>Low incremental capital cost</w:t>
            </w:r>
          </w:p>
        </w:tc>
      </w:tr>
      <w:tr w:rsidR="007B316E" w14:paraId="2630A28F" w14:textId="77777777" w:rsidTr="001769CA">
        <w:trPr>
          <w:cantSplit/>
        </w:trPr>
        <w:tc>
          <w:tcPr>
            <w:tcW w:w="9214" w:type="dxa"/>
            <w:gridSpan w:val="4"/>
            <w:vAlign w:val="center"/>
          </w:tcPr>
          <w:p w14:paraId="35C01D4B" w14:textId="77777777" w:rsidR="007B316E" w:rsidRDefault="007B316E" w:rsidP="001769CA">
            <w:pPr>
              <w:keepNext/>
              <w:widowControl w:val="0"/>
              <w:tabs>
                <w:tab w:val="left" w:pos="1080"/>
                <w:tab w:val="left" w:pos="3544"/>
              </w:tabs>
              <w:spacing w:after="240"/>
              <w:ind w:right="-75"/>
              <w:jc w:val="both"/>
              <w:outlineLvl w:val="3"/>
              <w:rPr>
                <w:i/>
                <w:sz w:val="18"/>
              </w:rPr>
            </w:pPr>
          </w:p>
        </w:tc>
      </w:tr>
      <w:tr w:rsidR="007B316E" w14:paraId="4DB0228A" w14:textId="77777777" w:rsidTr="001769CA">
        <w:trPr>
          <w:cantSplit/>
        </w:trPr>
        <w:tc>
          <w:tcPr>
            <w:tcW w:w="9214" w:type="dxa"/>
            <w:gridSpan w:val="4"/>
            <w:shd w:val="clear" w:color="auto" w:fill="C0C0C0"/>
            <w:vAlign w:val="center"/>
          </w:tcPr>
          <w:p w14:paraId="32D91966" w14:textId="77777777" w:rsidR="007B316E" w:rsidRDefault="007B316E" w:rsidP="001769CA">
            <w:pPr>
              <w:rPr>
                <w:b/>
                <w:i/>
              </w:rPr>
            </w:pPr>
            <w:r>
              <w:rPr>
                <w:b/>
                <w:i/>
              </w:rPr>
              <w:t>Steel-faced  panels – discontinuously produced</w:t>
            </w:r>
          </w:p>
        </w:tc>
      </w:tr>
      <w:tr w:rsidR="007B316E" w14:paraId="3B5963AC" w14:textId="77777777" w:rsidTr="001769CA">
        <w:trPr>
          <w:cantSplit/>
        </w:trPr>
        <w:tc>
          <w:tcPr>
            <w:tcW w:w="2585" w:type="dxa"/>
            <w:vAlign w:val="center"/>
          </w:tcPr>
          <w:p w14:paraId="7929E2B8" w14:textId="58EE8C3A" w:rsidR="007B316E" w:rsidRDefault="007B316E" w:rsidP="001769CA">
            <w:pPr>
              <w:tabs>
                <w:tab w:val="left" w:pos="720"/>
                <w:tab w:val="left" w:pos="1440"/>
                <w:tab w:val="left" w:pos="3544"/>
                <w:tab w:val="left" w:pos="5760"/>
              </w:tabs>
              <w:ind w:right="-72"/>
              <w:rPr>
                <w:sz w:val="18"/>
              </w:rPr>
            </w:pPr>
            <w:r>
              <w:rPr>
                <w:sz w:val="18"/>
              </w:rPr>
              <w:t>Liquid Unsaturated HFC/HCFCs (HFOs</w:t>
            </w:r>
            <w:r w:rsidR="00547D8E">
              <w:rPr>
                <w:sz w:val="18"/>
              </w:rPr>
              <w:t>)</w:t>
            </w:r>
            <w:r>
              <w:rPr>
                <w:sz w:val="18"/>
              </w:rPr>
              <w:t xml:space="preserve"> </w:t>
            </w:r>
          </w:p>
        </w:tc>
        <w:tc>
          <w:tcPr>
            <w:tcW w:w="1979" w:type="dxa"/>
            <w:vAlign w:val="center"/>
          </w:tcPr>
          <w:p w14:paraId="56EB9DD6" w14:textId="77777777" w:rsidR="007B316E" w:rsidRDefault="007B316E" w:rsidP="001769CA">
            <w:pPr>
              <w:keepNext/>
              <w:widowControl w:val="0"/>
              <w:tabs>
                <w:tab w:val="left" w:pos="1080"/>
                <w:tab w:val="left" w:pos="3544"/>
              </w:tabs>
              <w:outlineLvl w:val="3"/>
              <w:rPr>
                <w:i/>
                <w:sz w:val="18"/>
              </w:rPr>
            </w:pPr>
            <w:r>
              <w:rPr>
                <w:i/>
                <w:sz w:val="18"/>
              </w:rPr>
              <w:t>Low GWP</w:t>
            </w:r>
          </w:p>
        </w:tc>
        <w:tc>
          <w:tcPr>
            <w:tcW w:w="2099" w:type="dxa"/>
            <w:vAlign w:val="center"/>
          </w:tcPr>
          <w:p w14:paraId="2812F149" w14:textId="77777777" w:rsidR="007B316E" w:rsidRDefault="007B316E" w:rsidP="001769CA">
            <w:pPr>
              <w:keepNext/>
              <w:widowControl w:val="0"/>
              <w:tabs>
                <w:tab w:val="left" w:pos="1080"/>
                <w:tab w:val="left" w:pos="3544"/>
              </w:tabs>
              <w:jc w:val="both"/>
              <w:outlineLvl w:val="3"/>
              <w:rPr>
                <w:i/>
                <w:sz w:val="18"/>
              </w:rPr>
            </w:pPr>
            <w:r>
              <w:rPr>
                <w:i/>
                <w:sz w:val="18"/>
              </w:rPr>
              <w:t>High operating costs</w:t>
            </w:r>
          </w:p>
        </w:tc>
        <w:tc>
          <w:tcPr>
            <w:tcW w:w="2551" w:type="dxa"/>
            <w:vAlign w:val="center"/>
          </w:tcPr>
          <w:p w14:paraId="79BF4F7D" w14:textId="77777777" w:rsidR="007B316E" w:rsidRDefault="007B316E" w:rsidP="001769CA">
            <w:pPr>
              <w:keepNext/>
              <w:widowControl w:val="0"/>
              <w:tabs>
                <w:tab w:val="left" w:pos="1080"/>
                <w:tab w:val="left" w:pos="3544"/>
              </w:tabs>
              <w:ind w:right="-108"/>
              <w:outlineLvl w:val="3"/>
              <w:rPr>
                <w:i/>
                <w:sz w:val="18"/>
              </w:rPr>
            </w:pPr>
            <w:r>
              <w:rPr>
                <w:i/>
                <w:sz w:val="18"/>
              </w:rPr>
              <w:t>First expected commercialization in 2013</w:t>
            </w:r>
          </w:p>
        </w:tc>
      </w:tr>
      <w:tr w:rsidR="007B316E" w14:paraId="44675788" w14:textId="77777777" w:rsidTr="001769CA">
        <w:trPr>
          <w:cantSplit/>
        </w:trPr>
        <w:tc>
          <w:tcPr>
            <w:tcW w:w="2585" w:type="dxa"/>
            <w:vAlign w:val="center"/>
          </w:tcPr>
          <w:p w14:paraId="6F51A1A9" w14:textId="77777777" w:rsidR="007B316E" w:rsidRDefault="007B316E" w:rsidP="001769CA">
            <w:pPr>
              <w:tabs>
                <w:tab w:val="left" w:pos="720"/>
                <w:tab w:val="left" w:pos="1440"/>
                <w:tab w:val="left" w:pos="3544"/>
                <w:tab w:val="left" w:pos="5760"/>
              </w:tabs>
              <w:ind w:right="-75"/>
              <w:jc w:val="both"/>
              <w:rPr>
                <w:sz w:val="18"/>
              </w:rPr>
            </w:pPr>
          </w:p>
        </w:tc>
        <w:tc>
          <w:tcPr>
            <w:tcW w:w="1979" w:type="dxa"/>
            <w:vAlign w:val="center"/>
          </w:tcPr>
          <w:p w14:paraId="29B3CAFB" w14:textId="77777777" w:rsidR="007B316E" w:rsidRDefault="007B316E" w:rsidP="001769CA">
            <w:pPr>
              <w:keepNext/>
              <w:widowControl w:val="0"/>
              <w:tabs>
                <w:tab w:val="left" w:pos="1080"/>
                <w:tab w:val="left" w:pos="3544"/>
              </w:tabs>
              <w:ind w:right="-576"/>
              <w:outlineLvl w:val="3"/>
              <w:rPr>
                <w:i/>
                <w:sz w:val="18"/>
              </w:rPr>
            </w:pPr>
            <w:r>
              <w:rPr>
                <w:i/>
                <w:sz w:val="18"/>
              </w:rPr>
              <w:t>Non-flammable</w:t>
            </w:r>
          </w:p>
        </w:tc>
        <w:tc>
          <w:tcPr>
            <w:tcW w:w="2099" w:type="dxa"/>
            <w:vAlign w:val="center"/>
          </w:tcPr>
          <w:p w14:paraId="717EB8F3" w14:textId="77777777" w:rsidR="007B316E" w:rsidRDefault="007B316E" w:rsidP="001769CA">
            <w:pPr>
              <w:keepNext/>
              <w:widowControl w:val="0"/>
              <w:tabs>
                <w:tab w:val="left" w:pos="1080"/>
                <w:tab w:val="left" w:pos="3544"/>
              </w:tabs>
              <w:jc w:val="both"/>
              <w:outlineLvl w:val="3"/>
              <w:rPr>
                <w:i/>
                <w:sz w:val="18"/>
              </w:rPr>
            </w:pPr>
          </w:p>
        </w:tc>
        <w:tc>
          <w:tcPr>
            <w:tcW w:w="2551" w:type="dxa"/>
            <w:vAlign w:val="center"/>
          </w:tcPr>
          <w:p w14:paraId="258A4434" w14:textId="77777777" w:rsidR="007B316E" w:rsidRDefault="007B316E" w:rsidP="001769CA">
            <w:pPr>
              <w:keepNext/>
              <w:widowControl w:val="0"/>
              <w:tabs>
                <w:tab w:val="left" w:pos="1080"/>
                <w:tab w:val="left" w:pos="3544"/>
              </w:tabs>
              <w:ind w:right="-108"/>
              <w:outlineLvl w:val="3"/>
              <w:rPr>
                <w:i/>
                <w:sz w:val="18"/>
              </w:rPr>
            </w:pPr>
            <w:r>
              <w:rPr>
                <w:i/>
                <w:sz w:val="18"/>
              </w:rPr>
              <w:t>Trials in progress</w:t>
            </w:r>
          </w:p>
        </w:tc>
      </w:tr>
      <w:tr w:rsidR="007B316E" w14:paraId="59E83F9F" w14:textId="77777777" w:rsidTr="001769CA">
        <w:trPr>
          <w:cantSplit/>
        </w:trPr>
        <w:tc>
          <w:tcPr>
            <w:tcW w:w="2585" w:type="dxa"/>
            <w:vAlign w:val="center"/>
          </w:tcPr>
          <w:p w14:paraId="4B95D1AD" w14:textId="77777777" w:rsidR="007B316E" w:rsidRDefault="007B316E" w:rsidP="001769CA">
            <w:pPr>
              <w:tabs>
                <w:tab w:val="left" w:pos="720"/>
                <w:tab w:val="left" w:pos="1440"/>
                <w:tab w:val="left" w:pos="3544"/>
                <w:tab w:val="left" w:pos="5760"/>
              </w:tabs>
              <w:ind w:right="-75"/>
              <w:jc w:val="both"/>
              <w:rPr>
                <w:sz w:val="18"/>
              </w:rPr>
            </w:pPr>
          </w:p>
        </w:tc>
        <w:tc>
          <w:tcPr>
            <w:tcW w:w="1979" w:type="dxa"/>
            <w:vAlign w:val="center"/>
          </w:tcPr>
          <w:p w14:paraId="4D99A872" w14:textId="77777777" w:rsidR="007B316E" w:rsidRDefault="007B316E" w:rsidP="001769CA">
            <w:pPr>
              <w:keepNext/>
              <w:widowControl w:val="0"/>
              <w:tabs>
                <w:tab w:val="left" w:pos="1080"/>
                <w:tab w:val="left" w:pos="3544"/>
              </w:tabs>
              <w:outlineLvl w:val="3"/>
              <w:rPr>
                <w:i/>
                <w:sz w:val="18"/>
              </w:rPr>
            </w:pPr>
          </w:p>
        </w:tc>
        <w:tc>
          <w:tcPr>
            <w:tcW w:w="2099" w:type="dxa"/>
            <w:vAlign w:val="center"/>
          </w:tcPr>
          <w:p w14:paraId="1AE00C03" w14:textId="77777777" w:rsidR="007B316E" w:rsidRDefault="007B316E" w:rsidP="001769CA">
            <w:pPr>
              <w:keepNext/>
              <w:widowControl w:val="0"/>
              <w:tabs>
                <w:tab w:val="left" w:pos="1080"/>
                <w:tab w:val="left" w:pos="3544"/>
              </w:tabs>
              <w:jc w:val="both"/>
              <w:outlineLvl w:val="3"/>
              <w:rPr>
                <w:i/>
                <w:sz w:val="18"/>
              </w:rPr>
            </w:pPr>
          </w:p>
        </w:tc>
        <w:tc>
          <w:tcPr>
            <w:tcW w:w="2551" w:type="dxa"/>
            <w:vAlign w:val="center"/>
          </w:tcPr>
          <w:p w14:paraId="20398677" w14:textId="77777777" w:rsidR="007B316E" w:rsidRDefault="007B316E" w:rsidP="001769CA">
            <w:pPr>
              <w:keepNext/>
              <w:widowControl w:val="0"/>
              <w:tabs>
                <w:tab w:val="left" w:pos="1080"/>
                <w:tab w:val="left" w:pos="3544"/>
              </w:tabs>
              <w:ind w:right="-108"/>
              <w:outlineLvl w:val="3"/>
              <w:rPr>
                <w:i/>
                <w:sz w:val="18"/>
              </w:rPr>
            </w:pPr>
            <w:r>
              <w:rPr>
                <w:i/>
                <w:sz w:val="18"/>
              </w:rPr>
              <w:t>Low incremental capital cost</w:t>
            </w:r>
          </w:p>
        </w:tc>
      </w:tr>
      <w:tr w:rsidR="007B316E" w14:paraId="7A515AF9" w14:textId="77777777" w:rsidTr="001769CA">
        <w:trPr>
          <w:cantSplit/>
        </w:trPr>
        <w:tc>
          <w:tcPr>
            <w:tcW w:w="9214" w:type="dxa"/>
            <w:gridSpan w:val="4"/>
            <w:vAlign w:val="center"/>
          </w:tcPr>
          <w:p w14:paraId="3DDDA009" w14:textId="77777777" w:rsidR="007B316E" w:rsidRDefault="007B316E" w:rsidP="001769CA">
            <w:pPr>
              <w:keepNext/>
              <w:widowControl w:val="0"/>
              <w:tabs>
                <w:tab w:val="left" w:pos="1080"/>
                <w:tab w:val="left" w:pos="3544"/>
              </w:tabs>
              <w:ind w:right="-75"/>
              <w:jc w:val="both"/>
              <w:outlineLvl w:val="3"/>
              <w:rPr>
                <w:i/>
                <w:sz w:val="18"/>
              </w:rPr>
            </w:pPr>
          </w:p>
        </w:tc>
      </w:tr>
    </w:tbl>
    <w:p w14:paraId="1E1BFD44" w14:textId="77777777" w:rsidR="007B316E" w:rsidRPr="007B316E" w:rsidRDefault="007B316E" w:rsidP="007B316E">
      <w:pPr>
        <w:jc w:val="both"/>
        <w:rPr>
          <w:sz w:val="8"/>
          <w:szCs w:val="8"/>
          <w:lang w:eastAsia="ja-JP"/>
        </w:rPr>
      </w:pPr>
    </w:p>
    <w:p w14:paraId="32CFE874" w14:textId="77777777" w:rsidR="007B316E" w:rsidRPr="001769CA" w:rsidRDefault="007B316E" w:rsidP="007B316E">
      <w:pPr>
        <w:spacing w:line="259" w:lineRule="auto"/>
        <w:jc w:val="center"/>
        <w:rPr>
          <w:b/>
          <w:i/>
        </w:rPr>
      </w:pPr>
      <w:r w:rsidRPr="001769CA">
        <w:rPr>
          <w:b/>
          <w:i/>
        </w:rPr>
        <w:t>Table 12: Emerging alternatives to ODS in the PU Panel Sector</w:t>
      </w:r>
    </w:p>
    <w:p w14:paraId="6D15804E" w14:textId="77777777" w:rsidR="007B316E" w:rsidRPr="001769CA" w:rsidRDefault="007B316E" w:rsidP="007B316E">
      <w:pPr>
        <w:jc w:val="both"/>
        <w:rPr>
          <w:b/>
          <w:lang w:eastAsia="ja-JP"/>
        </w:rPr>
      </w:pPr>
    </w:p>
    <w:p w14:paraId="6CE82C31" w14:textId="77777777" w:rsidR="007B316E" w:rsidRDefault="007B316E" w:rsidP="007B316E">
      <w:pPr>
        <w:jc w:val="both"/>
        <w:rPr>
          <w:lang w:eastAsia="ja-JP"/>
        </w:rPr>
      </w:pPr>
      <w:r>
        <w:rPr>
          <w:lang w:eastAsia="ja-JP"/>
        </w:rPr>
        <w:t>In principle, unsaturated HCFCs/HFCs offer opportunities for improving thermal performance while retaining a low-GWP blowing agent. For reasons stated in respect of other foam sectors, the cost of these blowing agents is still uncertain and could prevent reliance on them in isolation. That said</w:t>
      </w:r>
      <w:proofErr w:type="gramStart"/>
      <w:r>
        <w:rPr>
          <w:lang w:eastAsia="ja-JP"/>
        </w:rPr>
        <w:t>,</w:t>
      </w:r>
      <w:proofErr w:type="gramEnd"/>
      <w:r>
        <w:rPr>
          <w:lang w:eastAsia="ja-JP"/>
        </w:rPr>
        <w:t xml:space="preserve"> the added value of a panel is certainly greater than that of </w:t>
      </w:r>
      <w:proofErr w:type="spellStart"/>
      <w:r>
        <w:rPr>
          <w:lang w:eastAsia="ja-JP"/>
        </w:rPr>
        <w:t>boardstock</w:t>
      </w:r>
      <w:proofErr w:type="spellEnd"/>
      <w:r>
        <w:rPr>
          <w:lang w:eastAsia="ja-JP"/>
        </w:rPr>
        <w:t>, so the ability to adsorb cost could be greater in this sector. Nevertheless, the most likely approach will be the adoption of blends with hydrocarbons provided that an incremental improvement in thermal performance can be achieved. This will be particularly important for the thermally sensitive applications such as refrigerated transport. The proof of performance is at a lower level in this sector than elsewhere and this is reflected in Table 13:</w:t>
      </w:r>
    </w:p>
    <w:p w14:paraId="21F43762" w14:textId="77777777" w:rsidR="007B316E" w:rsidRDefault="007B316E" w:rsidP="007B316E">
      <w:pPr>
        <w:jc w:val="both"/>
        <w:rPr>
          <w:lang w:eastAsia="ja-JP"/>
        </w:rPr>
      </w:pPr>
      <w:r>
        <w:rPr>
          <w:lang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514"/>
        <w:gridCol w:w="2090"/>
        <w:gridCol w:w="1743"/>
      </w:tblGrid>
      <w:tr w:rsidR="007B316E" w14:paraId="10E49440" w14:textId="77777777" w:rsidTr="007B316E">
        <w:trPr>
          <w:jc w:val="center"/>
        </w:trPr>
        <w:tc>
          <w:tcPr>
            <w:tcW w:w="2067" w:type="dxa"/>
            <w:shd w:val="clear" w:color="auto" w:fill="D9D9D9" w:themeFill="background1" w:themeFillShade="D9"/>
          </w:tcPr>
          <w:p w14:paraId="055F1C4D" w14:textId="77777777" w:rsidR="007B316E" w:rsidRDefault="007B316E" w:rsidP="001769CA">
            <w:pPr>
              <w:rPr>
                <w:lang w:eastAsia="ja-JP"/>
              </w:rPr>
            </w:pPr>
          </w:p>
        </w:tc>
        <w:tc>
          <w:tcPr>
            <w:tcW w:w="1514" w:type="dxa"/>
            <w:shd w:val="clear" w:color="auto" w:fill="D9D9D9" w:themeFill="background1" w:themeFillShade="D9"/>
            <w:vAlign w:val="center"/>
          </w:tcPr>
          <w:p w14:paraId="2CCD640E" w14:textId="77777777" w:rsidR="007B316E" w:rsidRDefault="007B316E" w:rsidP="001769CA">
            <w:pPr>
              <w:jc w:val="center"/>
              <w:rPr>
                <w:rFonts w:ascii="Calibri" w:hAnsi="Calibri"/>
                <w:b/>
                <w:i/>
                <w:sz w:val="20"/>
                <w:lang w:eastAsia="ja-JP"/>
              </w:rPr>
            </w:pPr>
            <w:r>
              <w:rPr>
                <w:rFonts w:ascii="Calibri" w:hAnsi="Calibri"/>
                <w:b/>
                <w:i/>
                <w:sz w:val="20"/>
                <w:lang w:eastAsia="ja-JP"/>
              </w:rPr>
              <w:t>HFO-1234ze(E)</w:t>
            </w:r>
          </w:p>
        </w:tc>
        <w:tc>
          <w:tcPr>
            <w:tcW w:w="2090" w:type="dxa"/>
            <w:shd w:val="clear" w:color="auto" w:fill="D9D9D9" w:themeFill="background1" w:themeFillShade="D9"/>
            <w:vAlign w:val="center"/>
          </w:tcPr>
          <w:p w14:paraId="5E843BC2" w14:textId="77777777" w:rsidR="007B316E" w:rsidRDefault="007B316E" w:rsidP="001769CA">
            <w:pPr>
              <w:jc w:val="center"/>
              <w:rPr>
                <w:rFonts w:ascii="Calibri" w:hAnsi="Calibri"/>
                <w:b/>
                <w:i/>
                <w:sz w:val="20"/>
                <w:lang w:eastAsia="ja-JP"/>
              </w:rPr>
            </w:pPr>
            <w:r>
              <w:rPr>
                <w:rFonts w:ascii="Calibri" w:hAnsi="Calibri"/>
                <w:b/>
                <w:i/>
                <w:sz w:val="20"/>
                <w:lang w:eastAsia="ja-JP"/>
              </w:rPr>
              <w:t>HFO-1336mzzm(Z)</w:t>
            </w:r>
          </w:p>
        </w:tc>
        <w:tc>
          <w:tcPr>
            <w:tcW w:w="1743" w:type="dxa"/>
            <w:shd w:val="clear" w:color="auto" w:fill="D9D9D9" w:themeFill="background1" w:themeFillShade="D9"/>
            <w:vAlign w:val="center"/>
          </w:tcPr>
          <w:p w14:paraId="11F5770B" w14:textId="77777777" w:rsidR="007B316E" w:rsidRDefault="007B316E" w:rsidP="001769CA">
            <w:pPr>
              <w:jc w:val="center"/>
              <w:rPr>
                <w:rFonts w:ascii="Calibri" w:hAnsi="Calibri"/>
                <w:b/>
                <w:i/>
                <w:sz w:val="20"/>
                <w:lang w:eastAsia="ja-JP"/>
              </w:rPr>
            </w:pPr>
            <w:r>
              <w:rPr>
                <w:rFonts w:ascii="Calibri" w:hAnsi="Calibri"/>
                <w:b/>
                <w:i/>
                <w:sz w:val="20"/>
                <w:lang w:eastAsia="ja-JP"/>
              </w:rPr>
              <w:t>HFO-1233zd(E)</w:t>
            </w:r>
          </w:p>
        </w:tc>
      </w:tr>
      <w:tr w:rsidR="007B316E" w14:paraId="280D7C4E" w14:textId="77777777" w:rsidTr="001769CA">
        <w:trPr>
          <w:trHeight w:hRule="exact" w:val="295"/>
          <w:jc w:val="center"/>
        </w:trPr>
        <w:tc>
          <w:tcPr>
            <w:tcW w:w="2067" w:type="dxa"/>
          </w:tcPr>
          <w:p w14:paraId="2C181805" w14:textId="77777777" w:rsidR="007B316E" w:rsidRDefault="007B316E" w:rsidP="001769CA">
            <w:pPr>
              <w:rPr>
                <w:rFonts w:ascii="Calibri" w:hAnsi="Calibri"/>
                <w:sz w:val="20"/>
                <w:lang w:eastAsia="ja-JP"/>
              </w:rPr>
            </w:pPr>
          </w:p>
        </w:tc>
        <w:tc>
          <w:tcPr>
            <w:tcW w:w="1514" w:type="dxa"/>
            <w:vAlign w:val="center"/>
          </w:tcPr>
          <w:p w14:paraId="335E3735" w14:textId="77777777" w:rsidR="007B316E" w:rsidRDefault="00390843" w:rsidP="001769CA">
            <w:pPr>
              <w:jc w:val="center"/>
              <w:rPr>
                <w:rFonts w:ascii="Calibri" w:hAnsi="Calibri"/>
                <w:i/>
                <w:sz w:val="20"/>
                <w:lang w:eastAsia="ja-JP"/>
              </w:rPr>
            </w:pPr>
            <w:r>
              <w:rPr>
                <w:rFonts w:ascii="Calibri" w:hAnsi="Calibri"/>
                <w:i/>
                <w:sz w:val="20"/>
                <w:lang w:eastAsia="ja-JP"/>
              </w:rPr>
              <w:t>G</w:t>
            </w:r>
            <w:r w:rsidR="007B316E">
              <w:rPr>
                <w:rFonts w:ascii="Calibri" w:hAnsi="Calibri"/>
                <w:i/>
                <w:sz w:val="20"/>
                <w:lang w:eastAsia="ja-JP"/>
              </w:rPr>
              <w:t>aseous</w:t>
            </w:r>
          </w:p>
        </w:tc>
        <w:tc>
          <w:tcPr>
            <w:tcW w:w="2090" w:type="dxa"/>
            <w:vAlign w:val="center"/>
          </w:tcPr>
          <w:p w14:paraId="4078B95B" w14:textId="77777777" w:rsidR="007B316E" w:rsidRDefault="007B316E" w:rsidP="001769CA">
            <w:pPr>
              <w:jc w:val="center"/>
              <w:rPr>
                <w:rFonts w:ascii="Calibri" w:hAnsi="Calibri"/>
                <w:i/>
                <w:sz w:val="20"/>
                <w:lang w:eastAsia="ja-JP"/>
              </w:rPr>
            </w:pPr>
            <w:r>
              <w:rPr>
                <w:rFonts w:ascii="Calibri" w:hAnsi="Calibri"/>
                <w:i/>
                <w:sz w:val="20"/>
                <w:lang w:eastAsia="ja-JP"/>
              </w:rPr>
              <w:t>liquid</w:t>
            </w:r>
          </w:p>
        </w:tc>
        <w:tc>
          <w:tcPr>
            <w:tcW w:w="1743" w:type="dxa"/>
            <w:vAlign w:val="center"/>
          </w:tcPr>
          <w:p w14:paraId="726BAE60" w14:textId="77777777" w:rsidR="007B316E" w:rsidRDefault="008927DA" w:rsidP="001769CA">
            <w:pPr>
              <w:jc w:val="center"/>
              <w:rPr>
                <w:rFonts w:ascii="Calibri" w:hAnsi="Calibri"/>
                <w:i/>
                <w:sz w:val="20"/>
                <w:lang w:eastAsia="ja-JP"/>
              </w:rPr>
            </w:pPr>
            <w:r>
              <w:rPr>
                <w:rFonts w:ascii="Calibri" w:hAnsi="Calibri"/>
                <w:i/>
                <w:sz w:val="20"/>
                <w:lang w:eastAsia="ja-JP"/>
              </w:rPr>
              <w:t>L</w:t>
            </w:r>
            <w:r w:rsidR="007B316E">
              <w:rPr>
                <w:rFonts w:ascii="Calibri" w:hAnsi="Calibri"/>
                <w:i/>
                <w:sz w:val="20"/>
                <w:lang w:eastAsia="ja-JP"/>
              </w:rPr>
              <w:t>iquid</w:t>
            </w:r>
          </w:p>
        </w:tc>
      </w:tr>
      <w:tr w:rsidR="007B316E" w14:paraId="7B31EED1" w14:textId="77777777" w:rsidTr="001769CA">
        <w:trPr>
          <w:jc w:val="center"/>
        </w:trPr>
        <w:tc>
          <w:tcPr>
            <w:tcW w:w="2067" w:type="dxa"/>
          </w:tcPr>
          <w:p w14:paraId="286697AD" w14:textId="77777777" w:rsidR="007B316E" w:rsidRDefault="007B316E" w:rsidP="001769CA">
            <w:pPr>
              <w:rPr>
                <w:rFonts w:ascii="Calibri" w:hAnsi="Calibri"/>
                <w:sz w:val="20"/>
                <w:lang w:eastAsia="ja-JP"/>
              </w:rPr>
            </w:pPr>
            <w:r>
              <w:rPr>
                <w:rFonts w:ascii="Calibri" w:hAnsi="Calibri"/>
                <w:sz w:val="20"/>
                <w:lang w:eastAsia="ja-JP"/>
              </w:rPr>
              <w:t>Proof of performance</w:t>
            </w:r>
          </w:p>
        </w:tc>
        <w:tc>
          <w:tcPr>
            <w:tcW w:w="1514" w:type="dxa"/>
          </w:tcPr>
          <w:p w14:paraId="02D58B70" w14:textId="77777777" w:rsidR="007B316E" w:rsidRDefault="007B316E" w:rsidP="001769CA">
            <w:pPr>
              <w:jc w:val="center"/>
              <w:rPr>
                <w:rFonts w:ascii="Calibri" w:hAnsi="Calibri"/>
                <w:sz w:val="20"/>
                <w:lang w:eastAsia="ja-JP"/>
              </w:rPr>
            </w:pPr>
            <w:r>
              <w:rPr>
                <w:rFonts w:ascii="Calibri" w:hAnsi="Calibri"/>
                <w:sz w:val="20"/>
                <w:lang w:eastAsia="ja-JP"/>
              </w:rPr>
              <w:t>0</w:t>
            </w:r>
          </w:p>
        </w:tc>
        <w:tc>
          <w:tcPr>
            <w:tcW w:w="2090" w:type="dxa"/>
          </w:tcPr>
          <w:p w14:paraId="5552F505"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6A8E9689"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0F29E6B7" w14:textId="77777777" w:rsidTr="001769CA">
        <w:trPr>
          <w:jc w:val="center"/>
        </w:trPr>
        <w:tc>
          <w:tcPr>
            <w:tcW w:w="2067" w:type="dxa"/>
          </w:tcPr>
          <w:p w14:paraId="45A3BB17" w14:textId="77777777" w:rsidR="007B316E" w:rsidRDefault="007B316E" w:rsidP="001769CA">
            <w:pPr>
              <w:rPr>
                <w:rFonts w:ascii="Calibri" w:hAnsi="Calibri"/>
                <w:sz w:val="20"/>
                <w:lang w:eastAsia="ja-JP"/>
              </w:rPr>
            </w:pPr>
            <w:r>
              <w:rPr>
                <w:rFonts w:ascii="Calibri" w:hAnsi="Calibri"/>
                <w:sz w:val="20"/>
                <w:lang w:eastAsia="ja-JP"/>
              </w:rPr>
              <w:t>Flammability</w:t>
            </w:r>
          </w:p>
        </w:tc>
        <w:tc>
          <w:tcPr>
            <w:tcW w:w="1514" w:type="dxa"/>
          </w:tcPr>
          <w:p w14:paraId="354D423D"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6FF2F2AD"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5654D2DA"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7A73D2D8" w14:textId="77777777" w:rsidTr="001769CA">
        <w:trPr>
          <w:jc w:val="center"/>
        </w:trPr>
        <w:tc>
          <w:tcPr>
            <w:tcW w:w="2067" w:type="dxa"/>
          </w:tcPr>
          <w:p w14:paraId="5584B513" w14:textId="77777777" w:rsidR="007B316E" w:rsidRDefault="007B316E" w:rsidP="001769CA">
            <w:pPr>
              <w:rPr>
                <w:rFonts w:ascii="Calibri" w:hAnsi="Calibri"/>
                <w:sz w:val="20"/>
                <w:lang w:eastAsia="ja-JP"/>
              </w:rPr>
            </w:pPr>
            <w:r>
              <w:rPr>
                <w:rFonts w:ascii="Calibri" w:hAnsi="Calibri"/>
                <w:sz w:val="20"/>
                <w:lang w:eastAsia="ja-JP"/>
              </w:rPr>
              <w:t>Other Health &amp; Safety</w:t>
            </w:r>
          </w:p>
        </w:tc>
        <w:tc>
          <w:tcPr>
            <w:tcW w:w="1514" w:type="dxa"/>
          </w:tcPr>
          <w:p w14:paraId="5F237563"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6E5B4ED9"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3FECCCA6"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530781C8" w14:textId="77777777" w:rsidTr="001769CA">
        <w:trPr>
          <w:jc w:val="center"/>
        </w:trPr>
        <w:tc>
          <w:tcPr>
            <w:tcW w:w="2067" w:type="dxa"/>
          </w:tcPr>
          <w:p w14:paraId="486CA0CE" w14:textId="77777777" w:rsidR="007B316E" w:rsidRDefault="007B316E" w:rsidP="001769CA">
            <w:pPr>
              <w:rPr>
                <w:rFonts w:ascii="Calibri" w:hAnsi="Calibri"/>
                <w:sz w:val="20"/>
                <w:lang w:eastAsia="ja-JP"/>
              </w:rPr>
            </w:pPr>
            <w:r>
              <w:rPr>
                <w:rFonts w:ascii="Calibri" w:hAnsi="Calibri"/>
                <w:sz w:val="20"/>
                <w:lang w:eastAsia="ja-JP"/>
              </w:rPr>
              <w:t>Global Warming</w:t>
            </w:r>
          </w:p>
        </w:tc>
        <w:tc>
          <w:tcPr>
            <w:tcW w:w="1514" w:type="dxa"/>
          </w:tcPr>
          <w:p w14:paraId="0A61CDE4"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65244924"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3C16D573"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1749BE57" w14:textId="77777777" w:rsidTr="001769CA">
        <w:trPr>
          <w:jc w:val="center"/>
        </w:trPr>
        <w:tc>
          <w:tcPr>
            <w:tcW w:w="2067" w:type="dxa"/>
          </w:tcPr>
          <w:p w14:paraId="620AA9CD" w14:textId="77777777" w:rsidR="007B316E" w:rsidRDefault="007B316E" w:rsidP="001769CA">
            <w:pPr>
              <w:rPr>
                <w:rFonts w:ascii="Calibri" w:hAnsi="Calibri"/>
                <w:sz w:val="20"/>
                <w:lang w:eastAsia="ja-JP"/>
              </w:rPr>
            </w:pPr>
            <w:r>
              <w:rPr>
                <w:rFonts w:ascii="Calibri" w:hAnsi="Calibri"/>
                <w:sz w:val="20"/>
                <w:lang w:eastAsia="ja-JP"/>
              </w:rPr>
              <w:t>Other Environmental</w:t>
            </w:r>
          </w:p>
        </w:tc>
        <w:tc>
          <w:tcPr>
            <w:tcW w:w="1514" w:type="dxa"/>
          </w:tcPr>
          <w:p w14:paraId="4E20F6A3"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61A2AAE6"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388311AC"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34703201" w14:textId="77777777" w:rsidTr="001769CA">
        <w:trPr>
          <w:jc w:val="center"/>
        </w:trPr>
        <w:tc>
          <w:tcPr>
            <w:tcW w:w="2067" w:type="dxa"/>
          </w:tcPr>
          <w:p w14:paraId="0317D4B2" w14:textId="77777777" w:rsidR="007B316E" w:rsidRDefault="007B316E" w:rsidP="001769CA">
            <w:pPr>
              <w:rPr>
                <w:rFonts w:ascii="Calibri" w:hAnsi="Calibri"/>
                <w:sz w:val="20"/>
                <w:lang w:eastAsia="ja-JP"/>
              </w:rPr>
            </w:pPr>
            <w:r>
              <w:rPr>
                <w:rFonts w:ascii="Calibri" w:hAnsi="Calibri"/>
                <w:sz w:val="20"/>
                <w:lang w:eastAsia="ja-JP"/>
              </w:rPr>
              <w:t>Cost Effectiveness (C)</w:t>
            </w:r>
          </w:p>
        </w:tc>
        <w:tc>
          <w:tcPr>
            <w:tcW w:w="1514" w:type="dxa"/>
          </w:tcPr>
          <w:p w14:paraId="44474FE9"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7ED16DAB"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436929AA"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40A7B6E2" w14:textId="77777777" w:rsidTr="001769CA">
        <w:trPr>
          <w:jc w:val="center"/>
        </w:trPr>
        <w:tc>
          <w:tcPr>
            <w:tcW w:w="2067" w:type="dxa"/>
          </w:tcPr>
          <w:p w14:paraId="4F3B22A2" w14:textId="77777777" w:rsidR="007B316E" w:rsidRDefault="007B316E" w:rsidP="001769CA">
            <w:pPr>
              <w:rPr>
                <w:rFonts w:ascii="Calibri" w:hAnsi="Calibri"/>
                <w:sz w:val="20"/>
                <w:lang w:eastAsia="ja-JP"/>
              </w:rPr>
            </w:pPr>
            <w:r>
              <w:rPr>
                <w:rFonts w:ascii="Calibri" w:hAnsi="Calibri"/>
                <w:sz w:val="20"/>
                <w:lang w:eastAsia="ja-JP"/>
              </w:rPr>
              <w:t>Cost Effectiveness (O)</w:t>
            </w:r>
          </w:p>
        </w:tc>
        <w:tc>
          <w:tcPr>
            <w:tcW w:w="1514" w:type="dxa"/>
          </w:tcPr>
          <w:p w14:paraId="2AAC8BA0"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38754CBF"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070E0A24" w14:textId="77777777" w:rsidR="007B316E" w:rsidRDefault="007B316E" w:rsidP="001769CA">
            <w:pPr>
              <w:jc w:val="center"/>
              <w:rPr>
                <w:rFonts w:ascii="Calibri" w:hAnsi="Calibri"/>
                <w:sz w:val="20"/>
                <w:lang w:eastAsia="ja-JP"/>
              </w:rPr>
            </w:pPr>
            <w:r>
              <w:rPr>
                <w:rFonts w:ascii="Calibri" w:hAnsi="Calibri"/>
                <w:sz w:val="20"/>
                <w:lang w:eastAsia="ja-JP"/>
              </w:rPr>
              <w:t>--</w:t>
            </w:r>
          </w:p>
        </w:tc>
      </w:tr>
      <w:tr w:rsidR="007B316E" w14:paraId="64952433" w14:textId="77777777" w:rsidTr="001769CA">
        <w:trPr>
          <w:jc w:val="center"/>
        </w:trPr>
        <w:tc>
          <w:tcPr>
            <w:tcW w:w="2067" w:type="dxa"/>
          </w:tcPr>
          <w:p w14:paraId="7D1FD197" w14:textId="77777777" w:rsidR="007B316E" w:rsidRDefault="007B316E" w:rsidP="001769CA">
            <w:pPr>
              <w:rPr>
                <w:rFonts w:ascii="Calibri" w:hAnsi="Calibri"/>
                <w:sz w:val="20"/>
                <w:lang w:eastAsia="ja-JP"/>
              </w:rPr>
            </w:pPr>
            <w:r>
              <w:rPr>
                <w:rFonts w:ascii="Calibri" w:hAnsi="Calibri"/>
                <w:sz w:val="20"/>
                <w:lang w:eastAsia="ja-JP"/>
              </w:rPr>
              <w:t>Process Versatility</w:t>
            </w:r>
          </w:p>
        </w:tc>
        <w:tc>
          <w:tcPr>
            <w:tcW w:w="1514" w:type="dxa"/>
          </w:tcPr>
          <w:p w14:paraId="48B897B9"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2090" w:type="dxa"/>
          </w:tcPr>
          <w:p w14:paraId="6CA17670" w14:textId="77777777" w:rsidR="007B316E" w:rsidRDefault="007B316E" w:rsidP="001769CA">
            <w:pPr>
              <w:jc w:val="center"/>
              <w:rPr>
                <w:rFonts w:ascii="Calibri" w:hAnsi="Calibri"/>
                <w:sz w:val="20"/>
                <w:lang w:eastAsia="ja-JP"/>
              </w:rPr>
            </w:pPr>
            <w:r>
              <w:rPr>
                <w:rFonts w:ascii="Calibri" w:hAnsi="Calibri"/>
                <w:sz w:val="20"/>
                <w:lang w:eastAsia="ja-JP"/>
              </w:rPr>
              <w:t>+</w:t>
            </w:r>
          </w:p>
        </w:tc>
        <w:tc>
          <w:tcPr>
            <w:tcW w:w="1743" w:type="dxa"/>
          </w:tcPr>
          <w:p w14:paraId="0949858D" w14:textId="77777777" w:rsidR="007B316E" w:rsidRDefault="007B316E" w:rsidP="001769CA">
            <w:pPr>
              <w:jc w:val="center"/>
              <w:rPr>
                <w:rFonts w:ascii="Calibri" w:hAnsi="Calibri"/>
                <w:sz w:val="20"/>
                <w:lang w:eastAsia="ja-JP"/>
              </w:rPr>
            </w:pPr>
            <w:r>
              <w:rPr>
                <w:rFonts w:ascii="Calibri" w:hAnsi="Calibri"/>
                <w:sz w:val="20"/>
                <w:lang w:eastAsia="ja-JP"/>
              </w:rPr>
              <w:t>+</w:t>
            </w:r>
          </w:p>
        </w:tc>
      </w:tr>
    </w:tbl>
    <w:p w14:paraId="489A9849" w14:textId="77777777" w:rsidR="00390843" w:rsidRPr="00390843" w:rsidRDefault="00390843" w:rsidP="00390843">
      <w:pPr>
        <w:spacing w:line="259" w:lineRule="auto"/>
        <w:rPr>
          <w:i/>
          <w:sz w:val="8"/>
          <w:szCs w:val="8"/>
        </w:rPr>
      </w:pPr>
    </w:p>
    <w:p w14:paraId="6DD1079A" w14:textId="77777777" w:rsidR="00390843" w:rsidRPr="001769CA" w:rsidRDefault="00390843" w:rsidP="00390843">
      <w:pPr>
        <w:spacing w:after="160" w:line="259" w:lineRule="auto"/>
        <w:jc w:val="center"/>
        <w:rPr>
          <w:b/>
          <w:i/>
        </w:rPr>
      </w:pPr>
      <w:r w:rsidRPr="001769CA">
        <w:rPr>
          <w:b/>
          <w:i/>
        </w:rPr>
        <w:t>Table 13: Indicative assessment of criteria for emerging ODS alternatives in the PU Panel Sector</w:t>
      </w:r>
    </w:p>
    <w:p w14:paraId="071D8C0B" w14:textId="77777777" w:rsidR="00390843" w:rsidRDefault="00390843" w:rsidP="00390843">
      <w:pPr>
        <w:jc w:val="both"/>
        <w:rPr>
          <w:lang w:eastAsia="ja-JP"/>
        </w:rPr>
      </w:pPr>
      <w:r>
        <w:rPr>
          <w:lang w:eastAsia="ja-JP"/>
        </w:rPr>
        <w:t xml:space="preserve">The major barriers to the substitution of alternatives in the panel sector are not primarily related to the technologies available but to the wide range of enterprises involved (both in size and location) and the broad spectrum of applications served. Versatility is a key necessity for any technology in the discontinuous sector, but no single solution has emerged as being as versatile as the ozone depleting substances replaced. This may act as a deterrent to early phase-out of the remaining HCFC use in Article 5 enterprises where local requirements need to be matched.     </w:t>
      </w:r>
    </w:p>
    <w:p w14:paraId="13924775" w14:textId="77777777" w:rsidR="00390843" w:rsidRDefault="00390843" w:rsidP="00050445">
      <w:pPr>
        <w:pStyle w:val="Heading4"/>
      </w:pPr>
    </w:p>
    <w:p w14:paraId="6DCC1597" w14:textId="77777777" w:rsidR="00050445" w:rsidRPr="00164DBE" w:rsidRDefault="00050445" w:rsidP="00050445">
      <w:pPr>
        <w:pStyle w:val="Heading4"/>
      </w:pPr>
      <w:r>
        <w:t>Non-Article 5 Parties</w:t>
      </w:r>
    </w:p>
    <w:p w14:paraId="496523A3" w14:textId="77777777" w:rsidR="00050445" w:rsidRPr="00050445" w:rsidRDefault="00050445" w:rsidP="00050445">
      <w:pPr>
        <w:jc w:val="both"/>
        <w:rPr>
          <w:sz w:val="8"/>
          <w:szCs w:val="8"/>
          <w:lang w:eastAsia="ja-JP"/>
        </w:rPr>
      </w:pPr>
    </w:p>
    <w:p w14:paraId="4814FFB4" w14:textId="77777777" w:rsidR="00050445" w:rsidRDefault="00050445" w:rsidP="00050445">
      <w:pPr>
        <w:jc w:val="both"/>
        <w:rPr>
          <w:lang w:eastAsia="ja-JP"/>
        </w:rPr>
      </w:pPr>
      <w:r>
        <w:rPr>
          <w:lang w:eastAsia="ja-JP"/>
        </w:rPr>
        <w:t xml:space="preserve">For the continuous panel sector, hydrocarbons have also been the blowing agent of choice except where fire performance requirements have dictated otherwise. In these limited instances, high-GWP HFCs have been adopted. Increasingly the industry has found ways of optimising formulations to improve fire performance while still using hydrocarbons and the use of saturated HFCs has steadily decreased over the last five years. This is reflected in the Business-as-Usual scenario used for this report. </w:t>
      </w:r>
    </w:p>
    <w:p w14:paraId="68A26DE9" w14:textId="77777777" w:rsidR="00050445" w:rsidRDefault="00050445" w:rsidP="00050445">
      <w:pPr>
        <w:rPr>
          <w:lang w:eastAsia="ja-JP"/>
        </w:rPr>
      </w:pPr>
    </w:p>
    <w:p w14:paraId="3A5F7576" w14:textId="77777777" w:rsidR="00050445" w:rsidRDefault="00050445" w:rsidP="00050445">
      <w:pPr>
        <w:jc w:val="both"/>
        <w:rPr>
          <w:lang w:eastAsia="ja-JP"/>
        </w:rPr>
      </w:pPr>
      <w:r>
        <w:rPr>
          <w:lang w:eastAsia="ja-JP"/>
        </w:rPr>
        <w:t xml:space="preserve">For discontinuous panel manufacture, there has been greater reliance on high-GWP HFCs as replacements for HCFCs in order to overcome flammability concerns during processing. Nevertheless, similar trends to those with continuous panels are now being observed as manufacturers become more skilled and experienced in managing hydrocarbons in production situations. </w:t>
      </w:r>
    </w:p>
    <w:p w14:paraId="7B2A0655" w14:textId="77777777" w:rsidR="00050445" w:rsidRDefault="00050445" w:rsidP="00050445">
      <w:pPr>
        <w:jc w:val="both"/>
        <w:rPr>
          <w:lang w:eastAsia="ja-JP"/>
        </w:rPr>
      </w:pPr>
    </w:p>
    <w:p w14:paraId="1641DC40" w14:textId="77777777" w:rsidR="00050445" w:rsidRPr="00164DBE" w:rsidRDefault="00050445" w:rsidP="00050445">
      <w:pPr>
        <w:pStyle w:val="Heading4"/>
      </w:pPr>
      <w:r>
        <w:t>Article 5 Parties</w:t>
      </w:r>
    </w:p>
    <w:p w14:paraId="77AB2FFB" w14:textId="77777777" w:rsidR="00050445" w:rsidRPr="00050445" w:rsidRDefault="00050445" w:rsidP="00050445">
      <w:pPr>
        <w:rPr>
          <w:sz w:val="8"/>
          <w:szCs w:val="8"/>
        </w:rPr>
      </w:pPr>
    </w:p>
    <w:p w14:paraId="7D5C9AE1" w14:textId="77777777" w:rsidR="00050445" w:rsidRDefault="00050445" w:rsidP="00050445">
      <w:pPr>
        <w:jc w:val="both"/>
      </w:pPr>
      <w:r>
        <w:t xml:space="preserve">There is a greater preponderance of discontinuous production in Article 5 regions because of the lack of concentrated demand to support continuous production facilities. This has ensured continued use of HCFCs in many small discontinuous panel manufacturing uses. Although oxygenated hydrocarbons (HCOs) such as methyl </w:t>
      </w:r>
      <w:proofErr w:type="spellStart"/>
      <w:r>
        <w:t>formate</w:t>
      </w:r>
      <w:proofErr w:type="spellEnd"/>
      <w:r>
        <w:t xml:space="preserve"> and </w:t>
      </w:r>
      <w:proofErr w:type="spellStart"/>
      <w:r>
        <w:t>methylal</w:t>
      </w:r>
      <w:proofErr w:type="spellEnd"/>
      <w:r>
        <w:t xml:space="preserve"> are also being considered for this sector, the uptake at present is still relatively low.    </w:t>
      </w:r>
    </w:p>
    <w:p w14:paraId="64AE9CC0" w14:textId="77777777" w:rsidR="00050445" w:rsidRDefault="00050445" w:rsidP="006E19AF">
      <w:pPr>
        <w:spacing w:after="120"/>
        <w:jc w:val="both"/>
        <w:rPr>
          <w:lang w:eastAsia="ja-JP"/>
        </w:rPr>
      </w:pPr>
    </w:p>
    <w:p w14:paraId="19C06B10" w14:textId="77777777" w:rsidR="00050445" w:rsidRDefault="00050445" w:rsidP="00050445">
      <w:pPr>
        <w:pStyle w:val="Heading3"/>
      </w:pPr>
      <w:bookmarkStart w:id="32" w:name="_Toc415441533"/>
      <w:r>
        <w:t>Polyurethane Spray</w:t>
      </w:r>
      <w:bookmarkEnd w:id="32"/>
      <w:r>
        <w:t xml:space="preserve">  </w:t>
      </w:r>
    </w:p>
    <w:p w14:paraId="05D7FB37" w14:textId="77777777" w:rsidR="00050445" w:rsidRPr="00050445" w:rsidRDefault="00050445" w:rsidP="00050445">
      <w:pPr>
        <w:rPr>
          <w:sz w:val="12"/>
          <w:szCs w:val="12"/>
        </w:rPr>
      </w:pPr>
    </w:p>
    <w:p w14:paraId="49CD1B83" w14:textId="77777777" w:rsidR="00390843" w:rsidRDefault="00390843" w:rsidP="00390843">
      <w:pPr>
        <w:jc w:val="both"/>
      </w:pPr>
      <w:r>
        <w:t>Polyurethane spray foam has been used for many years as an efficient means of insulating structures which would be difficult to insulate in other ways, because of shape or location. An example would be that of an insulated road tanker. Another would be the insulation of large flat roofs, which may not be as flat as might be presumed! More recently, however, polyurethane spray foams have emerged as a vital component of renovation strategies for existing buildings. Again, the efficiency and versatility of application, as well as the relative durability and thermal efficiency are all characteristics, which have contributed to the rapid growth of PU spray foam in both developed and developing regions.</w:t>
      </w:r>
    </w:p>
    <w:p w14:paraId="5CA542B6" w14:textId="77777777" w:rsidR="00390843" w:rsidRDefault="00390843" w:rsidP="00390843">
      <w:pPr>
        <w:pStyle w:val="Heading4"/>
      </w:pPr>
    </w:p>
    <w:p w14:paraId="4AFD1CF4" w14:textId="77777777" w:rsidR="00390843" w:rsidRPr="00390843" w:rsidRDefault="00390843" w:rsidP="00390843"/>
    <w:p w14:paraId="6B4C9880" w14:textId="77777777" w:rsidR="00390843" w:rsidRPr="006A3799" w:rsidRDefault="00390843" w:rsidP="00390843">
      <w:pPr>
        <w:pStyle w:val="Heading4"/>
      </w:pPr>
      <w:r>
        <w:t xml:space="preserve">Commercially available alternatives to ODS </w:t>
      </w:r>
    </w:p>
    <w:p w14:paraId="74835ADC" w14:textId="77777777" w:rsidR="00390843" w:rsidRPr="00390843" w:rsidRDefault="00390843" w:rsidP="00390843">
      <w:pPr>
        <w:rPr>
          <w:sz w:val="8"/>
          <w:szCs w:val="8"/>
        </w:rPr>
      </w:pPr>
    </w:p>
    <w:p w14:paraId="6E41AD92" w14:textId="77777777" w:rsidR="00390843" w:rsidRDefault="00390843" w:rsidP="00390843">
      <w:pPr>
        <w:jc w:val="both"/>
        <w:rPr>
          <w:lang w:eastAsia="ja-JP"/>
        </w:rPr>
      </w:pPr>
      <w:r>
        <w:rPr>
          <w:lang w:eastAsia="ja-JP"/>
        </w:rPr>
        <w:t xml:space="preserve">The commercially available technologies have been largely referenced already in the narrative, but can be summarised as follows: </w:t>
      </w:r>
    </w:p>
    <w:p w14:paraId="68AC996C" w14:textId="77777777" w:rsidR="00390843" w:rsidRPr="00390843" w:rsidRDefault="00390843" w:rsidP="00390843">
      <w:pPr>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390843" w14:paraId="08BE4151" w14:textId="77777777" w:rsidTr="001769CA">
        <w:trPr>
          <w:cantSplit/>
        </w:trPr>
        <w:tc>
          <w:tcPr>
            <w:tcW w:w="9214" w:type="dxa"/>
            <w:gridSpan w:val="4"/>
            <w:shd w:val="clear" w:color="auto" w:fill="FFFFFF"/>
            <w:vAlign w:val="center"/>
          </w:tcPr>
          <w:p w14:paraId="4086A6EA" w14:textId="77777777" w:rsidR="00390843" w:rsidRDefault="00390843" w:rsidP="001769CA">
            <w:pPr>
              <w:tabs>
                <w:tab w:val="left" w:pos="3544"/>
              </w:tabs>
              <w:spacing w:line="240" w:lineRule="atLeast"/>
              <w:ind w:right="-108"/>
              <w:jc w:val="center"/>
              <w:rPr>
                <w:b/>
                <w:i/>
                <w:sz w:val="20"/>
                <w:lang w:eastAsia="es-ES"/>
              </w:rPr>
            </w:pPr>
            <w:r>
              <w:rPr>
                <w:b/>
                <w:i/>
                <w:sz w:val="20"/>
                <w:lang w:eastAsia="es-ES"/>
              </w:rPr>
              <w:t>HCFC REPLACEMENT OPTIONS FOR PU FOAM FOR BUILDING/ CONSTRUCTION APPLICATIONS</w:t>
            </w:r>
          </w:p>
        </w:tc>
      </w:tr>
      <w:tr w:rsidR="00390843" w14:paraId="58DA5A32" w14:textId="77777777" w:rsidTr="001769CA">
        <w:trPr>
          <w:cantSplit/>
        </w:trPr>
        <w:tc>
          <w:tcPr>
            <w:tcW w:w="2585" w:type="dxa"/>
            <w:tcBorders>
              <w:bottom w:val="single" w:sz="4" w:space="0" w:color="auto"/>
            </w:tcBorders>
            <w:shd w:val="clear" w:color="auto" w:fill="FFFFFF"/>
            <w:vAlign w:val="center"/>
          </w:tcPr>
          <w:p w14:paraId="05DC7FE5" w14:textId="77777777" w:rsidR="00390843" w:rsidRDefault="00390843" w:rsidP="001769CA">
            <w:pPr>
              <w:tabs>
                <w:tab w:val="left" w:pos="3544"/>
              </w:tabs>
              <w:ind w:right="-75"/>
              <w:jc w:val="center"/>
              <w:rPr>
                <w:b/>
                <w:sz w:val="18"/>
              </w:rPr>
            </w:pPr>
            <w:r>
              <w:rPr>
                <w:b/>
                <w:sz w:val="18"/>
              </w:rPr>
              <w:t>SECTOR/OPTION</w:t>
            </w:r>
          </w:p>
        </w:tc>
        <w:tc>
          <w:tcPr>
            <w:tcW w:w="1979" w:type="dxa"/>
            <w:tcBorders>
              <w:bottom w:val="single" w:sz="4" w:space="0" w:color="auto"/>
            </w:tcBorders>
            <w:shd w:val="clear" w:color="auto" w:fill="FFFFFF"/>
            <w:vAlign w:val="center"/>
          </w:tcPr>
          <w:p w14:paraId="772321E5" w14:textId="77777777" w:rsidR="00390843" w:rsidRDefault="00390843"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tcBorders>
              <w:bottom w:val="single" w:sz="4" w:space="0" w:color="auto"/>
            </w:tcBorders>
            <w:shd w:val="clear" w:color="auto" w:fill="FFFFFF"/>
            <w:vAlign w:val="center"/>
          </w:tcPr>
          <w:p w14:paraId="19D846C1" w14:textId="77777777" w:rsidR="00390843" w:rsidRDefault="00390843"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tcBorders>
              <w:bottom w:val="single" w:sz="4" w:space="0" w:color="auto"/>
            </w:tcBorders>
            <w:shd w:val="clear" w:color="auto" w:fill="FFFFFF"/>
            <w:vAlign w:val="center"/>
          </w:tcPr>
          <w:p w14:paraId="191F17A2" w14:textId="77777777" w:rsidR="00390843" w:rsidRDefault="00390843" w:rsidP="001769CA">
            <w:pPr>
              <w:keepNext/>
              <w:widowControl w:val="0"/>
              <w:tabs>
                <w:tab w:val="left" w:pos="1080"/>
                <w:tab w:val="left" w:pos="3544"/>
              </w:tabs>
              <w:spacing w:before="120" w:after="120"/>
              <w:jc w:val="center"/>
              <w:outlineLvl w:val="3"/>
              <w:rPr>
                <w:b/>
                <w:i/>
                <w:sz w:val="18"/>
              </w:rPr>
            </w:pPr>
            <w:r>
              <w:rPr>
                <w:b/>
                <w:i/>
                <w:sz w:val="18"/>
              </w:rPr>
              <w:t>COMMENTS</w:t>
            </w:r>
          </w:p>
        </w:tc>
      </w:tr>
      <w:tr w:rsidR="00390843" w14:paraId="17CD72B9" w14:textId="77777777" w:rsidTr="001769CA">
        <w:trPr>
          <w:cantSplit/>
        </w:trPr>
        <w:tc>
          <w:tcPr>
            <w:tcW w:w="9214" w:type="dxa"/>
            <w:gridSpan w:val="4"/>
            <w:shd w:val="clear" w:color="auto" w:fill="C0C0C0"/>
            <w:vAlign w:val="center"/>
          </w:tcPr>
          <w:p w14:paraId="4BC320C8" w14:textId="77777777" w:rsidR="00390843" w:rsidRDefault="00390843" w:rsidP="001769CA">
            <w:pPr>
              <w:rPr>
                <w:b/>
                <w:i/>
              </w:rPr>
            </w:pPr>
            <w:r>
              <w:rPr>
                <w:b/>
                <w:i/>
              </w:rPr>
              <w:t>Spray foam</w:t>
            </w:r>
          </w:p>
        </w:tc>
      </w:tr>
      <w:tr w:rsidR="00390843" w14:paraId="3129014D" w14:textId="77777777" w:rsidTr="001769CA">
        <w:trPr>
          <w:cantSplit/>
        </w:trPr>
        <w:tc>
          <w:tcPr>
            <w:tcW w:w="2585" w:type="dxa"/>
            <w:vAlign w:val="center"/>
          </w:tcPr>
          <w:p w14:paraId="3FB6E36C" w14:textId="77777777" w:rsidR="00390843" w:rsidRDefault="00390843" w:rsidP="001769CA">
            <w:pPr>
              <w:tabs>
                <w:tab w:val="left" w:pos="3544"/>
              </w:tabs>
              <w:ind w:right="-75"/>
              <w:rPr>
                <w:sz w:val="18"/>
              </w:rPr>
            </w:pPr>
            <w:proofErr w:type="spellStart"/>
            <w:r>
              <w:rPr>
                <w:sz w:val="18"/>
              </w:rPr>
              <w:t>Cyclopentane</w:t>
            </w:r>
            <w:proofErr w:type="spellEnd"/>
            <w:r>
              <w:rPr>
                <w:sz w:val="18"/>
              </w:rPr>
              <w:t xml:space="preserve"> &amp; n-Pentane</w:t>
            </w:r>
          </w:p>
        </w:tc>
        <w:tc>
          <w:tcPr>
            <w:tcW w:w="1979" w:type="dxa"/>
            <w:vAlign w:val="center"/>
          </w:tcPr>
          <w:p w14:paraId="663F7342" w14:textId="77777777" w:rsidR="00390843" w:rsidRDefault="00390843" w:rsidP="001769CA">
            <w:pPr>
              <w:keepNext/>
              <w:widowControl w:val="0"/>
              <w:tabs>
                <w:tab w:val="left" w:pos="1080"/>
                <w:tab w:val="left" w:pos="3544"/>
              </w:tabs>
              <w:jc w:val="both"/>
              <w:outlineLvl w:val="3"/>
              <w:rPr>
                <w:i/>
                <w:sz w:val="18"/>
              </w:rPr>
            </w:pPr>
            <w:r>
              <w:rPr>
                <w:i/>
                <w:sz w:val="18"/>
              </w:rPr>
              <w:t>Low GWP</w:t>
            </w:r>
          </w:p>
        </w:tc>
        <w:tc>
          <w:tcPr>
            <w:tcW w:w="2099" w:type="dxa"/>
            <w:vAlign w:val="center"/>
          </w:tcPr>
          <w:p w14:paraId="2B35A0B1" w14:textId="77777777" w:rsidR="00390843" w:rsidRDefault="00390843" w:rsidP="001769CA">
            <w:pPr>
              <w:keepNext/>
              <w:widowControl w:val="0"/>
              <w:tabs>
                <w:tab w:val="left" w:pos="1080"/>
                <w:tab w:val="left" w:pos="3544"/>
              </w:tabs>
              <w:jc w:val="both"/>
              <w:outlineLvl w:val="3"/>
              <w:rPr>
                <w:i/>
                <w:sz w:val="18"/>
              </w:rPr>
            </w:pPr>
            <w:r>
              <w:rPr>
                <w:i/>
                <w:sz w:val="18"/>
              </w:rPr>
              <w:t>Highly flammable</w:t>
            </w:r>
          </w:p>
        </w:tc>
        <w:tc>
          <w:tcPr>
            <w:tcW w:w="2551" w:type="dxa"/>
            <w:vAlign w:val="center"/>
          </w:tcPr>
          <w:p w14:paraId="4362677D" w14:textId="77777777" w:rsidR="00390843" w:rsidRDefault="00390843" w:rsidP="001769CA">
            <w:pPr>
              <w:keepNext/>
              <w:widowControl w:val="0"/>
              <w:tabs>
                <w:tab w:val="left" w:pos="1080"/>
                <w:tab w:val="left" w:pos="3544"/>
              </w:tabs>
              <w:ind w:right="-108"/>
              <w:outlineLvl w:val="3"/>
              <w:rPr>
                <w:i/>
                <w:sz w:val="18"/>
              </w:rPr>
            </w:pPr>
            <w:r>
              <w:rPr>
                <w:i/>
                <w:sz w:val="18"/>
              </w:rPr>
              <w:t>Unsafe to use in this application</w:t>
            </w:r>
          </w:p>
        </w:tc>
      </w:tr>
      <w:tr w:rsidR="00390843" w14:paraId="5D97D8F1" w14:textId="77777777" w:rsidTr="001769CA">
        <w:trPr>
          <w:cantSplit/>
        </w:trPr>
        <w:tc>
          <w:tcPr>
            <w:tcW w:w="2585" w:type="dxa"/>
            <w:vMerge w:val="restart"/>
            <w:vAlign w:val="center"/>
          </w:tcPr>
          <w:p w14:paraId="0D23A71D" w14:textId="22E16CD2" w:rsidR="00390843" w:rsidRDefault="00390843" w:rsidP="001769CA">
            <w:pPr>
              <w:tabs>
                <w:tab w:val="left" w:pos="720"/>
                <w:tab w:val="left" w:pos="1440"/>
                <w:tab w:val="left" w:pos="3544"/>
                <w:tab w:val="left" w:pos="5760"/>
              </w:tabs>
              <w:ind w:right="-75"/>
              <w:jc w:val="both"/>
              <w:rPr>
                <w:sz w:val="18"/>
              </w:rPr>
            </w:pPr>
            <w:r>
              <w:rPr>
                <w:sz w:val="18"/>
              </w:rPr>
              <w:t>HFC-245fa, HFC-365mfc/2</w:t>
            </w:r>
            <w:r w:rsidR="00547D8E">
              <w:rPr>
                <w:sz w:val="18"/>
              </w:rPr>
              <w:t>2</w:t>
            </w:r>
            <w:r>
              <w:rPr>
                <w:sz w:val="18"/>
              </w:rPr>
              <w:t>7ea</w:t>
            </w:r>
          </w:p>
        </w:tc>
        <w:tc>
          <w:tcPr>
            <w:tcW w:w="1979" w:type="dxa"/>
            <w:vAlign w:val="center"/>
          </w:tcPr>
          <w:p w14:paraId="2BCEC998" w14:textId="77777777" w:rsidR="00390843" w:rsidRDefault="00390843"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37189FB1" w14:textId="77777777" w:rsidR="00390843" w:rsidRDefault="00390843" w:rsidP="001769CA">
            <w:pPr>
              <w:keepNext/>
              <w:widowControl w:val="0"/>
              <w:tabs>
                <w:tab w:val="left" w:pos="1080"/>
                <w:tab w:val="left" w:pos="3544"/>
              </w:tabs>
              <w:jc w:val="both"/>
              <w:outlineLvl w:val="3"/>
              <w:rPr>
                <w:i/>
                <w:sz w:val="18"/>
              </w:rPr>
            </w:pPr>
            <w:r>
              <w:rPr>
                <w:i/>
                <w:sz w:val="18"/>
              </w:rPr>
              <w:t>High GWP</w:t>
            </w:r>
          </w:p>
        </w:tc>
        <w:tc>
          <w:tcPr>
            <w:tcW w:w="2551" w:type="dxa"/>
            <w:vAlign w:val="center"/>
          </w:tcPr>
          <w:p w14:paraId="46B30A1D" w14:textId="77777777" w:rsidR="00390843" w:rsidRDefault="00390843" w:rsidP="001769CA">
            <w:pPr>
              <w:keepNext/>
              <w:widowControl w:val="0"/>
              <w:tabs>
                <w:tab w:val="left" w:pos="1080"/>
                <w:tab w:val="left" w:pos="3544"/>
              </w:tabs>
              <w:jc w:val="both"/>
              <w:outlineLvl w:val="3"/>
              <w:rPr>
                <w:i/>
                <w:sz w:val="18"/>
              </w:rPr>
            </w:pPr>
            <w:r>
              <w:rPr>
                <w:i/>
                <w:sz w:val="18"/>
              </w:rPr>
              <w:t>Industry standard</w:t>
            </w:r>
          </w:p>
        </w:tc>
      </w:tr>
      <w:tr w:rsidR="00390843" w14:paraId="7C80032B" w14:textId="77777777" w:rsidTr="001769CA">
        <w:trPr>
          <w:cantSplit/>
        </w:trPr>
        <w:tc>
          <w:tcPr>
            <w:tcW w:w="2585" w:type="dxa"/>
            <w:vMerge/>
            <w:vAlign w:val="center"/>
          </w:tcPr>
          <w:p w14:paraId="256A90A9" w14:textId="77777777" w:rsidR="00390843" w:rsidRDefault="00390843" w:rsidP="001769CA">
            <w:pPr>
              <w:tabs>
                <w:tab w:val="left" w:pos="720"/>
                <w:tab w:val="left" w:pos="1440"/>
                <w:tab w:val="left" w:pos="3544"/>
                <w:tab w:val="left" w:pos="5760"/>
              </w:tabs>
              <w:ind w:right="-75"/>
              <w:jc w:val="both"/>
              <w:rPr>
                <w:sz w:val="18"/>
              </w:rPr>
            </w:pPr>
          </w:p>
        </w:tc>
        <w:tc>
          <w:tcPr>
            <w:tcW w:w="1979" w:type="dxa"/>
            <w:vAlign w:val="center"/>
          </w:tcPr>
          <w:p w14:paraId="043C6795" w14:textId="77777777" w:rsidR="00390843" w:rsidRDefault="00390843" w:rsidP="001769CA">
            <w:pPr>
              <w:keepNext/>
              <w:widowControl w:val="0"/>
              <w:tabs>
                <w:tab w:val="left" w:pos="1080"/>
                <w:tab w:val="left" w:pos="3544"/>
              </w:tabs>
              <w:jc w:val="both"/>
              <w:outlineLvl w:val="3"/>
              <w:rPr>
                <w:i/>
                <w:sz w:val="18"/>
              </w:rPr>
            </w:pPr>
            <w:r>
              <w:rPr>
                <w:i/>
                <w:sz w:val="18"/>
              </w:rPr>
              <w:t>Good foam properties</w:t>
            </w:r>
          </w:p>
        </w:tc>
        <w:tc>
          <w:tcPr>
            <w:tcW w:w="2099" w:type="dxa"/>
            <w:vAlign w:val="center"/>
          </w:tcPr>
          <w:p w14:paraId="1C5E7DD9" w14:textId="77777777" w:rsidR="00390843" w:rsidRDefault="00390843" w:rsidP="001769CA">
            <w:pPr>
              <w:keepNext/>
              <w:widowControl w:val="0"/>
              <w:tabs>
                <w:tab w:val="left" w:pos="1080"/>
                <w:tab w:val="left" w:pos="3544"/>
              </w:tabs>
              <w:jc w:val="both"/>
              <w:outlineLvl w:val="3"/>
              <w:rPr>
                <w:i/>
                <w:sz w:val="18"/>
              </w:rPr>
            </w:pPr>
            <w:r>
              <w:rPr>
                <w:i/>
                <w:sz w:val="18"/>
              </w:rPr>
              <w:t>High operating costs but improved by using mixed HFC/ CO</w:t>
            </w:r>
            <w:r>
              <w:rPr>
                <w:i/>
                <w:sz w:val="18"/>
                <w:vertAlign w:val="subscript"/>
              </w:rPr>
              <w:t xml:space="preserve">2 </w:t>
            </w:r>
            <w:r>
              <w:rPr>
                <w:i/>
                <w:sz w:val="18"/>
              </w:rPr>
              <w:t>(water)</w:t>
            </w:r>
          </w:p>
        </w:tc>
        <w:tc>
          <w:tcPr>
            <w:tcW w:w="2551" w:type="dxa"/>
            <w:vAlign w:val="center"/>
          </w:tcPr>
          <w:p w14:paraId="700EA294" w14:textId="77777777" w:rsidR="00390843" w:rsidRDefault="00390843" w:rsidP="001769CA">
            <w:pPr>
              <w:keepNext/>
              <w:widowControl w:val="0"/>
              <w:tabs>
                <w:tab w:val="left" w:pos="1080"/>
                <w:tab w:val="left" w:pos="3544"/>
              </w:tabs>
              <w:jc w:val="both"/>
              <w:outlineLvl w:val="3"/>
              <w:rPr>
                <w:i/>
                <w:sz w:val="18"/>
              </w:rPr>
            </w:pPr>
          </w:p>
        </w:tc>
      </w:tr>
      <w:tr w:rsidR="00390843" w14:paraId="78A9E328" w14:textId="77777777" w:rsidTr="001769CA">
        <w:trPr>
          <w:cantSplit/>
        </w:trPr>
        <w:tc>
          <w:tcPr>
            <w:tcW w:w="2585" w:type="dxa"/>
            <w:vMerge w:val="restart"/>
            <w:vAlign w:val="center"/>
          </w:tcPr>
          <w:p w14:paraId="56068F1E" w14:textId="77777777" w:rsidR="00390843" w:rsidRDefault="00390843" w:rsidP="001769CA">
            <w:pPr>
              <w:tabs>
                <w:tab w:val="left" w:pos="720"/>
                <w:tab w:val="left" w:pos="1440"/>
                <w:tab w:val="left" w:pos="3544"/>
                <w:tab w:val="left" w:pos="5760"/>
              </w:tabs>
              <w:ind w:right="-75"/>
              <w:jc w:val="both"/>
              <w:rPr>
                <w:sz w:val="18"/>
              </w:rPr>
            </w:pPr>
            <w:r>
              <w:rPr>
                <w:sz w:val="18"/>
              </w:rPr>
              <w:t>CO</w:t>
            </w:r>
            <w:r>
              <w:rPr>
                <w:sz w:val="18"/>
                <w:vertAlign w:val="subscript"/>
              </w:rPr>
              <w:t xml:space="preserve">2 </w:t>
            </w:r>
            <w:r>
              <w:rPr>
                <w:sz w:val="18"/>
              </w:rPr>
              <w:t>(water)</w:t>
            </w:r>
          </w:p>
        </w:tc>
        <w:tc>
          <w:tcPr>
            <w:tcW w:w="1979" w:type="dxa"/>
            <w:vAlign w:val="center"/>
          </w:tcPr>
          <w:p w14:paraId="54AD4D89" w14:textId="77777777" w:rsidR="00390843" w:rsidRDefault="00390843" w:rsidP="001769CA">
            <w:pPr>
              <w:keepNext/>
              <w:widowControl w:val="0"/>
              <w:tabs>
                <w:tab w:val="left" w:pos="1080"/>
                <w:tab w:val="left" w:pos="3544"/>
              </w:tabs>
              <w:jc w:val="both"/>
              <w:outlineLvl w:val="3"/>
              <w:rPr>
                <w:i/>
                <w:sz w:val="18"/>
              </w:rPr>
            </w:pPr>
            <w:r>
              <w:rPr>
                <w:i/>
                <w:sz w:val="18"/>
              </w:rPr>
              <w:t>Low GWP</w:t>
            </w:r>
          </w:p>
        </w:tc>
        <w:tc>
          <w:tcPr>
            <w:tcW w:w="2099" w:type="dxa"/>
            <w:vAlign w:val="center"/>
          </w:tcPr>
          <w:p w14:paraId="1784603B" w14:textId="77777777" w:rsidR="00390843" w:rsidRDefault="00390843" w:rsidP="001769CA">
            <w:pPr>
              <w:keepNext/>
              <w:widowControl w:val="0"/>
              <w:tabs>
                <w:tab w:val="left" w:pos="1080"/>
                <w:tab w:val="left" w:pos="3544"/>
              </w:tabs>
              <w:ind w:right="-86"/>
              <w:outlineLvl w:val="3"/>
              <w:rPr>
                <w:i/>
                <w:sz w:val="18"/>
              </w:rPr>
            </w:pPr>
            <w:r>
              <w:rPr>
                <w:i/>
                <w:sz w:val="18"/>
              </w:rPr>
              <w:t>Moderate foam properties -high thermal conductivity &amp; high density-</w:t>
            </w:r>
          </w:p>
        </w:tc>
        <w:tc>
          <w:tcPr>
            <w:tcW w:w="2551" w:type="dxa"/>
            <w:vAlign w:val="center"/>
          </w:tcPr>
          <w:p w14:paraId="4C6C7AA5" w14:textId="77777777" w:rsidR="00390843" w:rsidRDefault="00390843" w:rsidP="001769CA">
            <w:pPr>
              <w:keepNext/>
              <w:widowControl w:val="0"/>
              <w:tabs>
                <w:tab w:val="left" w:pos="1080"/>
                <w:tab w:val="left" w:pos="3544"/>
              </w:tabs>
              <w:ind w:right="-108"/>
              <w:outlineLvl w:val="3"/>
              <w:rPr>
                <w:i/>
                <w:sz w:val="18"/>
              </w:rPr>
            </w:pPr>
            <w:r>
              <w:rPr>
                <w:i/>
                <w:sz w:val="18"/>
              </w:rPr>
              <w:t>Extra thickness leading to a cost penalty</w:t>
            </w:r>
          </w:p>
        </w:tc>
      </w:tr>
      <w:tr w:rsidR="00390843" w14:paraId="6AA5B9A3" w14:textId="77777777" w:rsidTr="001769CA">
        <w:trPr>
          <w:cantSplit/>
        </w:trPr>
        <w:tc>
          <w:tcPr>
            <w:tcW w:w="2585" w:type="dxa"/>
            <w:vMerge/>
            <w:vAlign w:val="center"/>
          </w:tcPr>
          <w:p w14:paraId="287C5FDB" w14:textId="77777777" w:rsidR="00390843" w:rsidRDefault="00390843" w:rsidP="001769CA">
            <w:pPr>
              <w:tabs>
                <w:tab w:val="left" w:pos="720"/>
                <w:tab w:val="left" w:pos="1440"/>
                <w:tab w:val="left" w:pos="3544"/>
                <w:tab w:val="left" w:pos="5760"/>
              </w:tabs>
              <w:ind w:right="-75"/>
              <w:jc w:val="both"/>
              <w:rPr>
                <w:sz w:val="18"/>
              </w:rPr>
            </w:pPr>
          </w:p>
        </w:tc>
        <w:tc>
          <w:tcPr>
            <w:tcW w:w="1979" w:type="dxa"/>
            <w:vAlign w:val="center"/>
          </w:tcPr>
          <w:p w14:paraId="467624CF" w14:textId="77777777" w:rsidR="00390843" w:rsidRDefault="00390843"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3D6EE148" w14:textId="77777777" w:rsidR="00390843" w:rsidRDefault="00390843" w:rsidP="001769CA">
            <w:pPr>
              <w:keepNext/>
              <w:widowControl w:val="0"/>
              <w:tabs>
                <w:tab w:val="left" w:pos="1080"/>
                <w:tab w:val="left" w:pos="3544"/>
              </w:tabs>
              <w:jc w:val="both"/>
              <w:outlineLvl w:val="3"/>
              <w:rPr>
                <w:i/>
                <w:sz w:val="18"/>
              </w:rPr>
            </w:pPr>
          </w:p>
        </w:tc>
        <w:tc>
          <w:tcPr>
            <w:tcW w:w="2551" w:type="dxa"/>
            <w:vAlign w:val="center"/>
          </w:tcPr>
          <w:p w14:paraId="61C556F4" w14:textId="77777777" w:rsidR="00390843" w:rsidRDefault="00390843" w:rsidP="001769CA">
            <w:pPr>
              <w:keepNext/>
              <w:widowControl w:val="0"/>
              <w:tabs>
                <w:tab w:val="left" w:pos="1080"/>
                <w:tab w:val="left" w:pos="3544"/>
              </w:tabs>
              <w:jc w:val="both"/>
              <w:outlineLvl w:val="3"/>
              <w:rPr>
                <w:i/>
                <w:sz w:val="18"/>
              </w:rPr>
            </w:pPr>
          </w:p>
        </w:tc>
      </w:tr>
      <w:tr w:rsidR="00390843" w14:paraId="1F13F062" w14:textId="77777777" w:rsidTr="001769CA">
        <w:trPr>
          <w:cantSplit/>
        </w:trPr>
        <w:tc>
          <w:tcPr>
            <w:tcW w:w="2585" w:type="dxa"/>
            <w:vAlign w:val="center"/>
          </w:tcPr>
          <w:p w14:paraId="72CF8ABD" w14:textId="77777777" w:rsidR="00390843" w:rsidRDefault="00390843" w:rsidP="001769CA">
            <w:pPr>
              <w:tabs>
                <w:tab w:val="left" w:pos="720"/>
                <w:tab w:val="left" w:pos="1440"/>
                <w:tab w:val="left" w:pos="3544"/>
                <w:tab w:val="left" w:pos="5760"/>
              </w:tabs>
              <w:ind w:right="-75"/>
              <w:jc w:val="both"/>
              <w:rPr>
                <w:sz w:val="18"/>
              </w:rPr>
            </w:pPr>
            <w:r>
              <w:rPr>
                <w:sz w:val="18"/>
              </w:rPr>
              <w:t xml:space="preserve">Methyl </w:t>
            </w:r>
            <w:proofErr w:type="spellStart"/>
            <w:r>
              <w:rPr>
                <w:sz w:val="18"/>
              </w:rPr>
              <w:t>Formate</w:t>
            </w:r>
            <w:proofErr w:type="spellEnd"/>
          </w:p>
        </w:tc>
        <w:tc>
          <w:tcPr>
            <w:tcW w:w="1979" w:type="dxa"/>
            <w:vAlign w:val="center"/>
          </w:tcPr>
          <w:p w14:paraId="1F0A5D6A" w14:textId="77777777" w:rsidR="00390843" w:rsidRDefault="00390843" w:rsidP="001769CA">
            <w:pPr>
              <w:keepNext/>
              <w:widowControl w:val="0"/>
              <w:tabs>
                <w:tab w:val="left" w:pos="1080"/>
                <w:tab w:val="left" w:pos="3544"/>
              </w:tabs>
              <w:jc w:val="both"/>
              <w:outlineLvl w:val="3"/>
              <w:rPr>
                <w:i/>
                <w:sz w:val="18"/>
              </w:rPr>
            </w:pPr>
            <w:r>
              <w:rPr>
                <w:i/>
                <w:sz w:val="18"/>
              </w:rPr>
              <w:t>Low GWP</w:t>
            </w:r>
          </w:p>
        </w:tc>
        <w:tc>
          <w:tcPr>
            <w:tcW w:w="2099" w:type="dxa"/>
            <w:vAlign w:val="center"/>
          </w:tcPr>
          <w:p w14:paraId="6BAE5C95" w14:textId="77777777" w:rsidR="00390843" w:rsidRDefault="00390843" w:rsidP="001769CA">
            <w:pPr>
              <w:keepNext/>
              <w:widowControl w:val="0"/>
              <w:tabs>
                <w:tab w:val="left" w:pos="1080"/>
                <w:tab w:val="left" w:pos="3544"/>
              </w:tabs>
              <w:ind w:right="-86"/>
              <w:outlineLvl w:val="3"/>
              <w:rPr>
                <w:i/>
                <w:sz w:val="18"/>
              </w:rPr>
            </w:pPr>
            <w:r>
              <w:rPr>
                <w:i/>
                <w:sz w:val="18"/>
              </w:rPr>
              <w:t xml:space="preserve">Flammable although blends with </w:t>
            </w:r>
            <w:proofErr w:type="spellStart"/>
            <w:r>
              <w:rPr>
                <w:i/>
                <w:sz w:val="18"/>
              </w:rPr>
              <w:t>polyols</w:t>
            </w:r>
            <w:proofErr w:type="spellEnd"/>
            <w:r>
              <w:rPr>
                <w:i/>
                <w:sz w:val="18"/>
              </w:rPr>
              <w:t xml:space="preserve"> may not be flammable</w:t>
            </w:r>
          </w:p>
        </w:tc>
        <w:tc>
          <w:tcPr>
            <w:tcW w:w="2551" w:type="dxa"/>
            <w:vAlign w:val="center"/>
          </w:tcPr>
          <w:p w14:paraId="1B22BF5C" w14:textId="77777777" w:rsidR="00390843" w:rsidRDefault="00390843" w:rsidP="001769CA">
            <w:pPr>
              <w:keepNext/>
              <w:widowControl w:val="0"/>
              <w:tabs>
                <w:tab w:val="left" w:pos="1080"/>
                <w:tab w:val="left" w:pos="3544"/>
              </w:tabs>
              <w:ind w:right="-108"/>
              <w:outlineLvl w:val="3"/>
              <w:rPr>
                <w:i/>
                <w:sz w:val="18"/>
              </w:rPr>
            </w:pPr>
            <w:r>
              <w:rPr>
                <w:i/>
                <w:sz w:val="18"/>
              </w:rPr>
              <w:t>Safety concerns when used for this application</w:t>
            </w:r>
          </w:p>
        </w:tc>
      </w:tr>
    </w:tbl>
    <w:p w14:paraId="5AF9AFC6" w14:textId="77777777" w:rsidR="00390843" w:rsidRPr="00390843" w:rsidRDefault="00390843" w:rsidP="00390843">
      <w:pPr>
        <w:rPr>
          <w:sz w:val="8"/>
          <w:szCs w:val="8"/>
        </w:rPr>
      </w:pPr>
    </w:p>
    <w:p w14:paraId="37D92668" w14:textId="77777777" w:rsidR="008927DA" w:rsidRPr="00123C7D" w:rsidRDefault="008927DA" w:rsidP="008927DA">
      <w:pPr>
        <w:spacing w:line="259" w:lineRule="auto"/>
        <w:jc w:val="center"/>
        <w:rPr>
          <w:b/>
          <w:i/>
        </w:rPr>
      </w:pPr>
      <w:r w:rsidRPr="00123C7D">
        <w:rPr>
          <w:b/>
          <w:i/>
        </w:rPr>
        <w:t>Table 14: Assessment of selection criteria for ODS alternatives in the PU Spray Foam Sector</w:t>
      </w:r>
    </w:p>
    <w:p w14:paraId="20A337B4" w14:textId="77777777" w:rsidR="00390843" w:rsidRDefault="00390843" w:rsidP="00390843">
      <w:pPr>
        <w:tabs>
          <w:tab w:val="left" w:pos="3544"/>
        </w:tabs>
        <w:spacing w:line="240" w:lineRule="atLeast"/>
        <w:ind w:right="-574"/>
        <w:jc w:val="both"/>
        <w:rPr>
          <w:lang w:eastAsia="es-ES"/>
        </w:rPr>
      </w:pPr>
    </w:p>
    <w:p w14:paraId="309CB8A7" w14:textId="77777777" w:rsidR="00390843" w:rsidRDefault="00390843" w:rsidP="00390843">
      <w:pPr>
        <w:tabs>
          <w:tab w:val="left" w:pos="3544"/>
        </w:tabs>
        <w:spacing w:line="240" w:lineRule="atLeast"/>
        <w:ind w:right="-574"/>
        <w:jc w:val="both"/>
        <w:rPr>
          <w:lang w:eastAsia="es-ES"/>
        </w:rPr>
      </w:pPr>
      <w:r>
        <w:rPr>
          <w:lang w:eastAsia="es-ES"/>
        </w:rPr>
        <w:t>It is important to note that the impacts of the saturated HFCs have been reduced by co-blowing with major drivers has been to reduce cost. As will be seen later in this sub-section this may be an important approach for the future.</w:t>
      </w:r>
    </w:p>
    <w:p w14:paraId="0764A45B" w14:textId="77777777" w:rsidR="00390843" w:rsidRDefault="00390843" w:rsidP="00390843">
      <w:pPr>
        <w:tabs>
          <w:tab w:val="left" w:pos="3544"/>
        </w:tabs>
        <w:spacing w:line="240" w:lineRule="atLeast"/>
        <w:ind w:right="-574"/>
        <w:jc w:val="both"/>
        <w:rPr>
          <w:lang w:eastAsia="es-ES"/>
        </w:rPr>
      </w:pPr>
      <w:r>
        <w:rPr>
          <w:lang w:eastAsia="es-ES"/>
        </w:rPr>
        <w:t xml:space="preserve"> </w:t>
      </w:r>
    </w:p>
    <w:p w14:paraId="3B01E7B0" w14:textId="77777777" w:rsidR="00390843" w:rsidRDefault="00390843" w:rsidP="00390843">
      <w:pPr>
        <w:tabs>
          <w:tab w:val="left" w:pos="3544"/>
        </w:tabs>
        <w:spacing w:line="240" w:lineRule="atLeast"/>
        <w:ind w:right="-574"/>
        <w:jc w:val="both"/>
        <w:rPr>
          <w:lang w:eastAsia="es-ES"/>
        </w:rPr>
      </w:pPr>
      <w:r>
        <w:rPr>
          <w:lang w:eastAsia="es-ES"/>
        </w:rPr>
        <w:t xml:space="preserve">Methyl </w:t>
      </w:r>
      <w:proofErr w:type="spellStart"/>
      <w:r>
        <w:rPr>
          <w:lang w:eastAsia="es-ES"/>
        </w:rPr>
        <w:t>formate</w:t>
      </w:r>
      <w:proofErr w:type="spellEnd"/>
      <w:r>
        <w:rPr>
          <w:lang w:eastAsia="es-ES"/>
        </w:rPr>
        <w:t xml:space="preserve"> has also been used for some PU spray work. The potential of supplying the system to site as blended </w:t>
      </w:r>
      <w:proofErr w:type="spellStart"/>
      <w:r>
        <w:rPr>
          <w:lang w:eastAsia="es-ES"/>
        </w:rPr>
        <w:t>polyol</w:t>
      </w:r>
      <w:proofErr w:type="spellEnd"/>
      <w:r>
        <w:rPr>
          <w:lang w:eastAsia="es-ES"/>
        </w:rPr>
        <w:t xml:space="preserve"> is believed to contribute to the management of risk, but it is still unclear whether the hazards seen with hydrocarbons in confined spaces have been avoided using methyl </w:t>
      </w:r>
      <w:proofErr w:type="spellStart"/>
      <w:r>
        <w:rPr>
          <w:lang w:eastAsia="es-ES"/>
        </w:rPr>
        <w:t>formate</w:t>
      </w:r>
      <w:proofErr w:type="spellEnd"/>
      <w:r>
        <w:rPr>
          <w:lang w:eastAsia="es-ES"/>
        </w:rPr>
        <w:t xml:space="preserve">. Work continues in this area, although some systems are already being used commercially. The performance of these ODS alternatives against the criteria for this report can be summarised as </w:t>
      </w:r>
      <w:r w:rsidR="008927DA">
        <w:rPr>
          <w:lang w:eastAsia="es-ES"/>
        </w:rPr>
        <w:t>shown in Table 15</w:t>
      </w:r>
      <w:r>
        <w:rPr>
          <w:lang w:eastAsia="es-ES"/>
        </w:rPr>
        <w:t xml:space="preserve">: </w:t>
      </w:r>
    </w:p>
    <w:p w14:paraId="5322205B" w14:textId="77777777" w:rsidR="00390843" w:rsidRDefault="00390843" w:rsidP="003908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76"/>
        <w:gridCol w:w="1743"/>
        <w:gridCol w:w="1759"/>
        <w:gridCol w:w="1158"/>
        <w:gridCol w:w="1096"/>
      </w:tblGrid>
      <w:tr w:rsidR="008927DA" w14:paraId="2AF9C045" w14:textId="77777777" w:rsidTr="008927DA">
        <w:trPr>
          <w:jc w:val="center"/>
        </w:trPr>
        <w:tc>
          <w:tcPr>
            <w:tcW w:w="2127" w:type="dxa"/>
            <w:shd w:val="clear" w:color="auto" w:fill="D9D9D9" w:themeFill="background1" w:themeFillShade="D9"/>
          </w:tcPr>
          <w:p w14:paraId="5F401F98" w14:textId="77777777" w:rsidR="008927DA" w:rsidRDefault="008927DA" w:rsidP="001769CA">
            <w:pPr>
              <w:keepNext/>
              <w:rPr>
                <w:lang w:eastAsia="ja-JP"/>
              </w:rPr>
            </w:pPr>
          </w:p>
        </w:tc>
        <w:tc>
          <w:tcPr>
            <w:tcW w:w="1176" w:type="dxa"/>
            <w:shd w:val="clear" w:color="auto" w:fill="D9D9D9" w:themeFill="background1" w:themeFillShade="D9"/>
            <w:vAlign w:val="center"/>
          </w:tcPr>
          <w:p w14:paraId="3A08F092" w14:textId="77777777" w:rsidR="008927DA" w:rsidRDefault="008927DA" w:rsidP="001769CA">
            <w:pPr>
              <w:keepNext/>
              <w:jc w:val="center"/>
              <w:rPr>
                <w:rFonts w:ascii="Calibri" w:hAnsi="Calibri"/>
                <w:b/>
                <w:i/>
                <w:sz w:val="20"/>
                <w:lang w:eastAsia="ja-JP"/>
              </w:rPr>
            </w:pPr>
            <w:r>
              <w:rPr>
                <w:rFonts w:ascii="Calibri" w:hAnsi="Calibri"/>
                <w:b/>
                <w:i/>
                <w:sz w:val="20"/>
                <w:lang w:eastAsia="ja-JP"/>
              </w:rPr>
              <w:t>HFC-245fa</w:t>
            </w:r>
          </w:p>
        </w:tc>
        <w:tc>
          <w:tcPr>
            <w:tcW w:w="1743" w:type="dxa"/>
            <w:shd w:val="clear" w:color="auto" w:fill="D9D9D9" w:themeFill="background1" w:themeFillShade="D9"/>
            <w:vAlign w:val="center"/>
          </w:tcPr>
          <w:p w14:paraId="0401EF87" w14:textId="77777777" w:rsidR="008927DA" w:rsidRDefault="008927DA" w:rsidP="001769CA">
            <w:pPr>
              <w:keepNext/>
              <w:jc w:val="center"/>
              <w:rPr>
                <w:rFonts w:ascii="Calibri" w:hAnsi="Calibri"/>
                <w:b/>
                <w:i/>
                <w:sz w:val="20"/>
                <w:lang w:eastAsia="ja-JP"/>
              </w:rPr>
            </w:pPr>
            <w:r>
              <w:rPr>
                <w:rFonts w:ascii="Calibri" w:hAnsi="Calibri"/>
                <w:b/>
                <w:i/>
                <w:sz w:val="20"/>
                <w:lang w:eastAsia="ja-JP"/>
              </w:rPr>
              <w:t>HFC365mfc/227ea</w:t>
            </w:r>
          </w:p>
        </w:tc>
        <w:tc>
          <w:tcPr>
            <w:tcW w:w="1759" w:type="dxa"/>
            <w:shd w:val="clear" w:color="auto" w:fill="D9D9D9" w:themeFill="background1" w:themeFillShade="D9"/>
            <w:vAlign w:val="center"/>
          </w:tcPr>
          <w:p w14:paraId="594EC364" w14:textId="77777777" w:rsidR="008927DA" w:rsidRDefault="008927DA" w:rsidP="001769CA">
            <w:pPr>
              <w:keepNext/>
              <w:jc w:val="center"/>
              <w:rPr>
                <w:rFonts w:ascii="Calibri" w:hAnsi="Calibri"/>
                <w:b/>
                <w:i/>
                <w:sz w:val="20"/>
                <w:vertAlign w:val="subscript"/>
                <w:lang w:eastAsia="ja-JP"/>
              </w:rPr>
            </w:pPr>
            <w:r>
              <w:rPr>
                <w:rFonts w:ascii="Calibri" w:hAnsi="Calibri"/>
                <w:b/>
                <w:i/>
                <w:sz w:val="20"/>
                <w:lang w:eastAsia="ja-JP"/>
              </w:rPr>
              <w:t>Super-critical CO</w:t>
            </w:r>
            <w:r>
              <w:rPr>
                <w:rFonts w:ascii="Calibri" w:hAnsi="Calibri"/>
                <w:b/>
                <w:i/>
                <w:sz w:val="20"/>
                <w:vertAlign w:val="subscript"/>
                <w:lang w:eastAsia="ja-JP"/>
              </w:rPr>
              <w:t>2</w:t>
            </w:r>
          </w:p>
        </w:tc>
        <w:tc>
          <w:tcPr>
            <w:tcW w:w="1158" w:type="dxa"/>
            <w:shd w:val="clear" w:color="auto" w:fill="D9D9D9" w:themeFill="background1" w:themeFillShade="D9"/>
            <w:vAlign w:val="center"/>
          </w:tcPr>
          <w:p w14:paraId="3DAAB9C1" w14:textId="77777777" w:rsidR="008927DA" w:rsidRDefault="008927DA" w:rsidP="001769CA">
            <w:pPr>
              <w:keepNext/>
              <w:jc w:val="center"/>
              <w:rPr>
                <w:rFonts w:ascii="Calibri" w:hAnsi="Calibri"/>
                <w:b/>
                <w:i/>
                <w:sz w:val="20"/>
                <w:lang w:eastAsia="ja-JP"/>
              </w:rPr>
            </w:pPr>
            <w:r>
              <w:rPr>
                <w:rFonts w:ascii="Calibri" w:hAnsi="Calibri"/>
                <w:b/>
                <w:i/>
                <w:sz w:val="20"/>
                <w:lang w:eastAsia="ja-JP"/>
              </w:rPr>
              <w:t>CO</w:t>
            </w:r>
            <w:r>
              <w:rPr>
                <w:rFonts w:ascii="Calibri" w:hAnsi="Calibri"/>
                <w:b/>
                <w:i/>
                <w:sz w:val="20"/>
                <w:vertAlign w:val="subscript"/>
                <w:lang w:eastAsia="ja-JP"/>
              </w:rPr>
              <w:t>2</w:t>
            </w:r>
            <w:r>
              <w:rPr>
                <w:rFonts w:ascii="Calibri" w:hAnsi="Calibri"/>
                <w:b/>
                <w:i/>
                <w:sz w:val="20"/>
                <w:lang w:eastAsia="ja-JP"/>
              </w:rPr>
              <w:t>(water)</w:t>
            </w:r>
          </w:p>
        </w:tc>
        <w:tc>
          <w:tcPr>
            <w:tcW w:w="1096" w:type="dxa"/>
            <w:shd w:val="clear" w:color="auto" w:fill="D9D9D9" w:themeFill="background1" w:themeFillShade="D9"/>
            <w:vAlign w:val="center"/>
          </w:tcPr>
          <w:p w14:paraId="59A50691" w14:textId="77777777" w:rsidR="008927DA" w:rsidRDefault="008927DA" w:rsidP="001769CA">
            <w:pPr>
              <w:keepNext/>
              <w:jc w:val="center"/>
              <w:rPr>
                <w:rFonts w:ascii="Calibri" w:hAnsi="Calibri"/>
                <w:b/>
                <w:i/>
                <w:sz w:val="20"/>
                <w:lang w:eastAsia="ja-JP"/>
              </w:rPr>
            </w:pPr>
            <w:r>
              <w:rPr>
                <w:rFonts w:ascii="Calibri" w:hAnsi="Calibri"/>
                <w:b/>
                <w:i/>
                <w:sz w:val="20"/>
                <w:lang w:eastAsia="ja-JP"/>
              </w:rPr>
              <w:t xml:space="preserve">Methyl </w:t>
            </w:r>
            <w:proofErr w:type="spellStart"/>
            <w:r>
              <w:rPr>
                <w:rFonts w:ascii="Calibri" w:hAnsi="Calibri"/>
                <w:b/>
                <w:i/>
                <w:sz w:val="20"/>
                <w:lang w:eastAsia="ja-JP"/>
              </w:rPr>
              <w:t>Formate</w:t>
            </w:r>
            <w:proofErr w:type="spellEnd"/>
          </w:p>
        </w:tc>
      </w:tr>
      <w:tr w:rsidR="008927DA" w14:paraId="7BE4046E" w14:textId="77777777" w:rsidTr="001769CA">
        <w:trPr>
          <w:trHeight w:hRule="exact" w:val="113"/>
          <w:jc w:val="center"/>
        </w:trPr>
        <w:tc>
          <w:tcPr>
            <w:tcW w:w="2127" w:type="dxa"/>
          </w:tcPr>
          <w:p w14:paraId="4A51D781" w14:textId="77777777" w:rsidR="008927DA" w:rsidRDefault="008927DA" w:rsidP="001769CA">
            <w:pPr>
              <w:keepNext/>
              <w:rPr>
                <w:rFonts w:ascii="Calibri" w:hAnsi="Calibri"/>
                <w:sz w:val="20"/>
                <w:lang w:eastAsia="ja-JP"/>
              </w:rPr>
            </w:pPr>
          </w:p>
        </w:tc>
        <w:tc>
          <w:tcPr>
            <w:tcW w:w="1176" w:type="dxa"/>
          </w:tcPr>
          <w:p w14:paraId="40C551CB" w14:textId="77777777" w:rsidR="008927DA" w:rsidRDefault="008927DA" w:rsidP="001769CA">
            <w:pPr>
              <w:keepNext/>
              <w:rPr>
                <w:rFonts w:ascii="Calibri" w:hAnsi="Calibri"/>
                <w:sz w:val="20"/>
                <w:lang w:eastAsia="ja-JP"/>
              </w:rPr>
            </w:pPr>
          </w:p>
        </w:tc>
        <w:tc>
          <w:tcPr>
            <w:tcW w:w="1743" w:type="dxa"/>
          </w:tcPr>
          <w:p w14:paraId="6CDFC218" w14:textId="77777777" w:rsidR="008927DA" w:rsidRDefault="008927DA" w:rsidP="001769CA">
            <w:pPr>
              <w:keepNext/>
              <w:rPr>
                <w:rFonts w:ascii="Calibri" w:hAnsi="Calibri"/>
                <w:sz w:val="20"/>
                <w:lang w:eastAsia="ja-JP"/>
              </w:rPr>
            </w:pPr>
          </w:p>
        </w:tc>
        <w:tc>
          <w:tcPr>
            <w:tcW w:w="1759" w:type="dxa"/>
          </w:tcPr>
          <w:p w14:paraId="5F25FB64" w14:textId="77777777" w:rsidR="008927DA" w:rsidRDefault="008927DA" w:rsidP="001769CA">
            <w:pPr>
              <w:keepNext/>
              <w:rPr>
                <w:rFonts w:ascii="Calibri" w:hAnsi="Calibri"/>
                <w:sz w:val="20"/>
                <w:lang w:eastAsia="ja-JP"/>
              </w:rPr>
            </w:pPr>
          </w:p>
        </w:tc>
        <w:tc>
          <w:tcPr>
            <w:tcW w:w="1158" w:type="dxa"/>
          </w:tcPr>
          <w:p w14:paraId="4F2A2217" w14:textId="77777777" w:rsidR="008927DA" w:rsidRDefault="008927DA" w:rsidP="001769CA">
            <w:pPr>
              <w:keepNext/>
              <w:rPr>
                <w:rFonts w:ascii="Calibri" w:hAnsi="Calibri"/>
                <w:sz w:val="20"/>
                <w:lang w:eastAsia="ja-JP"/>
              </w:rPr>
            </w:pPr>
          </w:p>
        </w:tc>
        <w:tc>
          <w:tcPr>
            <w:tcW w:w="1096" w:type="dxa"/>
          </w:tcPr>
          <w:p w14:paraId="1E6AA260" w14:textId="77777777" w:rsidR="008927DA" w:rsidRDefault="008927DA" w:rsidP="001769CA">
            <w:pPr>
              <w:keepNext/>
              <w:rPr>
                <w:rFonts w:ascii="Calibri" w:hAnsi="Calibri"/>
                <w:sz w:val="20"/>
                <w:lang w:eastAsia="ja-JP"/>
              </w:rPr>
            </w:pPr>
          </w:p>
        </w:tc>
      </w:tr>
      <w:tr w:rsidR="008927DA" w14:paraId="20F71F62" w14:textId="77777777" w:rsidTr="001769CA">
        <w:trPr>
          <w:jc w:val="center"/>
        </w:trPr>
        <w:tc>
          <w:tcPr>
            <w:tcW w:w="2127" w:type="dxa"/>
          </w:tcPr>
          <w:p w14:paraId="758ADBB4" w14:textId="77777777" w:rsidR="008927DA" w:rsidRDefault="008927DA" w:rsidP="001769CA">
            <w:pPr>
              <w:keepNext/>
              <w:rPr>
                <w:rFonts w:ascii="Calibri" w:hAnsi="Calibri"/>
                <w:sz w:val="20"/>
                <w:lang w:eastAsia="ja-JP"/>
              </w:rPr>
            </w:pPr>
            <w:r>
              <w:rPr>
                <w:rFonts w:ascii="Calibri" w:hAnsi="Calibri"/>
                <w:sz w:val="20"/>
                <w:lang w:eastAsia="ja-JP"/>
              </w:rPr>
              <w:t>Proof of performance</w:t>
            </w:r>
          </w:p>
        </w:tc>
        <w:tc>
          <w:tcPr>
            <w:tcW w:w="1176" w:type="dxa"/>
          </w:tcPr>
          <w:p w14:paraId="6B1B9062"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743" w:type="dxa"/>
          </w:tcPr>
          <w:p w14:paraId="1B7EF385"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759" w:type="dxa"/>
          </w:tcPr>
          <w:p w14:paraId="7050E8CA"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158" w:type="dxa"/>
          </w:tcPr>
          <w:p w14:paraId="6AFF856A"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096" w:type="dxa"/>
          </w:tcPr>
          <w:p w14:paraId="67AE3369"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r>
      <w:tr w:rsidR="008927DA" w14:paraId="0C1CEF9F" w14:textId="77777777" w:rsidTr="001769CA">
        <w:trPr>
          <w:jc w:val="center"/>
        </w:trPr>
        <w:tc>
          <w:tcPr>
            <w:tcW w:w="2127" w:type="dxa"/>
          </w:tcPr>
          <w:p w14:paraId="437BBD15" w14:textId="77777777" w:rsidR="008927DA" w:rsidRDefault="008927DA" w:rsidP="001769CA">
            <w:pPr>
              <w:keepNext/>
              <w:rPr>
                <w:rFonts w:ascii="Calibri" w:hAnsi="Calibri"/>
                <w:sz w:val="20"/>
                <w:lang w:eastAsia="ja-JP"/>
              </w:rPr>
            </w:pPr>
            <w:r>
              <w:rPr>
                <w:rFonts w:ascii="Calibri" w:hAnsi="Calibri"/>
                <w:sz w:val="20"/>
                <w:lang w:eastAsia="ja-JP"/>
              </w:rPr>
              <w:t>Flammability</w:t>
            </w:r>
          </w:p>
        </w:tc>
        <w:tc>
          <w:tcPr>
            <w:tcW w:w="1176" w:type="dxa"/>
          </w:tcPr>
          <w:p w14:paraId="7D11973B"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743" w:type="dxa"/>
          </w:tcPr>
          <w:p w14:paraId="26E3B303"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759" w:type="dxa"/>
          </w:tcPr>
          <w:p w14:paraId="0857483E"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158" w:type="dxa"/>
          </w:tcPr>
          <w:p w14:paraId="177B374F"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096" w:type="dxa"/>
          </w:tcPr>
          <w:p w14:paraId="6D05A1CC"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r>
      <w:tr w:rsidR="008927DA" w14:paraId="41256480" w14:textId="77777777" w:rsidTr="001769CA">
        <w:trPr>
          <w:jc w:val="center"/>
        </w:trPr>
        <w:tc>
          <w:tcPr>
            <w:tcW w:w="2127" w:type="dxa"/>
          </w:tcPr>
          <w:p w14:paraId="4D215870" w14:textId="77777777" w:rsidR="008927DA" w:rsidRDefault="008927DA" w:rsidP="001769CA">
            <w:pPr>
              <w:keepNext/>
              <w:rPr>
                <w:rFonts w:ascii="Calibri" w:hAnsi="Calibri"/>
                <w:sz w:val="20"/>
                <w:lang w:eastAsia="ja-JP"/>
              </w:rPr>
            </w:pPr>
            <w:r>
              <w:rPr>
                <w:rFonts w:ascii="Calibri" w:hAnsi="Calibri"/>
                <w:sz w:val="20"/>
                <w:lang w:eastAsia="ja-JP"/>
              </w:rPr>
              <w:t>Other Health &amp; Safety</w:t>
            </w:r>
          </w:p>
        </w:tc>
        <w:tc>
          <w:tcPr>
            <w:tcW w:w="1176" w:type="dxa"/>
          </w:tcPr>
          <w:p w14:paraId="134AAAF0"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743" w:type="dxa"/>
          </w:tcPr>
          <w:p w14:paraId="328C8265"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759" w:type="dxa"/>
          </w:tcPr>
          <w:p w14:paraId="537321ED"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158" w:type="dxa"/>
          </w:tcPr>
          <w:p w14:paraId="02E954A6" w14:textId="77777777" w:rsidR="008927DA" w:rsidRDefault="008927DA" w:rsidP="001769CA">
            <w:pPr>
              <w:keepNext/>
              <w:jc w:val="center"/>
              <w:rPr>
                <w:rFonts w:ascii="Calibri" w:hAnsi="Calibri"/>
                <w:sz w:val="20"/>
                <w:lang w:eastAsia="ja-JP"/>
              </w:rPr>
            </w:pPr>
            <w:r>
              <w:rPr>
                <w:rFonts w:ascii="Calibri" w:hAnsi="Calibri"/>
                <w:sz w:val="20"/>
                <w:lang w:eastAsia="ja-JP"/>
              </w:rPr>
              <w:t>-</w:t>
            </w:r>
          </w:p>
        </w:tc>
        <w:tc>
          <w:tcPr>
            <w:tcW w:w="1096" w:type="dxa"/>
          </w:tcPr>
          <w:p w14:paraId="4C6105B9" w14:textId="77777777" w:rsidR="008927DA" w:rsidRDefault="008927DA" w:rsidP="001769CA">
            <w:pPr>
              <w:keepNext/>
              <w:jc w:val="center"/>
              <w:rPr>
                <w:rFonts w:ascii="Calibri" w:hAnsi="Calibri"/>
                <w:sz w:val="20"/>
                <w:lang w:eastAsia="ja-JP"/>
              </w:rPr>
            </w:pPr>
            <w:r>
              <w:rPr>
                <w:rFonts w:ascii="Calibri" w:hAnsi="Calibri"/>
                <w:sz w:val="20"/>
                <w:lang w:eastAsia="ja-JP"/>
              </w:rPr>
              <w:t>0</w:t>
            </w:r>
          </w:p>
        </w:tc>
      </w:tr>
      <w:tr w:rsidR="008927DA" w14:paraId="0A21935A" w14:textId="77777777" w:rsidTr="001769CA">
        <w:trPr>
          <w:jc w:val="center"/>
        </w:trPr>
        <w:tc>
          <w:tcPr>
            <w:tcW w:w="2127" w:type="dxa"/>
          </w:tcPr>
          <w:p w14:paraId="528D4842" w14:textId="77777777" w:rsidR="008927DA" w:rsidRDefault="008927DA" w:rsidP="001769CA">
            <w:pPr>
              <w:rPr>
                <w:rFonts w:ascii="Calibri" w:hAnsi="Calibri"/>
                <w:sz w:val="20"/>
                <w:lang w:eastAsia="ja-JP"/>
              </w:rPr>
            </w:pPr>
            <w:r>
              <w:rPr>
                <w:rFonts w:ascii="Calibri" w:hAnsi="Calibri"/>
                <w:sz w:val="20"/>
                <w:lang w:eastAsia="ja-JP"/>
              </w:rPr>
              <w:t>Global Warming</w:t>
            </w:r>
          </w:p>
        </w:tc>
        <w:tc>
          <w:tcPr>
            <w:tcW w:w="1176" w:type="dxa"/>
          </w:tcPr>
          <w:p w14:paraId="1119E9F1"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2A306D7D"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59" w:type="dxa"/>
          </w:tcPr>
          <w:p w14:paraId="1EE50AF6"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158" w:type="dxa"/>
          </w:tcPr>
          <w:p w14:paraId="53E23BD5"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096" w:type="dxa"/>
          </w:tcPr>
          <w:p w14:paraId="291E4AA0"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1857AB16" w14:textId="77777777" w:rsidTr="001769CA">
        <w:trPr>
          <w:jc w:val="center"/>
        </w:trPr>
        <w:tc>
          <w:tcPr>
            <w:tcW w:w="2127" w:type="dxa"/>
          </w:tcPr>
          <w:p w14:paraId="451E9227" w14:textId="77777777" w:rsidR="008927DA" w:rsidRDefault="008927DA" w:rsidP="001769CA">
            <w:pPr>
              <w:rPr>
                <w:rFonts w:ascii="Calibri" w:hAnsi="Calibri"/>
                <w:sz w:val="20"/>
                <w:lang w:eastAsia="ja-JP"/>
              </w:rPr>
            </w:pPr>
            <w:r>
              <w:rPr>
                <w:rFonts w:ascii="Calibri" w:hAnsi="Calibri"/>
                <w:sz w:val="20"/>
                <w:lang w:eastAsia="ja-JP"/>
              </w:rPr>
              <w:t>Other Environmental</w:t>
            </w:r>
          </w:p>
        </w:tc>
        <w:tc>
          <w:tcPr>
            <w:tcW w:w="1176" w:type="dxa"/>
          </w:tcPr>
          <w:p w14:paraId="40D9AD52" w14:textId="77777777" w:rsidR="008927DA" w:rsidRDefault="008927DA" w:rsidP="001769CA">
            <w:pPr>
              <w:jc w:val="center"/>
              <w:rPr>
                <w:rFonts w:ascii="Calibri" w:hAnsi="Calibri"/>
                <w:sz w:val="20"/>
                <w:lang w:eastAsia="ja-JP"/>
              </w:rPr>
            </w:pPr>
            <w:r>
              <w:rPr>
                <w:rFonts w:ascii="Calibri" w:hAnsi="Calibri"/>
                <w:sz w:val="20"/>
                <w:lang w:eastAsia="ja-JP"/>
              </w:rPr>
              <w:t>0</w:t>
            </w:r>
          </w:p>
        </w:tc>
        <w:tc>
          <w:tcPr>
            <w:tcW w:w="1743" w:type="dxa"/>
          </w:tcPr>
          <w:p w14:paraId="79DB03BE" w14:textId="77777777" w:rsidR="008927DA" w:rsidRDefault="008927DA" w:rsidP="001769CA">
            <w:pPr>
              <w:jc w:val="center"/>
              <w:rPr>
                <w:rFonts w:ascii="Calibri" w:hAnsi="Calibri"/>
                <w:sz w:val="20"/>
                <w:lang w:eastAsia="ja-JP"/>
              </w:rPr>
            </w:pPr>
            <w:r>
              <w:rPr>
                <w:rFonts w:ascii="Calibri" w:hAnsi="Calibri"/>
                <w:sz w:val="20"/>
                <w:lang w:eastAsia="ja-JP"/>
              </w:rPr>
              <w:t>0</w:t>
            </w:r>
          </w:p>
        </w:tc>
        <w:tc>
          <w:tcPr>
            <w:tcW w:w="1759" w:type="dxa"/>
          </w:tcPr>
          <w:p w14:paraId="622B91DF"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158" w:type="dxa"/>
          </w:tcPr>
          <w:p w14:paraId="3C880FF9"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096" w:type="dxa"/>
          </w:tcPr>
          <w:p w14:paraId="4AD995E1"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1BBECA9C" w14:textId="77777777" w:rsidTr="001769CA">
        <w:trPr>
          <w:jc w:val="center"/>
        </w:trPr>
        <w:tc>
          <w:tcPr>
            <w:tcW w:w="2127" w:type="dxa"/>
          </w:tcPr>
          <w:p w14:paraId="764B365E" w14:textId="77777777" w:rsidR="008927DA" w:rsidRDefault="008927DA" w:rsidP="001769CA">
            <w:pPr>
              <w:rPr>
                <w:rFonts w:ascii="Calibri" w:hAnsi="Calibri"/>
                <w:sz w:val="20"/>
                <w:lang w:eastAsia="ja-JP"/>
              </w:rPr>
            </w:pPr>
            <w:r>
              <w:rPr>
                <w:rFonts w:ascii="Calibri" w:hAnsi="Calibri"/>
                <w:sz w:val="20"/>
                <w:lang w:eastAsia="ja-JP"/>
              </w:rPr>
              <w:t>Cost Effectiveness (C)</w:t>
            </w:r>
          </w:p>
        </w:tc>
        <w:tc>
          <w:tcPr>
            <w:tcW w:w="1176" w:type="dxa"/>
          </w:tcPr>
          <w:p w14:paraId="3E71AA03"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2994044A"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59" w:type="dxa"/>
          </w:tcPr>
          <w:p w14:paraId="2E756480" w14:textId="77777777" w:rsidR="008927DA" w:rsidRDefault="008927DA" w:rsidP="001769CA">
            <w:pPr>
              <w:jc w:val="center"/>
              <w:rPr>
                <w:rFonts w:ascii="Calibri" w:hAnsi="Calibri"/>
                <w:sz w:val="20"/>
                <w:lang w:eastAsia="ja-JP"/>
              </w:rPr>
            </w:pPr>
            <w:r>
              <w:rPr>
                <w:rFonts w:ascii="Calibri" w:hAnsi="Calibri"/>
                <w:sz w:val="20"/>
                <w:lang w:eastAsia="ja-JP"/>
              </w:rPr>
              <w:t>0</w:t>
            </w:r>
          </w:p>
        </w:tc>
        <w:tc>
          <w:tcPr>
            <w:tcW w:w="1158" w:type="dxa"/>
          </w:tcPr>
          <w:p w14:paraId="689D3F44"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096" w:type="dxa"/>
          </w:tcPr>
          <w:p w14:paraId="7390F974" w14:textId="77777777" w:rsidR="008927DA" w:rsidRDefault="008927DA" w:rsidP="001769CA">
            <w:pPr>
              <w:jc w:val="center"/>
              <w:rPr>
                <w:rFonts w:ascii="Calibri" w:hAnsi="Calibri"/>
                <w:sz w:val="20"/>
                <w:lang w:eastAsia="ja-JP"/>
              </w:rPr>
            </w:pPr>
            <w:r>
              <w:rPr>
                <w:rFonts w:ascii="Calibri" w:hAnsi="Calibri"/>
                <w:sz w:val="20"/>
                <w:lang w:eastAsia="ja-JP"/>
              </w:rPr>
              <w:t>0</w:t>
            </w:r>
          </w:p>
        </w:tc>
      </w:tr>
      <w:tr w:rsidR="008927DA" w14:paraId="6ED6E408" w14:textId="77777777" w:rsidTr="001769CA">
        <w:trPr>
          <w:jc w:val="center"/>
        </w:trPr>
        <w:tc>
          <w:tcPr>
            <w:tcW w:w="2127" w:type="dxa"/>
          </w:tcPr>
          <w:p w14:paraId="016F72B4" w14:textId="77777777" w:rsidR="008927DA" w:rsidRDefault="008927DA" w:rsidP="001769CA">
            <w:pPr>
              <w:rPr>
                <w:rFonts w:ascii="Calibri" w:hAnsi="Calibri"/>
                <w:sz w:val="20"/>
                <w:lang w:eastAsia="ja-JP"/>
              </w:rPr>
            </w:pPr>
            <w:r>
              <w:rPr>
                <w:rFonts w:ascii="Calibri" w:hAnsi="Calibri"/>
                <w:sz w:val="20"/>
                <w:lang w:eastAsia="ja-JP"/>
              </w:rPr>
              <w:t>Cost Effectiveness (O)</w:t>
            </w:r>
          </w:p>
        </w:tc>
        <w:tc>
          <w:tcPr>
            <w:tcW w:w="1176" w:type="dxa"/>
          </w:tcPr>
          <w:p w14:paraId="2B90276D"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544557BD"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59" w:type="dxa"/>
          </w:tcPr>
          <w:p w14:paraId="0343DC85"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158" w:type="dxa"/>
          </w:tcPr>
          <w:p w14:paraId="5D6F96DB"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096" w:type="dxa"/>
          </w:tcPr>
          <w:p w14:paraId="1CFB46C6"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23701DB7" w14:textId="77777777" w:rsidTr="001769CA">
        <w:trPr>
          <w:jc w:val="center"/>
        </w:trPr>
        <w:tc>
          <w:tcPr>
            <w:tcW w:w="2127" w:type="dxa"/>
          </w:tcPr>
          <w:p w14:paraId="44F6F966" w14:textId="77777777" w:rsidR="008927DA" w:rsidRDefault="008927DA" w:rsidP="001769CA">
            <w:pPr>
              <w:rPr>
                <w:rFonts w:ascii="Calibri" w:hAnsi="Calibri"/>
                <w:sz w:val="20"/>
                <w:lang w:eastAsia="ja-JP"/>
              </w:rPr>
            </w:pPr>
            <w:r>
              <w:rPr>
                <w:rFonts w:ascii="Calibri" w:hAnsi="Calibri"/>
                <w:sz w:val="20"/>
                <w:lang w:eastAsia="ja-JP"/>
              </w:rPr>
              <w:t>Process Versatility</w:t>
            </w:r>
          </w:p>
        </w:tc>
        <w:tc>
          <w:tcPr>
            <w:tcW w:w="1176" w:type="dxa"/>
          </w:tcPr>
          <w:p w14:paraId="51CA8682"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61971BDD"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59" w:type="dxa"/>
          </w:tcPr>
          <w:p w14:paraId="7D14EA0A"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158" w:type="dxa"/>
          </w:tcPr>
          <w:p w14:paraId="26636C08"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096" w:type="dxa"/>
          </w:tcPr>
          <w:p w14:paraId="4F34460C" w14:textId="77777777" w:rsidR="008927DA" w:rsidRDefault="008927DA" w:rsidP="001769CA">
            <w:pPr>
              <w:jc w:val="center"/>
              <w:rPr>
                <w:rFonts w:ascii="Calibri" w:hAnsi="Calibri"/>
                <w:sz w:val="20"/>
                <w:lang w:eastAsia="ja-JP"/>
              </w:rPr>
            </w:pPr>
            <w:r>
              <w:rPr>
                <w:rFonts w:ascii="Calibri" w:hAnsi="Calibri"/>
                <w:sz w:val="20"/>
                <w:lang w:eastAsia="ja-JP"/>
              </w:rPr>
              <w:t>+</w:t>
            </w:r>
          </w:p>
        </w:tc>
      </w:tr>
    </w:tbl>
    <w:p w14:paraId="1F30C9C7" w14:textId="77777777" w:rsidR="008927DA" w:rsidRDefault="008927DA" w:rsidP="00390843"/>
    <w:p w14:paraId="2DB99808" w14:textId="77777777" w:rsidR="008927DA" w:rsidRPr="00123C7D" w:rsidRDefault="008927DA" w:rsidP="008927DA">
      <w:pPr>
        <w:spacing w:line="259" w:lineRule="auto"/>
        <w:jc w:val="center"/>
        <w:rPr>
          <w:b/>
          <w:i/>
        </w:rPr>
      </w:pPr>
      <w:r w:rsidRPr="00123C7D">
        <w:rPr>
          <w:b/>
          <w:i/>
        </w:rPr>
        <w:t>Table 15: Indicative assessment of criteria for emerging ODS alternatives in the PU Spray Sector</w:t>
      </w:r>
    </w:p>
    <w:p w14:paraId="440A4259" w14:textId="77777777" w:rsidR="00390843" w:rsidRDefault="00390843" w:rsidP="00390843"/>
    <w:p w14:paraId="58A02932" w14:textId="77777777" w:rsidR="008927DA" w:rsidRDefault="008927DA" w:rsidP="008927DA">
      <w:pPr>
        <w:pStyle w:val="Heading4"/>
      </w:pPr>
      <w:r>
        <w:t>Emerging Alternatives</w:t>
      </w:r>
    </w:p>
    <w:p w14:paraId="13594D57" w14:textId="77777777" w:rsidR="008927DA" w:rsidRPr="00726F05" w:rsidRDefault="008927DA" w:rsidP="008927DA">
      <w:pPr>
        <w:pStyle w:val="Heading4"/>
        <w:rPr>
          <w:sz w:val="8"/>
          <w:szCs w:val="8"/>
        </w:rPr>
      </w:pPr>
    </w:p>
    <w:p w14:paraId="63F8C4D7" w14:textId="77777777" w:rsidR="008927DA" w:rsidRDefault="008927DA" w:rsidP="008927DA">
      <w:pPr>
        <w:jc w:val="both"/>
        <w:rPr>
          <w:lang w:eastAsia="ja-JP"/>
        </w:rPr>
      </w:pPr>
      <w:r>
        <w:rPr>
          <w:lang w:eastAsia="ja-JP"/>
        </w:rPr>
        <w:t xml:space="preserve">Alongside the appliance sector, the PU spray foam sector is attracting the most interest for potential adoption of the unsaturated HCFCs/HFCs. The rapid growth rate for the sector overall, the absence of serious low-GWP contenders and the fact that relatively high emission rates make the climate impact more immediate all align to encourage the manufacturers to focus on this application.        </w:t>
      </w:r>
    </w:p>
    <w:p w14:paraId="116380D3" w14:textId="77777777" w:rsidR="008927DA" w:rsidRDefault="008927DA" w:rsidP="008927DA">
      <w:pPr>
        <w:rPr>
          <w:lang w:eastAsia="ja-JP"/>
        </w:rPr>
      </w:pPr>
    </w:p>
    <w:p w14:paraId="3151E9F5" w14:textId="77777777" w:rsidR="008927DA" w:rsidRDefault="008927DA" w:rsidP="008927DA">
      <w:pPr>
        <w:rPr>
          <w:lang w:eastAsia="ja-JP"/>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8927DA" w14:paraId="5E4B6F03" w14:textId="77777777" w:rsidTr="008927DA">
        <w:trPr>
          <w:cantSplit/>
        </w:trPr>
        <w:tc>
          <w:tcPr>
            <w:tcW w:w="9214" w:type="dxa"/>
            <w:gridSpan w:val="4"/>
            <w:shd w:val="clear" w:color="auto" w:fill="FFFFFF"/>
            <w:vAlign w:val="center"/>
          </w:tcPr>
          <w:p w14:paraId="2E892489" w14:textId="77777777" w:rsidR="008927DA" w:rsidRDefault="008927DA" w:rsidP="001769CA">
            <w:pPr>
              <w:tabs>
                <w:tab w:val="left" w:pos="3544"/>
              </w:tabs>
              <w:spacing w:line="240" w:lineRule="atLeast"/>
              <w:ind w:right="-108"/>
              <w:jc w:val="center"/>
              <w:rPr>
                <w:b/>
                <w:i/>
                <w:sz w:val="20"/>
                <w:lang w:eastAsia="es-ES"/>
              </w:rPr>
            </w:pPr>
            <w:r>
              <w:rPr>
                <w:b/>
                <w:i/>
                <w:sz w:val="20"/>
                <w:lang w:eastAsia="es-ES"/>
              </w:rPr>
              <w:t>HCFC REPLACEMENT OPTIONS FOR PU FOAM FOR BUILDING/ CONSTRUCTION APPLICATIONS</w:t>
            </w:r>
          </w:p>
        </w:tc>
      </w:tr>
      <w:tr w:rsidR="008927DA" w14:paraId="3C7766A9" w14:textId="77777777" w:rsidTr="008927DA">
        <w:trPr>
          <w:cantSplit/>
        </w:trPr>
        <w:tc>
          <w:tcPr>
            <w:tcW w:w="2585" w:type="dxa"/>
            <w:tcBorders>
              <w:bottom w:val="single" w:sz="4" w:space="0" w:color="auto"/>
            </w:tcBorders>
            <w:shd w:val="clear" w:color="auto" w:fill="FFFFFF"/>
            <w:vAlign w:val="center"/>
          </w:tcPr>
          <w:p w14:paraId="0EEEBEBA" w14:textId="77777777" w:rsidR="008927DA" w:rsidRDefault="008927DA" w:rsidP="001769CA">
            <w:pPr>
              <w:tabs>
                <w:tab w:val="left" w:pos="3544"/>
              </w:tabs>
              <w:ind w:right="-75"/>
              <w:jc w:val="center"/>
              <w:rPr>
                <w:b/>
                <w:sz w:val="18"/>
              </w:rPr>
            </w:pPr>
            <w:r>
              <w:rPr>
                <w:b/>
                <w:sz w:val="18"/>
              </w:rPr>
              <w:t>SECTOR/OPTION</w:t>
            </w:r>
          </w:p>
        </w:tc>
        <w:tc>
          <w:tcPr>
            <w:tcW w:w="1979" w:type="dxa"/>
            <w:tcBorders>
              <w:bottom w:val="single" w:sz="4" w:space="0" w:color="auto"/>
            </w:tcBorders>
            <w:shd w:val="clear" w:color="auto" w:fill="FFFFFF"/>
            <w:vAlign w:val="center"/>
          </w:tcPr>
          <w:p w14:paraId="7817A9FA" w14:textId="77777777" w:rsidR="008927DA" w:rsidRDefault="008927DA"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tcBorders>
              <w:bottom w:val="single" w:sz="4" w:space="0" w:color="auto"/>
            </w:tcBorders>
            <w:shd w:val="clear" w:color="auto" w:fill="FFFFFF"/>
            <w:vAlign w:val="center"/>
          </w:tcPr>
          <w:p w14:paraId="3EE0D5CE" w14:textId="77777777" w:rsidR="008927DA" w:rsidRDefault="008927DA"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tcBorders>
              <w:bottom w:val="single" w:sz="4" w:space="0" w:color="auto"/>
            </w:tcBorders>
            <w:shd w:val="clear" w:color="auto" w:fill="FFFFFF"/>
            <w:vAlign w:val="center"/>
          </w:tcPr>
          <w:p w14:paraId="52770E96" w14:textId="77777777" w:rsidR="008927DA" w:rsidRDefault="008927DA" w:rsidP="001769CA">
            <w:pPr>
              <w:keepNext/>
              <w:widowControl w:val="0"/>
              <w:tabs>
                <w:tab w:val="left" w:pos="1080"/>
                <w:tab w:val="left" w:pos="3544"/>
              </w:tabs>
              <w:spacing w:before="120" w:after="120"/>
              <w:jc w:val="center"/>
              <w:outlineLvl w:val="3"/>
              <w:rPr>
                <w:b/>
                <w:i/>
                <w:sz w:val="18"/>
              </w:rPr>
            </w:pPr>
            <w:r>
              <w:rPr>
                <w:b/>
                <w:i/>
                <w:sz w:val="18"/>
              </w:rPr>
              <w:t>COMMENTS</w:t>
            </w:r>
          </w:p>
        </w:tc>
      </w:tr>
      <w:tr w:rsidR="008927DA" w14:paraId="5C0885F8" w14:textId="77777777" w:rsidTr="008927DA">
        <w:trPr>
          <w:cantSplit/>
        </w:trPr>
        <w:tc>
          <w:tcPr>
            <w:tcW w:w="9214" w:type="dxa"/>
            <w:gridSpan w:val="4"/>
            <w:shd w:val="clear" w:color="auto" w:fill="C0C0C0"/>
            <w:vAlign w:val="center"/>
          </w:tcPr>
          <w:p w14:paraId="4BAA36E3" w14:textId="77777777" w:rsidR="008927DA" w:rsidRDefault="008927DA" w:rsidP="001769CA">
            <w:pPr>
              <w:rPr>
                <w:b/>
                <w:i/>
              </w:rPr>
            </w:pPr>
            <w:r>
              <w:rPr>
                <w:b/>
                <w:i/>
              </w:rPr>
              <w:t>Spray foam</w:t>
            </w:r>
          </w:p>
        </w:tc>
      </w:tr>
      <w:tr w:rsidR="008927DA" w14:paraId="130C0826" w14:textId="77777777" w:rsidTr="008927DA">
        <w:trPr>
          <w:cantSplit/>
        </w:trPr>
        <w:tc>
          <w:tcPr>
            <w:tcW w:w="2585" w:type="dxa"/>
            <w:vAlign w:val="center"/>
          </w:tcPr>
          <w:p w14:paraId="4E085D53" w14:textId="0932AF58" w:rsidR="008927DA" w:rsidRDefault="008927DA" w:rsidP="001769CA">
            <w:pPr>
              <w:tabs>
                <w:tab w:val="left" w:pos="720"/>
                <w:tab w:val="left" w:pos="1440"/>
                <w:tab w:val="left" w:pos="3544"/>
                <w:tab w:val="left" w:pos="5760"/>
              </w:tabs>
              <w:ind w:right="-75"/>
              <w:jc w:val="both"/>
              <w:rPr>
                <w:sz w:val="18"/>
              </w:rPr>
            </w:pPr>
            <w:r>
              <w:rPr>
                <w:sz w:val="18"/>
              </w:rPr>
              <w:t>Liquid Unsaturated HFC/HCFCs (HFOs</w:t>
            </w:r>
            <w:r w:rsidR="00547D8E">
              <w:rPr>
                <w:sz w:val="18"/>
              </w:rPr>
              <w:t>)</w:t>
            </w:r>
            <w:r>
              <w:rPr>
                <w:sz w:val="18"/>
              </w:rPr>
              <w:t xml:space="preserve"> </w:t>
            </w:r>
          </w:p>
        </w:tc>
        <w:tc>
          <w:tcPr>
            <w:tcW w:w="1979" w:type="dxa"/>
            <w:vAlign w:val="center"/>
          </w:tcPr>
          <w:p w14:paraId="31F11803" w14:textId="77777777" w:rsidR="008927DA" w:rsidRDefault="008927DA" w:rsidP="001769CA">
            <w:pPr>
              <w:keepNext/>
              <w:widowControl w:val="0"/>
              <w:tabs>
                <w:tab w:val="left" w:pos="1080"/>
                <w:tab w:val="left" w:pos="3544"/>
              </w:tabs>
              <w:ind w:right="-576"/>
              <w:outlineLvl w:val="3"/>
              <w:rPr>
                <w:i/>
                <w:sz w:val="18"/>
              </w:rPr>
            </w:pPr>
            <w:r>
              <w:rPr>
                <w:i/>
                <w:sz w:val="18"/>
              </w:rPr>
              <w:t>Low GWP</w:t>
            </w:r>
          </w:p>
        </w:tc>
        <w:tc>
          <w:tcPr>
            <w:tcW w:w="2099" w:type="dxa"/>
            <w:vAlign w:val="center"/>
          </w:tcPr>
          <w:p w14:paraId="09330349" w14:textId="77777777" w:rsidR="008927DA" w:rsidRDefault="008927DA" w:rsidP="001769CA">
            <w:pPr>
              <w:keepNext/>
              <w:widowControl w:val="0"/>
              <w:tabs>
                <w:tab w:val="left" w:pos="1080"/>
                <w:tab w:val="left" w:pos="3544"/>
              </w:tabs>
              <w:ind w:right="-86"/>
              <w:outlineLvl w:val="3"/>
              <w:rPr>
                <w:i/>
                <w:sz w:val="18"/>
              </w:rPr>
            </w:pPr>
            <w:r>
              <w:rPr>
                <w:i/>
                <w:sz w:val="18"/>
              </w:rPr>
              <w:t>High operating costs but improved by using mixed HFC/ CO</w:t>
            </w:r>
            <w:r>
              <w:rPr>
                <w:i/>
                <w:sz w:val="18"/>
                <w:vertAlign w:val="subscript"/>
              </w:rPr>
              <w:t xml:space="preserve">2 </w:t>
            </w:r>
            <w:r>
              <w:rPr>
                <w:i/>
                <w:sz w:val="18"/>
              </w:rPr>
              <w:t>(water)</w:t>
            </w:r>
          </w:p>
        </w:tc>
        <w:tc>
          <w:tcPr>
            <w:tcW w:w="2551" w:type="dxa"/>
            <w:vAlign w:val="center"/>
          </w:tcPr>
          <w:p w14:paraId="0511B2FB" w14:textId="77777777" w:rsidR="008927DA" w:rsidRDefault="008927DA" w:rsidP="001769CA">
            <w:pPr>
              <w:keepNext/>
              <w:widowControl w:val="0"/>
              <w:tabs>
                <w:tab w:val="left" w:pos="1080"/>
                <w:tab w:val="left" w:pos="3544"/>
              </w:tabs>
              <w:ind w:right="-108"/>
              <w:outlineLvl w:val="3"/>
              <w:rPr>
                <w:i/>
                <w:sz w:val="18"/>
              </w:rPr>
            </w:pPr>
            <w:r>
              <w:rPr>
                <w:i/>
                <w:sz w:val="18"/>
              </w:rPr>
              <w:t>First expected commercialization from 2013</w:t>
            </w:r>
          </w:p>
        </w:tc>
      </w:tr>
      <w:tr w:rsidR="008927DA" w14:paraId="7B4C2A9E" w14:textId="77777777" w:rsidTr="008927DA">
        <w:trPr>
          <w:cantSplit/>
        </w:trPr>
        <w:tc>
          <w:tcPr>
            <w:tcW w:w="2585" w:type="dxa"/>
            <w:vAlign w:val="center"/>
          </w:tcPr>
          <w:p w14:paraId="4FA15FC9" w14:textId="77777777" w:rsidR="008927DA" w:rsidRDefault="008927DA" w:rsidP="001769CA">
            <w:pPr>
              <w:tabs>
                <w:tab w:val="left" w:pos="720"/>
                <w:tab w:val="left" w:pos="1440"/>
                <w:tab w:val="left" w:pos="3544"/>
                <w:tab w:val="left" w:pos="5760"/>
              </w:tabs>
              <w:ind w:right="-75"/>
              <w:jc w:val="both"/>
              <w:rPr>
                <w:sz w:val="18"/>
              </w:rPr>
            </w:pPr>
          </w:p>
        </w:tc>
        <w:tc>
          <w:tcPr>
            <w:tcW w:w="1979" w:type="dxa"/>
            <w:vAlign w:val="center"/>
          </w:tcPr>
          <w:p w14:paraId="7CE494E2" w14:textId="77777777" w:rsidR="008927DA" w:rsidRDefault="008927DA" w:rsidP="001769CA">
            <w:pPr>
              <w:keepNext/>
              <w:widowControl w:val="0"/>
              <w:tabs>
                <w:tab w:val="left" w:pos="1080"/>
                <w:tab w:val="left" w:pos="3544"/>
              </w:tabs>
              <w:ind w:right="-576"/>
              <w:outlineLvl w:val="3"/>
              <w:rPr>
                <w:i/>
                <w:sz w:val="18"/>
              </w:rPr>
            </w:pPr>
            <w:r>
              <w:rPr>
                <w:i/>
                <w:sz w:val="18"/>
              </w:rPr>
              <w:t>Non-flammable</w:t>
            </w:r>
          </w:p>
        </w:tc>
        <w:tc>
          <w:tcPr>
            <w:tcW w:w="2099" w:type="dxa"/>
            <w:vAlign w:val="center"/>
          </w:tcPr>
          <w:p w14:paraId="68308D66" w14:textId="77777777" w:rsidR="008927DA" w:rsidRDefault="008927DA" w:rsidP="001769CA">
            <w:pPr>
              <w:keepNext/>
              <w:widowControl w:val="0"/>
              <w:tabs>
                <w:tab w:val="left" w:pos="1080"/>
                <w:tab w:val="left" w:pos="3544"/>
              </w:tabs>
              <w:ind w:right="-86"/>
              <w:outlineLvl w:val="3"/>
              <w:rPr>
                <w:i/>
                <w:sz w:val="18"/>
              </w:rPr>
            </w:pPr>
          </w:p>
        </w:tc>
        <w:tc>
          <w:tcPr>
            <w:tcW w:w="2551" w:type="dxa"/>
            <w:vAlign w:val="center"/>
          </w:tcPr>
          <w:p w14:paraId="29AD6017" w14:textId="77777777" w:rsidR="008927DA" w:rsidRDefault="008927DA" w:rsidP="001769CA">
            <w:pPr>
              <w:keepNext/>
              <w:widowControl w:val="0"/>
              <w:tabs>
                <w:tab w:val="left" w:pos="1080"/>
                <w:tab w:val="left" w:pos="3544"/>
              </w:tabs>
              <w:ind w:right="-576"/>
              <w:outlineLvl w:val="3"/>
              <w:rPr>
                <w:i/>
                <w:sz w:val="18"/>
              </w:rPr>
            </w:pPr>
            <w:r>
              <w:rPr>
                <w:i/>
                <w:sz w:val="18"/>
              </w:rPr>
              <w:t>Trials in progress</w:t>
            </w:r>
          </w:p>
        </w:tc>
      </w:tr>
      <w:tr w:rsidR="008927DA" w14:paraId="423A6A76" w14:textId="77777777" w:rsidTr="008927DA">
        <w:trPr>
          <w:cantSplit/>
        </w:trPr>
        <w:tc>
          <w:tcPr>
            <w:tcW w:w="2585" w:type="dxa"/>
            <w:vAlign w:val="center"/>
          </w:tcPr>
          <w:p w14:paraId="340BEE8E" w14:textId="77777777" w:rsidR="008927DA" w:rsidRDefault="008927DA" w:rsidP="001769CA">
            <w:pPr>
              <w:tabs>
                <w:tab w:val="left" w:pos="720"/>
                <w:tab w:val="left" w:pos="1440"/>
                <w:tab w:val="left" w:pos="3544"/>
                <w:tab w:val="left" w:pos="5760"/>
              </w:tabs>
              <w:ind w:right="-75"/>
              <w:jc w:val="both"/>
              <w:rPr>
                <w:sz w:val="18"/>
              </w:rPr>
            </w:pPr>
          </w:p>
        </w:tc>
        <w:tc>
          <w:tcPr>
            <w:tcW w:w="1979" w:type="dxa"/>
            <w:vAlign w:val="center"/>
          </w:tcPr>
          <w:p w14:paraId="48CB7A81" w14:textId="77777777" w:rsidR="008927DA" w:rsidRDefault="008927DA" w:rsidP="001769CA">
            <w:pPr>
              <w:keepNext/>
              <w:widowControl w:val="0"/>
              <w:tabs>
                <w:tab w:val="left" w:pos="1080"/>
                <w:tab w:val="left" w:pos="3544"/>
              </w:tabs>
              <w:ind w:right="-576"/>
              <w:outlineLvl w:val="3"/>
              <w:rPr>
                <w:i/>
                <w:sz w:val="18"/>
              </w:rPr>
            </w:pPr>
          </w:p>
        </w:tc>
        <w:tc>
          <w:tcPr>
            <w:tcW w:w="2099" w:type="dxa"/>
            <w:vAlign w:val="center"/>
          </w:tcPr>
          <w:p w14:paraId="41277431" w14:textId="77777777" w:rsidR="008927DA" w:rsidRDefault="008927DA" w:rsidP="001769CA">
            <w:pPr>
              <w:keepNext/>
              <w:widowControl w:val="0"/>
              <w:tabs>
                <w:tab w:val="left" w:pos="1080"/>
                <w:tab w:val="left" w:pos="3544"/>
              </w:tabs>
              <w:ind w:right="-86"/>
              <w:outlineLvl w:val="3"/>
              <w:rPr>
                <w:i/>
                <w:sz w:val="18"/>
              </w:rPr>
            </w:pPr>
          </w:p>
        </w:tc>
        <w:tc>
          <w:tcPr>
            <w:tcW w:w="2551" w:type="dxa"/>
            <w:vAlign w:val="center"/>
          </w:tcPr>
          <w:p w14:paraId="21A140A9" w14:textId="77777777" w:rsidR="008927DA" w:rsidRDefault="008927DA" w:rsidP="001769CA">
            <w:pPr>
              <w:keepNext/>
              <w:widowControl w:val="0"/>
              <w:tabs>
                <w:tab w:val="left" w:pos="1080"/>
                <w:tab w:val="left" w:pos="3544"/>
              </w:tabs>
              <w:ind w:right="-108"/>
              <w:outlineLvl w:val="3"/>
              <w:rPr>
                <w:i/>
                <w:sz w:val="18"/>
              </w:rPr>
            </w:pPr>
            <w:r>
              <w:rPr>
                <w:i/>
                <w:sz w:val="18"/>
              </w:rPr>
              <w:t>Low incremental capital cost</w:t>
            </w:r>
          </w:p>
        </w:tc>
      </w:tr>
    </w:tbl>
    <w:p w14:paraId="56130D41" w14:textId="77777777" w:rsidR="008927DA" w:rsidRPr="008927DA" w:rsidRDefault="008927DA" w:rsidP="008927DA">
      <w:pPr>
        <w:spacing w:line="259" w:lineRule="auto"/>
        <w:jc w:val="center"/>
        <w:rPr>
          <w:i/>
          <w:sz w:val="8"/>
          <w:szCs w:val="8"/>
        </w:rPr>
      </w:pPr>
    </w:p>
    <w:p w14:paraId="33F04F08" w14:textId="77777777" w:rsidR="008927DA" w:rsidRPr="00123C7D" w:rsidRDefault="008927DA" w:rsidP="008927DA">
      <w:pPr>
        <w:spacing w:line="259" w:lineRule="auto"/>
        <w:jc w:val="center"/>
        <w:rPr>
          <w:b/>
          <w:i/>
        </w:rPr>
      </w:pPr>
      <w:r w:rsidRPr="00123C7D">
        <w:rPr>
          <w:b/>
          <w:i/>
        </w:rPr>
        <w:t>Table 16: Emerging alternatives to ODS in the PU Spray Foam Sector</w:t>
      </w:r>
    </w:p>
    <w:p w14:paraId="2514A646" w14:textId="77777777" w:rsidR="008927DA" w:rsidRDefault="008927DA" w:rsidP="008927DA">
      <w:pPr>
        <w:rPr>
          <w:lang w:eastAsia="ja-JP"/>
        </w:rPr>
      </w:pPr>
    </w:p>
    <w:p w14:paraId="243B8008" w14:textId="77777777" w:rsidR="008927DA" w:rsidRDefault="008927DA" w:rsidP="008927DA">
      <w:pPr>
        <w:jc w:val="both"/>
        <w:rPr>
          <w:lang w:eastAsia="ja-JP"/>
        </w:rPr>
      </w:pPr>
      <w:r>
        <w:rPr>
          <w:lang w:eastAsia="ja-JP"/>
        </w:rPr>
        <w:t>The cost of the alternatives remains the key question but this consideration is slightly diffused by the fact that the CO</w:t>
      </w:r>
      <w:r>
        <w:rPr>
          <w:vertAlign w:val="subscript"/>
          <w:lang w:eastAsia="ja-JP"/>
        </w:rPr>
        <w:t xml:space="preserve">2 </w:t>
      </w:r>
      <w:r>
        <w:rPr>
          <w:lang w:eastAsia="ja-JP"/>
        </w:rPr>
        <w:t xml:space="preserve">(water) technology developed around HFC-245fa and HC-365mfc/227ea looks transferable to the unsaturated blowing agents as well. Manufacturers are in the process of field trials and the development of fairly sophisticated life cycle assessments to ensure that they have assessed the environmental impacts correctly. The co-blowing solution does not detract significantly from the overall thermal performance of the foam and the introduction of a low-GWP solution of this type would clear the way for widespread use of PU spray foam in a wide variety of refurbishment applications over the next 30-50 years as global attention focuses increasingly on building energy efficiency in existing stock. However, there are emerging concerns about the potential stability of the gaseous unsaturated blowing agents in low-pressure, pre-blended formulations. This is the subject of intense further development work, but no immediate solution has so far been forthcoming. The following table has been updated accordingly.  </w:t>
      </w:r>
    </w:p>
    <w:p w14:paraId="19AB7A04" w14:textId="77777777" w:rsidR="008927DA" w:rsidRDefault="008927DA" w:rsidP="008927DA">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514"/>
        <w:gridCol w:w="2090"/>
        <w:gridCol w:w="1743"/>
      </w:tblGrid>
      <w:tr w:rsidR="008927DA" w14:paraId="117E2F39" w14:textId="77777777" w:rsidTr="008927DA">
        <w:trPr>
          <w:jc w:val="center"/>
        </w:trPr>
        <w:tc>
          <w:tcPr>
            <w:tcW w:w="2067" w:type="dxa"/>
            <w:shd w:val="clear" w:color="auto" w:fill="D9D9D9" w:themeFill="background1" w:themeFillShade="D9"/>
          </w:tcPr>
          <w:p w14:paraId="6274AD63" w14:textId="77777777" w:rsidR="008927DA" w:rsidRDefault="008927DA" w:rsidP="001769CA">
            <w:pPr>
              <w:rPr>
                <w:lang w:eastAsia="ja-JP"/>
              </w:rPr>
            </w:pPr>
          </w:p>
        </w:tc>
        <w:tc>
          <w:tcPr>
            <w:tcW w:w="1514" w:type="dxa"/>
            <w:shd w:val="clear" w:color="auto" w:fill="D9D9D9" w:themeFill="background1" w:themeFillShade="D9"/>
            <w:vAlign w:val="center"/>
          </w:tcPr>
          <w:p w14:paraId="312CA92D" w14:textId="77777777" w:rsidR="008927DA" w:rsidRDefault="008927DA" w:rsidP="001769CA">
            <w:pPr>
              <w:jc w:val="center"/>
              <w:rPr>
                <w:rFonts w:ascii="Calibri" w:hAnsi="Calibri"/>
                <w:b/>
                <w:i/>
                <w:sz w:val="20"/>
                <w:lang w:eastAsia="ja-JP"/>
              </w:rPr>
            </w:pPr>
            <w:r>
              <w:rPr>
                <w:rFonts w:ascii="Calibri" w:hAnsi="Calibri"/>
                <w:b/>
                <w:i/>
                <w:sz w:val="20"/>
                <w:lang w:eastAsia="ja-JP"/>
              </w:rPr>
              <w:t>HFO-1234ze(E)</w:t>
            </w:r>
          </w:p>
        </w:tc>
        <w:tc>
          <w:tcPr>
            <w:tcW w:w="2090" w:type="dxa"/>
            <w:shd w:val="clear" w:color="auto" w:fill="D9D9D9" w:themeFill="background1" w:themeFillShade="D9"/>
            <w:vAlign w:val="center"/>
          </w:tcPr>
          <w:p w14:paraId="1962E0A4" w14:textId="77777777" w:rsidR="008927DA" w:rsidRDefault="008927DA" w:rsidP="001769CA">
            <w:pPr>
              <w:jc w:val="center"/>
              <w:rPr>
                <w:rFonts w:ascii="Calibri" w:hAnsi="Calibri"/>
                <w:b/>
                <w:i/>
                <w:sz w:val="20"/>
                <w:lang w:eastAsia="ja-JP"/>
              </w:rPr>
            </w:pPr>
            <w:r>
              <w:rPr>
                <w:rFonts w:ascii="Calibri" w:hAnsi="Calibri"/>
                <w:b/>
                <w:i/>
                <w:sz w:val="20"/>
                <w:lang w:eastAsia="ja-JP"/>
              </w:rPr>
              <w:t>HFO-1336mzzm(Z)</w:t>
            </w:r>
          </w:p>
        </w:tc>
        <w:tc>
          <w:tcPr>
            <w:tcW w:w="1743" w:type="dxa"/>
            <w:shd w:val="clear" w:color="auto" w:fill="D9D9D9" w:themeFill="background1" w:themeFillShade="D9"/>
            <w:vAlign w:val="center"/>
          </w:tcPr>
          <w:p w14:paraId="0150BD63" w14:textId="77777777" w:rsidR="008927DA" w:rsidRDefault="008927DA" w:rsidP="001769CA">
            <w:pPr>
              <w:jc w:val="center"/>
              <w:rPr>
                <w:rFonts w:ascii="Calibri" w:hAnsi="Calibri"/>
                <w:b/>
                <w:i/>
                <w:sz w:val="20"/>
                <w:lang w:eastAsia="ja-JP"/>
              </w:rPr>
            </w:pPr>
            <w:r>
              <w:rPr>
                <w:rFonts w:ascii="Calibri" w:hAnsi="Calibri"/>
                <w:b/>
                <w:i/>
                <w:sz w:val="20"/>
                <w:lang w:eastAsia="ja-JP"/>
              </w:rPr>
              <w:t>HFO-1233zd(E)</w:t>
            </w:r>
          </w:p>
        </w:tc>
      </w:tr>
      <w:tr w:rsidR="008927DA" w14:paraId="471E7DC4" w14:textId="77777777" w:rsidTr="001769CA">
        <w:trPr>
          <w:trHeight w:hRule="exact" w:val="295"/>
          <w:jc w:val="center"/>
        </w:trPr>
        <w:tc>
          <w:tcPr>
            <w:tcW w:w="2067" w:type="dxa"/>
          </w:tcPr>
          <w:p w14:paraId="30E65049" w14:textId="77777777" w:rsidR="008927DA" w:rsidRDefault="008927DA" w:rsidP="001769CA">
            <w:pPr>
              <w:rPr>
                <w:rFonts w:ascii="Calibri" w:hAnsi="Calibri"/>
                <w:sz w:val="20"/>
                <w:lang w:eastAsia="ja-JP"/>
              </w:rPr>
            </w:pPr>
          </w:p>
        </w:tc>
        <w:tc>
          <w:tcPr>
            <w:tcW w:w="1514" w:type="dxa"/>
            <w:vAlign w:val="center"/>
          </w:tcPr>
          <w:p w14:paraId="0EA2D6CE" w14:textId="77777777" w:rsidR="008927DA" w:rsidRDefault="00F57B84" w:rsidP="001769CA">
            <w:pPr>
              <w:jc w:val="center"/>
              <w:rPr>
                <w:rFonts w:ascii="Calibri" w:hAnsi="Calibri"/>
                <w:i/>
                <w:sz w:val="20"/>
                <w:lang w:eastAsia="ja-JP"/>
              </w:rPr>
            </w:pPr>
            <w:r>
              <w:rPr>
                <w:rFonts w:ascii="Calibri" w:hAnsi="Calibri"/>
                <w:i/>
                <w:sz w:val="20"/>
                <w:lang w:eastAsia="ja-JP"/>
              </w:rPr>
              <w:t>G</w:t>
            </w:r>
            <w:r w:rsidR="008927DA">
              <w:rPr>
                <w:rFonts w:ascii="Calibri" w:hAnsi="Calibri"/>
                <w:i/>
                <w:sz w:val="20"/>
                <w:lang w:eastAsia="ja-JP"/>
              </w:rPr>
              <w:t>aseous</w:t>
            </w:r>
          </w:p>
        </w:tc>
        <w:tc>
          <w:tcPr>
            <w:tcW w:w="2090" w:type="dxa"/>
            <w:vAlign w:val="center"/>
          </w:tcPr>
          <w:p w14:paraId="1817433D" w14:textId="77777777" w:rsidR="008927DA" w:rsidRDefault="008927DA" w:rsidP="001769CA">
            <w:pPr>
              <w:jc w:val="center"/>
              <w:rPr>
                <w:rFonts w:ascii="Calibri" w:hAnsi="Calibri"/>
                <w:i/>
                <w:sz w:val="20"/>
                <w:lang w:eastAsia="ja-JP"/>
              </w:rPr>
            </w:pPr>
            <w:r>
              <w:rPr>
                <w:rFonts w:ascii="Calibri" w:hAnsi="Calibri"/>
                <w:i/>
                <w:sz w:val="20"/>
                <w:lang w:eastAsia="ja-JP"/>
              </w:rPr>
              <w:t>liquid</w:t>
            </w:r>
          </w:p>
        </w:tc>
        <w:tc>
          <w:tcPr>
            <w:tcW w:w="1743" w:type="dxa"/>
            <w:vAlign w:val="center"/>
          </w:tcPr>
          <w:p w14:paraId="4F7B454D" w14:textId="77777777" w:rsidR="008927DA" w:rsidRDefault="008927DA" w:rsidP="001769CA">
            <w:pPr>
              <w:jc w:val="center"/>
              <w:rPr>
                <w:rFonts w:ascii="Calibri" w:hAnsi="Calibri"/>
                <w:i/>
                <w:sz w:val="20"/>
                <w:lang w:eastAsia="ja-JP"/>
              </w:rPr>
            </w:pPr>
            <w:r>
              <w:rPr>
                <w:rFonts w:ascii="Calibri" w:hAnsi="Calibri"/>
                <w:i/>
                <w:sz w:val="20"/>
                <w:lang w:eastAsia="ja-JP"/>
              </w:rPr>
              <w:t>Liquid</w:t>
            </w:r>
          </w:p>
        </w:tc>
      </w:tr>
      <w:tr w:rsidR="008927DA" w14:paraId="0509EA77" w14:textId="77777777" w:rsidTr="001769CA">
        <w:trPr>
          <w:jc w:val="center"/>
        </w:trPr>
        <w:tc>
          <w:tcPr>
            <w:tcW w:w="2067" w:type="dxa"/>
          </w:tcPr>
          <w:p w14:paraId="77CBA1D0" w14:textId="77777777" w:rsidR="008927DA" w:rsidRDefault="008927DA" w:rsidP="001769CA">
            <w:pPr>
              <w:rPr>
                <w:rFonts w:ascii="Calibri" w:hAnsi="Calibri"/>
                <w:sz w:val="20"/>
                <w:lang w:eastAsia="ja-JP"/>
              </w:rPr>
            </w:pPr>
            <w:r>
              <w:rPr>
                <w:rFonts w:ascii="Calibri" w:hAnsi="Calibri"/>
                <w:sz w:val="20"/>
                <w:lang w:eastAsia="ja-JP"/>
              </w:rPr>
              <w:t>Proof of performance</w:t>
            </w:r>
          </w:p>
        </w:tc>
        <w:tc>
          <w:tcPr>
            <w:tcW w:w="1514" w:type="dxa"/>
          </w:tcPr>
          <w:p w14:paraId="5A0BB20E" w14:textId="77777777" w:rsidR="008927DA" w:rsidRDefault="008927DA" w:rsidP="001769CA">
            <w:pPr>
              <w:jc w:val="center"/>
              <w:rPr>
                <w:rFonts w:ascii="Calibri" w:hAnsi="Calibri"/>
                <w:sz w:val="20"/>
                <w:lang w:eastAsia="ja-JP"/>
              </w:rPr>
            </w:pPr>
            <w:r>
              <w:rPr>
                <w:rFonts w:ascii="Calibri" w:hAnsi="Calibri"/>
                <w:sz w:val="20"/>
                <w:lang w:eastAsia="ja-JP"/>
              </w:rPr>
              <w:t>0</w:t>
            </w:r>
          </w:p>
        </w:tc>
        <w:tc>
          <w:tcPr>
            <w:tcW w:w="2090" w:type="dxa"/>
          </w:tcPr>
          <w:p w14:paraId="0DBAA8EB"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4CEEED14"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65F8438B" w14:textId="77777777" w:rsidTr="001769CA">
        <w:trPr>
          <w:jc w:val="center"/>
        </w:trPr>
        <w:tc>
          <w:tcPr>
            <w:tcW w:w="2067" w:type="dxa"/>
          </w:tcPr>
          <w:p w14:paraId="687494AB" w14:textId="77777777" w:rsidR="008927DA" w:rsidRDefault="008927DA" w:rsidP="001769CA">
            <w:pPr>
              <w:rPr>
                <w:rFonts w:ascii="Calibri" w:hAnsi="Calibri"/>
                <w:sz w:val="20"/>
                <w:lang w:eastAsia="ja-JP"/>
              </w:rPr>
            </w:pPr>
            <w:r>
              <w:rPr>
                <w:rFonts w:ascii="Calibri" w:hAnsi="Calibri"/>
                <w:sz w:val="20"/>
                <w:lang w:eastAsia="ja-JP"/>
              </w:rPr>
              <w:t>Flammability</w:t>
            </w:r>
          </w:p>
        </w:tc>
        <w:tc>
          <w:tcPr>
            <w:tcW w:w="1514" w:type="dxa"/>
          </w:tcPr>
          <w:p w14:paraId="5B786239"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345D1972"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72A6041A"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4F41A974" w14:textId="77777777" w:rsidTr="001769CA">
        <w:trPr>
          <w:jc w:val="center"/>
        </w:trPr>
        <w:tc>
          <w:tcPr>
            <w:tcW w:w="2067" w:type="dxa"/>
          </w:tcPr>
          <w:p w14:paraId="00440D22" w14:textId="77777777" w:rsidR="008927DA" w:rsidRDefault="008927DA" w:rsidP="001769CA">
            <w:pPr>
              <w:rPr>
                <w:rFonts w:ascii="Calibri" w:hAnsi="Calibri"/>
                <w:sz w:val="20"/>
                <w:lang w:eastAsia="ja-JP"/>
              </w:rPr>
            </w:pPr>
            <w:r>
              <w:rPr>
                <w:rFonts w:ascii="Calibri" w:hAnsi="Calibri"/>
                <w:sz w:val="20"/>
                <w:lang w:eastAsia="ja-JP"/>
              </w:rPr>
              <w:t>Other Health &amp; Safety</w:t>
            </w:r>
          </w:p>
        </w:tc>
        <w:tc>
          <w:tcPr>
            <w:tcW w:w="1514" w:type="dxa"/>
          </w:tcPr>
          <w:p w14:paraId="4DB87877"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38F24007"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408F29C1"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748D2EC3" w14:textId="77777777" w:rsidTr="001769CA">
        <w:trPr>
          <w:jc w:val="center"/>
        </w:trPr>
        <w:tc>
          <w:tcPr>
            <w:tcW w:w="2067" w:type="dxa"/>
          </w:tcPr>
          <w:p w14:paraId="250EA6E7" w14:textId="77777777" w:rsidR="008927DA" w:rsidRDefault="008927DA" w:rsidP="001769CA">
            <w:pPr>
              <w:rPr>
                <w:rFonts w:ascii="Calibri" w:hAnsi="Calibri"/>
                <w:sz w:val="20"/>
                <w:lang w:eastAsia="ja-JP"/>
              </w:rPr>
            </w:pPr>
            <w:r>
              <w:rPr>
                <w:rFonts w:ascii="Calibri" w:hAnsi="Calibri"/>
                <w:sz w:val="20"/>
                <w:lang w:eastAsia="ja-JP"/>
              </w:rPr>
              <w:t>Global Warming</w:t>
            </w:r>
          </w:p>
        </w:tc>
        <w:tc>
          <w:tcPr>
            <w:tcW w:w="1514" w:type="dxa"/>
          </w:tcPr>
          <w:p w14:paraId="3E25A4A4"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4529EE4F"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74A83885"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21430FBC" w14:textId="77777777" w:rsidTr="001769CA">
        <w:trPr>
          <w:jc w:val="center"/>
        </w:trPr>
        <w:tc>
          <w:tcPr>
            <w:tcW w:w="2067" w:type="dxa"/>
          </w:tcPr>
          <w:p w14:paraId="6747F722" w14:textId="77777777" w:rsidR="008927DA" w:rsidRDefault="008927DA" w:rsidP="001769CA">
            <w:pPr>
              <w:rPr>
                <w:rFonts w:ascii="Calibri" w:hAnsi="Calibri"/>
                <w:sz w:val="20"/>
                <w:lang w:eastAsia="ja-JP"/>
              </w:rPr>
            </w:pPr>
            <w:r>
              <w:rPr>
                <w:rFonts w:ascii="Calibri" w:hAnsi="Calibri"/>
                <w:sz w:val="20"/>
                <w:lang w:eastAsia="ja-JP"/>
              </w:rPr>
              <w:t>Other Environmental</w:t>
            </w:r>
          </w:p>
        </w:tc>
        <w:tc>
          <w:tcPr>
            <w:tcW w:w="1514" w:type="dxa"/>
          </w:tcPr>
          <w:p w14:paraId="4EE0BCC6"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1EB6E793"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69DEBE9A"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0BFCBE31" w14:textId="77777777" w:rsidTr="001769CA">
        <w:trPr>
          <w:jc w:val="center"/>
        </w:trPr>
        <w:tc>
          <w:tcPr>
            <w:tcW w:w="2067" w:type="dxa"/>
          </w:tcPr>
          <w:p w14:paraId="24BF6774" w14:textId="77777777" w:rsidR="008927DA" w:rsidRDefault="008927DA" w:rsidP="001769CA">
            <w:pPr>
              <w:rPr>
                <w:rFonts w:ascii="Calibri" w:hAnsi="Calibri"/>
                <w:sz w:val="20"/>
                <w:lang w:eastAsia="ja-JP"/>
              </w:rPr>
            </w:pPr>
            <w:r>
              <w:rPr>
                <w:rFonts w:ascii="Calibri" w:hAnsi="Calibri"/>
                <w:sz w:val="20"/>
                <w:lang w:eastAsia="ja-JP"/>
              </w:rPr>
              <w:t>Cost Effectiveness (C)</w:t>
            </w:r>
          </w:p>
        </w:tc>
        <w:tc>
          <w:tcPr>
            <w:tcW w:w="1514" w:type="dxa"/>
          </w:tcPr>
          <w:p w14:paraId="5DF0A3E8"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73CCE228"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160D016F"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08F02C77" w14:textId="77777777" w:rsidTr="001769CA">
        <w:trPr>
          <w:jc w:val="center"/>
        </w:trPr>
        <w:tc>
          <w:tcPr>
            <w:tcW w:w="2067" w:type="dxa"/>
          </w:tcPr>
          <w:p w14:paraId="7A19207C" w14:textId="77777777" w:rsidR="008927DA" w:rsidRDefault="008927DA" w:rsidP="001769CA">
            <w:pPr>
              <w:rPr>
                <w:rFonts w:ascii="Calibri" w:hAnsi="Calibri"/>
                <w:sz w:val="20"/>
                <w:lang w:eastAsia="ja-JP"/>
              </w:rPr>
            </w:pPr>
            <w:r>
              <w:rPr>
                <w:rFonts w:ascii="Calibri" w:hAnsi="Calibri"/>
                <w:sz w:val="20"/>
                <w:lang w:eastAsia="ja-JP"/>
              </w:rPr>
              <w:t>Cost Effectiveness (O)</w:t>
            </w:r>
          </w:p>
        </w:tc>
        <w:tc>
          <w:tcPr>
            <w:tcW w:w="1514" w:type="dxa"/>
          </w:tcPr>
          <w:p w14:paraId="31002837"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6E13807F"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7D358304" w14:textId="77777777" w:rsidR="008927DA" w:rsidRDefault="008927DA" w:rsidP="001769CA">
            <w:pPr>
              <w:jc w:val="center"/>
              <w:rPr>
                <w:rFonts w:ascii="Calibri" w:hAnsi="Calibri"/>
                <w:sz w:val="20"/>
                <w:lang w:eastAsia="ja-JP"/>
              </w:rPr>
            </w:pPr>
            <w:r>
              <w:rPr>
                <w:rFonts w:ascii="Calibri" w:hAnsi="Calibri"/>
                <w:sz w:val="20"/>
                <w:lang w:eastAsia="ja-JP"/>
              </w:rPr>
              <w:t>--</w:t>
            </w:r>
          </w:p>
        </w:tc>
      </w:tr>
      <w:tr w:rsidR="008927DA" w14:paraId="739FD141" w14:textId="77777777" w:rsidTr="001769CA">
        <w:trPr>
          <w:jc w:val="center"/>
        </w:trPr>
        <w:tc>
          <w:tcPr>
            <w:tcW w:w="2067" w:type="dxa"/>
          </w:tcPr>
          <w:p w14:paraId="00E67606" w14:textId="77777777" w:rsidR="008927DA" w:rsidRDefault="008927DA" w:rsidP="001769CA">
            <w:pPr>
              <w:rPr>
                <w:rFonts w:ascii="Calibri" w:hAnsi="Calibri"/>
                <w:sz w:val="20"/>
                <w:lang w:eastAsia="ja-JP"/>
              </w:rPr>
            </w:pPr>
            <w:r>
              <w:rPr>
                <w:rFonts w:ascii="Calibri" w:hAnsi="Calibri"/>
                <w:sz w:val="20"/>
                <w:lang w:eastAsia="ja-JP"/>
              </w:rPr>
              <w:t>Process Versatility</w:t>
            </w:r>
          </w:p>
        </w:tc>
        <w:tc>
          <w:tcPr>
            <w:tcW w:w="1514" w:type="dxa"/>
          </w:tcPr>
          <w:p w14:paraId="244A7EC7"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2090" w:type="dxa"/>
          </w:tcPr>
          <w:p w14:paraId="58EE4D6B" w14:textId="77777777" w:rsidR="008927DA" w:rsidRDefault="008927DA" w:rsidP="001769CA">
            <w:pPr>
              <w:jc w:val="center"/>
              <w:rPr>
                <w:rFonts w:ascii="Calibri" w:hAnsi="Calibri"/>
                <w:sz w:val="20"/>
                <w:lang w:eastAsia="ja-JP"/>
              </w:rPr>
            </w:pPr>
            <w:r>
              <w:rPr>
                <w:rFonts w:ascii="Calibri" w:hAnsi="Calibri"/>
                <w:sz w:val="20"/>
                <w:lang w:eastAsia="ja-JP"/>
              </w:rPr>
              <w:t>+</w:t>
            </w:r>
          </w:p>
        </w:tc>
        <w:tc>
          <w:tcPr>
            <w:tcW w:w="1743" w:type="dxa"/>
          </w:tcPr>
          <w:p w14:paraId="491CDEE5" w14:textId="77777777" w:rsidR="008927DA" w:rsidRDefault="008927DA" w:rsidP="001769CA">
            <w:pPr>
              <w:jc w:val="center"/>
              <w:rPr>
                <w:rFonts w:ascii="Calibri" w:hAnsi="Calibri"/>
                <w:sz w:val="20"/>
                <w:lang w:eastAsia="ja-JP"/>
              </w:rPr>
            </w:pPr>
            <w:r>
              <w:rPr>
                <w:rFonts w:ascii="Calibri" w:hAnsi="Calibri"/>
                <w:sz w:val="20"/>
                <w:lang w:eastAsia="ja-JP"/>
              </w:rPr>
              <w:t>+</w:t>
            </w:r>
          </w:p>
        </w:tc>
      </w:tr>
    </w:tbl>
    <w:p w14:paraId="552B9130" w14:textId="77777777" w:rsidR="008927DA" w:rsidRPr="008927DA" w:rsidRDefault="008927DA" w:rsidP="008927DA">
      <w:pPr>
        <w:spacing w:line="259" w:lineRule="auto"/>
        <w:jc w:val="center"/>
        <w:rPr>
          <w:i/>
          <w:sz w:val="8"/>
          <w:szCs w:val="8"/>
        </w:rPr>
      </w:pPr>
    </w:p>
    <w:p w14:paraId="036DD1E8" w14:textId="77777777" w:rsidR="008927DA" w:rsidRPr="00123C7D" w:rsidRDefault="008927DA" w:rsidP="008927DA">
      <w:pPr>
        <w:spacing w:after="160" w:line="259" w:lineRule="auto"/>
        <w:jc w:val="center"/>
        <w:rPr>
          <w:b/>
          <w:i/>
        </w:rPr>
      </w:pPr>
      <w:r w:rsidRPr="00123C7D">
        <w:rPr>
          <w:b/>
          <w:i/>
        </w:rPr>
        <w:t>Table 17: Indicative assessment of criteria for emerging ODS alternatives in the PU Spray Sector</w:t>
      </w:r>
    </w:p>
    <w:p w14:paraId="271A613D" w14:textId="77777777" w:rsidR="008927DA" w:rsidRDefault="008927DA" w:rsidP="008927DA">
      <w:pPr>
        <w:jc w:val="both"/>
        <w:rPr>
          <w:lang w:eastAsia="ja-JP"/>
        </w:rPr>
      </w:pPr>
      <w:r>
        <w:rPr>
          <w:lang w:eastAsia="ja-JP"/>
        </w:rPr>
        <w:t xml:space="preserve">Since the future of the sector rests largely on the emerging technologies, the main barriers relate to the stability, economics and availability of the unsaturated blowing agents. Much of the PU spray foam activity in China remains reliant on HCFC-141b and there is reluctance to make a transition to a sub-optimal solution when an emerging technology could out-perform it within 5 years. Various strategies are being considered including a two-step option via saturated HFCs. However, there is a need to gain commitment to the second conversion at the outset. </w:t>
      </w:r>
    </w:p>
    <w:p w14:paraId="3A111E3A" w14:textId="77777777" w:rsidR="008927DA" w:rsidRPr="008927DA" w:rsidRDefault="008927DA" w:rsidP="008927DA">
      <w:pPr>
        <w:rPr>
          <w:sz w:val="16"/>
          <w:szCs w:val="16"/>
        </w:rPr>
      </w:pPr>
    </w:p>
    <w:p w14:paraId="3DC17255" w14:textId="77777777" w:rsidR="00050445" w:rsidRPr="00164DBE" w:rsidRDefault="00050445" w:rsidP="001E51B5">
      <w:pPr>
        <w:pStyle w:val="Heading4"/>
      </w:pPr>
      <w:r>
        <w:t>Non-Article 5 Parties</w:t>
      </w:r>
    </w:p>
    <w:p w14:paraId="414C09DC" w14:textId="77777777" w:rsidR="00050445" w:rsidRPr="00050445" w:rsidRDefault="00050445" w:rsidP="001E51B5">
      <w:pPr>
        <w:keepNext/>
        <w:keepLines/>
        <w:jc w:val="both"/>
        <w:rPr>
          <w:sz w:val="8"/>
          <w:szCs w:val="8"/>
          <w:lang w:eastAsia="ja-JP"/>
        </w:rPr>
      </w:pPr>
    </w:p>
    <w:p w14:paraId="1D2314BE" w14:textId="77777777" w:rsidR="00CD4215" w:rsidRDefault="00050445" w:rsidP="00C24540">
      <w:pPr>
        <w:jc w:val="both"/>
        <w:rPr>
          <w:lang w:eastAsia="ja-JP"/>
        </w:rPr>
      </w:pPr>
      <w:r>
        <w:rPr>
          <w:lang w:eastAsia="ja-JP"/>
        </w:rPr>
        <w:t xml:space="preserve">This remains one of the most challenging areas from a technical viewpoint, because of the processing risks associated with using hydrocarbons in field applications. As a result, HCFCs were replaced </w:t>
      </w:r>
      <w:r>
        <w:rPr>
          <w:i/>
          <w:lang w:eastAsia="ja-JP"/>
        </w:rPr>
        <w:t xml:space="preserve">en masse </w:t>
      </w:r>
      <w:r>
        <w:rPr>
          <w:lang w:eastAsia="ja-JP"/>
        </w:rPr>
        <w:t xml:space="preserve">by high-GWP blowing agents such as HFC-245fa (particularly in North America) and HFC-365mfc/227ea (particularly in Europe). Although unsaturated HCFCs/HFCs are seen as a future replacement, emerging concerns about the stability of the gaseous blowing agent (HFO </w:t>
      </w:r>
      <w:proofErr w:type="gramStart"/>
      <w:r>
        <w:rPr>
          <w:lang w:eastAsia="ja-JP"/>
        </w:rPr>
        <w:t>1234ze(</w:t>
      </w:r>
      <w:proofErr w:type="gramEnd"/>
      <w:r>
        <w:rPr>
          <w:lang w:eastAsia="ja-JP"/>
        </w:rPr>
        <w:t xml:space="preserve">E)) in certain low-pressure pre-blended formulations are placing some doubt on the ability of </w:t>
      </w:r>
      <w:r>
        <w:rPr>
          <w:lang w:eastAsia="ja-JP"/>
        </w:rPr>
        <w:lastRenderedPageBreak/>
        <w:t>these technologies to reach their full potential. Accordingly, the Business-As-Usual scenario remains focused on high-GWP solutions for these low-pressure applications for the moment.</w:t>
      </w:r>
    </w:p>
    <w:p w14:paraId="65DF6C00" w14:textId="77777777" w:rsidR="00050445" w:rsidRPr="00164DBE" w:rsidRDefault="00050445" w:rsidP="00050445">
      <w:pPr>
        <w:pStyle w:val="Heading4"/>
      </w:pPr>
      <w:r>
        <w:t>Article 5 Parties</w:t>
      </w:r>
    </w:p>
    <w:p w14:paraId="473F37EE" w14:textId="77777777" w:rsidR="00050445" w:rsidRPr="00050445" w:rsidRDefault="00050445" w:rsidP="00050445">
      <w:pPr>
        <w:rPr>
          <w:sz w:val="8"/>
          <w:szCs w:val="8"/>
        </w:rPr>
      </w:pPr>
    </w:p>
    <w:p w14:paraId="5F518FEF" w14:textId="77777777" w:rsidR="00050445" w:rsidRDefault="00050445" w:rsidP="00050445">
      <w:pPr>
        <w:jc w:val="both"/>
      </w:pPr>
      <w:r>
        <w:t xml:space="preserve">For similar reasons to those expressed for non-Article 5 regions, PU Spray foam in Article 5 regions remains highly reliant on HCFCs. If the concerns about unsaturated HCFCs/HFCs continue for any significant period of time, contractors and systems houses may need to investigate the possibility of moving to a high-GWP interim solution in order to exit from HCFC-141b use in a timely manner.  </w:t>
      </w:r>
    </w:p>
    <w:p w14:paraId="570BA1EF" w14:textId="77777777" w:rsidR="00050445" w:rsidRDefault="00050445" w:rsidP="00CD4215">
      <w:pPr>
        <w:jc w:val="both"/>
        <w:rPr>
          <w:lang w:eastAsia="ja-JP"/>
        </w:rPr>
      </w:pPr>
    </w:p>
    <w:p w14:paraId="74502D0E" w14:textId="77777777" w:rsidR="00D7702E" w:rsidRDefault="00CD4215" w:rsidP="00D7702E">
      <w:pPr>
        <w:pStyle w:val="Heading3"/>
      </w:pPr>
      <w:bookmarkStart w:id="33" w:name="_Toc415441534"/>
      <w:r>
        <w:t>Polyurethane In-situ/Block</w:t>
      </w:r>
      <w:bookmarkEnd w:id="33"/>
      <w:r w:rsidR="00D7702E">
        <w:t xml:space="preserve">  </w:t>
      </w:r>
    </w:p>
    <w:p w14:paraId="42DD6D1E" w14:textId="77777777" w:rsidR="00D7702E" w:rsidRDefault="00D7702E" w:rsidP="00D7702E">
      <w:pPr>
        <w:rPr>
          <w:sz w:val="12"/>
          <w:szCs w:val="12"/>
        </w:rPr>
      </w:pPr>
    </w:p>
    <w:p w14:paraId="43AFFBA1" w14:textId="77777777" w:rsidR="00F57B84" w:rsidRDefault="00F57B84" w:rsidP="00F57B84">
      <w:pPr>
        <w:jc w:val="both"/>
      </w:pPr>
      <w:r>
        <w:t>One of the enduring advantages of polyurethane chemistry in general, and polyurethane foams in particular, is their ability to meet a broad range of applications. Since these applications can be diverse, ranging from cavity filling (e.g. buoyancy on leisure boats) to the fabrication of complex shapes required for pipe and flange insulation, the in-situ and block processes provide a resource to meet these needs. Self-evidently, these applications are also difficult to track in any organised way since they vary so much. Nevertheless, it is possible to track the manufacturing facilities that provide these products and services.</w:t>
      </w:r>
    </w:p>
    <w:p w14:paraId="51552043" w14:textId="77777777" w:rsidR="00F57B84" w:rsidRDefault="00F57B84" w:rsidP="00F57B84"/>
    <w:p w14:paraId="49C37CD6" w14:textId="77777777" w:rsidR="00F57B84" w:rsidRPr="006A3799" w:rsidRDefault="00F57B84" w:rsidP="00F57B84">
      <w:pPr>
        <w:pStyle w:val="Heading4"/>
      </w:pPr>
      <w:r>
        <w:t xml:space="preserve">Commercially available alternatives to ODS </w:t>
      </w:r>
    </w:p>
    <w:p w14:paraId="6B98F70E" w14:textId="77777777" w:rsidR="00F57B84" w:rsidRPr="00F57B84" w:rsidRDefault="00F57B84" w:rsidP="00F57B84">
      <w:pPr>
        <w:rPr>
          <w:sz w:val="8"/>
          <w:szCs w:val="8"/>
        </w:rPr>
      </w:pPr>
    </w:p>
    <w:p w14:paraId="664AC1B4" w14:textId="77777777" w:rsidR="00F57B84" w:rsidRDefault="00F57B84" w:rsidP="00B75716">
      <w:pPr>
        <w:jc w:val="both"/>
      </w:pPr>
      <w:r>
        <w:rPr>
          <w:lang w:eastAsia="ja-JP"/>
        </w:rPr>
        <w:t>The commercially available alternatives to HCFCs in the in-situ and block sectors are summarised in Table 18:</w:t>
      </w:r>
    </w:p>
    <w:p w14:paraId="5CF60CB3" w14:textId="77777777" w:rsidR="00F57B84" w:rsidRPr="00050445" w:rsidRDefault="00F57B84" w:rsidP="00D7702E">
      <w:pPr>
        <w:rPr>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F57B84" w14:paraId="78D3E8A6" w14:textId="77777777" w:rsidTr="00F57B84">
        <w:trPr>
          <w:cantSplit/>
        </w:trPr>
        <w:tc>
          <w:tcPr>
            <w:tcW w:w="9214" w:type="dxa"/>
            <w:gridSpan w:val="4"/>
            <w:shd w:val="clear" w:color="auto" w:fill="FFFFFF"/>
            <w:vAlign w:val="center"/>
          </w:tcPr>
          <w:p w14:paraId="665227F6" w14:textId="77777777" w:rsidR="00F57B84" w:rsidRDefault="00F57B84" w:rsidP="001769CA">
            <w:pPr>
              <w:tabs>
                <w:tab w:val="left" w:pos="3544"/>
              </w:tabs>
              <w:spacing w:line="240" w:lineRule="atLeast"/>
              <w:ind w:right="-108"/>
              <w:jc w:val="center"/>
              <w:rPr>
                <w:b/>
                <w:i/>
                <w:sz w:val="20"/>
                <w:lang w:eastAsia="es-ES"/>
              </w:rPr>
            </w:pPr>
            <w:r>
              <w:rPr>
                <w:b/>
                <w:i/>
                <w:sz w:val="20"/>
                <w:lang w:eastAsia="es-ES"/>
              </w:rPr>
              <w:t>HCFC REPLACEMENT OPTIONS FOR PU FOAM FOR BUILDING/ CONSTRUCTION APPLICATIONS</w:t>
            </w:r>
          </w:p>
        </w:tc>
      </w:tr>
      <w:tr w:rsidR="00F57B84" w14:paraId="494D0FC9" w14:textId="77777777" w:rsidTr="00F57B84">
        <w:trPr>
          <w:cantSplit/>
        </w:trPr>
        <w:tc>
          <w:tcPr>
            <w:tcW w:w="2585" w:type="dxa"/>
            <w:tcBorders>
              <w:bottom w:val="single" w:sz="4" w:space="0" w:color="auto"/>
            </w:tcBorders>
            <w:shd w:val="clear" w:color="auto" w:fill="FFFFFF"/>
            <w:vAlign w:val="center"/>
          </w:tcPr>
          <w:p w14:paraId="749111CD" w14:textId="77777777" w:rsidR="00F57B84" w:rsidRDefault="00F57B84" w:rsidP="001769CA">
            <w:pPr>
              <w:tabs>
                <w:tab w:val="left" w:pos="3544"/>
              </w:tabs>
              <w:ind w:right="-75"/>
              <w:jc w:val="center"/>
              <w:rPr>
                <w:b/>
                <w:sz w:val="18"/>
              </w:rPr>
            </w:pPr>
            <w:r>
              <w:rPr>
                <w:b/>
                <w:sz w:val="18"/>
              </w:rPr>
              <w:t>SECTOR/OPTION</w:t>
            </w:r>
          </w:p>
        </w:tc>
        <w:tc>
          <w:tcPr>
            <w:tcW w:w="1979" w:type="dxa"/>
            <w:tcBorders>
              <w:bottom w:val="single" w:sz="4" w:space="0" w:color="auto"/>
            </w:tcBorders>
            <w:shd w:val="clear" w:color="auto" w:fill="FFFFFF"/>
            <w:vAlign w:val="center"/>
          </w:tcPr>
          <w:p w14:paraId="7C64DC15" w14:textId="77777777" w:rsidR="00F57B84" w:rsidRDefault="00F57B84"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tcBorders>
              <w:bottom w:val="single" w:sz="4" w:space="0" w:color="auto"/>
            </w:tcBorders>
            <w:shd w:val="clear" w:color="auto" w:fill="FFFFFF"/>
            <w:vAlign w:val="center"/>
          </w:tcPr>
          <w:p w14:paraId="445C0026" w14:textId="77777777" w:rsidR="00F57B84" w:rsidRDefault="00F57B84"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tcBorders>
              <w:bottom w:val="single" w:sz="4" w:space="0" w:color="auto"/>
            </w:tcBorders>
            <w:shd w:val="clear" w:color="auto" w:fill="FFFFFF"/>
            <w:vAlign w:val="center"/>
          </w:tcPr>
          <w:p w14:paraId="187E88A6" w14:textId="77777777" w:rsidR="00F57B84" w:rsidRDefault="00F57B84" w:rsidP="001769CA">
            <w:pPr>
              <w:keepNext/>
              <w:widowControl w:val="0"/>
              <w:tabs>
                <w:tab w:val="left" w:pos="1080"/>
                <w:tab w:val="left" w:pos="3544"/>
              </w:tabs>
              <w:spacing w:before="120" w:after="120"/>
              <w:jc w:val="center"/>
              <w:outlineLvl w:val="3"/>
              <w:rPr>
                <w:b/>
                <w:i/>
                <w:sz w:val="18"/>
              </w:rPr>
            </w:pPr>
            <w:r>
              <w:rPr>
                <w:b/>
                <w:i/>
                <w:sz w:val="18"/>
              </w:rPr>
              <w:t>COMMENTS</w:t>
            </w:r>
          </w:p>
        </w:tc>
      </w:tr>
      <w:tr w:rsidR="00F57B84" w14:paraId="7ED155B5" w14:textId="77777777" w:rsidTr="00F57B84">
        <w:trPr>
          <w:cantSplit/>
        </w:trPr>
        <w:tc>
          <w:tcPr>
            <w:tcW w:w="9214" w:type="dxa"/>
            <w:gridSpan w:val="4"/>
            <w:shd w:val="clear" w:color="auto" w:fill="C0C0C0"/>
            <w:vAlign w:val="center"/>
          </w:tcPr>
          <w:p w14:paraId="2C6376CD" w14:textId="77777777" w:rsidR="00F57B84" w:rsidRDefault="00F57B84" w:rsidP="001769CA">
            <w:pPr>
              <w:rPr>
                <w:b/>
                <w:i/>
              </w:rPr>
            </w:pPr>
            <w:r>
              <w:rPr>
                <w:b/>
                <w:i/>
              </w:rPr>
              <w:t>Insulated pipes (pipe-in-pipe for district central heating systems)and other in-situ systems</w:t>
            </w:r>
          </w:p>
        </w:tc>
      </w:tr>
      <w:tr w:rsidR="00F57B84" w14:paraId="579EF739" w14:textId="77777777" w:rsidTr="00F57B84">
        <w:trPr>
          <w:cantSplit/>
        </w:trPr>
        <w:tc>
          <w:tcPr>
            <w:tcW w:w="2585" w:type="dxa"/>
            <w:vMerge w:val="restart"/>
            <w:vAlign w:val="center"/>
          </w:tcPr>
          <w:p w14:paraId="3FD20CA5" w14:textId="77777777" w:rsidR="00F57B84" w:rsidRDefault="00F57B84" w:rsidP="001769CA">
            <w:pPr>
              <w:tabs>
                <w:tab w:val="left" w:pos="3544"/>
              </w:tabs>
              <w:rPr>
                <w:sz w:val="18"/>
              </w:rPr>
            </w:pPr>
            <w:proofErr w:type="spellStart"/>
            <w:r>
              <w:rPr>
                <w:sz w:val="18"/>
              </w:rPr>
              <w:t>Cyclopentane</w:t>
            </w:r>
            <w:proofErr w:type="spellEnd"/>
            <w:r>
              <w:rPr>
                <w:sz w:val="18"/>
              </w:rPr>
              <w:t xml:space="preserve"> </w:t>
            </w:r>
          </w:p>
        </w:tc>
        <w:tc>
          <w:tcPr>
            <w:tcW w:w="1979" w:type="dxa"/>
            <w:vAlign w:val="center"/>
          </w:tcPr>
          <w:p w14:paraId="783BF493" w14:textId="77777777" w:rsidR="00F57B84" w:rsidRDefault="00F57B84"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2F22950D" w14:textId="77777777" w:rsidR="00F57B84" w:rsidRDefault="00F57B84" w:rsidP="001769CA">
            <w:pPr>
              <w:keepNext/>
              <w:widowControl w:val="0"/>
              <w:tabs>
                <w:tab w:val="left" w:pos="1080"/>
                <w:tab w:val="left" w:pos="3544"/>
              </w:tabs>
              <w:jc w:val="both"/>
              <w:outlineLvl w:val="3"/>
              <w:rPr>
                <w:i/>
                <w:sz w:val="18"/>
              </w:rPr>
            </w:pPr>
            <w:r>
              <w:rPr>
                <w:i/>
                <w:sz w:val="18"/>
              </w:rPr>
              <w:t>Highly flammable</w:t>
            </w:r>
          </w:p>
        </w:tc>
        <w:tc>
          <w:tcPr>
            <w:tcW w:w="2551" w:type="dxa"/>
            <w:vAlign w:val="center"/>
          </w:tcPr>
          <w:p w14:paraId="5CBCF20E" w14:textId="77777777" w:rsidR="00F57B84" w:rsidRDefault="00F57B84" w:rsidP="001769CA">
            <w:pPr>
              <w:keepNext/>
              <w:widowControl w:val="0"/>
              <w:tabs>
                <w:tab w:val="left" w:pos="1080"/>
                <w:tab w:val="left" w:pos="3544"/>
              </w:tabs>
              <w:ind w:right="-108"/>
              <w:outlineLvl w:val="3"/>
              <w:rPr>
                <w:i/>
                <w:sz w:val="18"/>
              </w:rPr>
            </w:pPr>
            <w:r>
              <w:rPr>
                <w:i/>
                <w:sz w:val="18"/>
              </w:rPr>
              <w:t>High incremental capital cost</w:t>
            </w:r>
          </w:p>
        </w:tc>
      </w:tr>
      <w:tr w:rsidR="00F57B84" w14:paraId="3FF84493" w14:textId="77777777" w:rsidTr="00F57B84">
        <w:trPr>
          <w:cantSplit/>
        </w:trPr>
        <w:tc>
          <w:tcPr>
            <w:tcW w:w="2585" w:type="dxa"/>
            <w:vMerge/>
            <w:vAlign w:val="center"/>
          </w:tcPr>
          <w:p w14:paraId="087F3461"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13092B95" w14:textId="77777777" w:rsidR="00F57B84" w:rsidRDefault="00F57B84" w:rsidP="001769CA">
            <w:pPr>
              <w:keepNext/>
              <w:widowControl w:val="0"/>
              <w:tabs>
                <w:tab w:val="left" w:pos="1080"/>
                <w:tab w:val="left" w:pos="3544"/>
              </w:tabs>
              <w:ind w:right="-80"/>
              <w:outlineLvl w:val="3"/>
              <w:rPr>
                <w:i/>
                <w:sz w:val="18"/>
              </w:rPr>
            </w:pPr>
            <w:r>
              <w:rPr>
                <w:i/>
                <w:sz w:val="18"/>
              </w:rPr>
              <w:t>Low operating costs</w:t>
            </w:r>
          </w:p>
        </w:tc>
        <w:tc>
          <w:tcPr>
            <w:tcW w:w="2099" w:type="dxa"/>
            <w:vAlign w:val="center"/>
          </w:tcPr>
          <w:p w14:paraId="61D9AB66" w14:textId="77777777" w:rsidR="00F57B84" w:rsidRDefault="00F57B84" w:rsidP="001769CA">
            <w:pPr>
              <w:keepNext/>
              <w:widowControl w:val="0"/>
              <w:tabs>
                <w:tab w:val="left" w:pos="1080"/>
                <w:tab w:val="left" w:pos="3544"/>
              </w:tabs>
              <w:outlineLvl w:val="3"/>
              <w:rPr>
                <w:i/>
                <w:sz w:val="18"/>
              </w:rPr>
            </w:pPr>
          </w:p>
        </w:tc>
        <w:tc>
          <w:tcPr>
            <w:tcW w:w="2551" w:type="dxa"/>
            <w:vAlign w:val="center"/>
          </w:tcPr>
          <w:p w14:paraId="769151B3" w14:textId="77777777" w:rsidR="00F57B84" w:rsidRDefault="00F57B84" w:rsidP="001769CA">
            <w:pPr>
              <w:keepNext/>
              <w:widowControl w:val="0"/>
              <w:tabs>
                <w:tab w:val="left" w:pos="1080"/>
                <w:tab w:val="left" w:pos="3544"/>
              </w:tabs>
              <w:ind w:right="-108"/>
              <w:outlineLvl w:val="3"/>
              <w:rPr>
                <w:i/>
                <w:sz w:val="18"/>
              </w:rPr>
            </w:pPr>
            <w:r>
              <w:rPr>
                <w:i/>
                <w:sz w:val="18"/>
              </w:rPr>
              <w:t>Industry standard</w:t>
            </w:r>
          </w:p>
        </w:tc>
      </w:tr>
      <w:tr w:rsidR="00F57B84" w14:paraId="7640BF91" w14:textId="77777777" w:rsidTr="00F57B84">
        <w:trPr>
          <w:cantSplit/>
        </w:trPr>
        <w:tc>
          <w:tcPr>
            <w:tcW w:w="2585" w:type="dxa"/>
            <w:vMerge/>
            <w:vAlign w:val="center"/>
          </w:tcPr>
          <w:p w14:paraId="326BA1AE"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662667BA" w14:textId="77777777" w:rsidR="00F57B84" w:rsidRDefault="00F57B84" w:rsidP="001769CA">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6A662A67" w14:textId="77777777" w:rsidR="00F57B84" w:rsidRDefault="00F57B84" w:rsidP="001769CA">
            <w:pPr>
              <w:keepNext/>
              <w:widowControl w:val="0"/>
              <w:tabs>
                <w:tab w:val="left" w:pos="1080"/>
                <w:tab w:val="left" w:pos="3544"/>
              </w:tabs>
              <w:ind w:right="-86"/>
              <w:outlineLvl w:val="3"/>
              <w:rPr>
                <w:i/>
                <w:sz w:val="18"/>
              </w:rPr>
            </w:pPr>
          </w:p>
        </w:tc>
        <w:tc>
          <w:tcPr>
            <w:tcW w:w="2551" w:type="dxa"/>
            <w:vAlign w:val="center"/>
          </w:tcPr>
          <w:p w14:paraId="6C759778" w14:textId="77777777" w:rsidR="00F57B84" w:rsidRDefault="00F57B84" w:rsidP="001769CA">
            <w:pPr>
              <w:keepNext/>
              <w:widowControl w:val="0"/>
              <w:tabs>
                <w:tab w:val="left" w:pos="1080"/>
                <w:tab w:val="left" w:pos="3544"/>
              </w:tabs>
              <w:ind w:right="-108"/>
              <w:outlineLvl w:val="3"/>
              <w:rPr>
                <w:i/>
                <w:sz w:val="18"/>
              </w:rPr>
            </w:pPr>
          </w:p>
        </w:tc>
      </w:tr>
      <w:tr w:rsidR="00F57B84" w14:paraId="1DE0C271" w14:textId="77777777" w:rsidTr="00F57B84">
        <w:trPr>
          <w:cantSplit/>
        </w:trPr>
        <w:tc>
          <w:tcPr>
            <w:tcW w:w="2585" w:type="dxa"/>
            <w:vMerge w:val="restart"/>
            <w:vAlign w:val="center"/>
          </w:tcPr>
          <w:p w14:paraId="2D0209F3" w14:textId="77777777" w:rsidR="00F57B84" w:rsidRDefault="00F57B84" w:rsidP="001769CA">
            <w:pPr>
              <w:tabs>
                <w:tab w:val="left" w:pos="720"/>
                <w:tab w:val="left" w:pos="1440"/>
                <w:tab w:val="left" w:pos="3544"/>
                <w:tab w:val="left" w:pos="5760"/>
              </w:tabs>
              <w:ind w:right="-75"/>
              <w:jc w:val="both"/>
              <w:rPr>
                <w:sz w:val="18"/>
              </w:rPr>
            </w:pPr>
            <w:r>
              <w:rPr>
                <w:sz w:val="18"/>
              </w:rPr>
              <w:t>HFC-245fa, HFC-365mfc/277ea</w:t>
            </w:r>
          </w:p>
        </w:tc>
        <w:tc>
          <w:tcPr>
            <w:tcW w:w="1979" w:type="dxa"/>
            <w:vAlign w:val="center"/>
          </w:tcPr>
          <w:p w14:paraId="424474E3" w14:textId="77777777" w:rsidR="00F57B84" w:rsidRDefault="00F57B84"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5744F87D" w14:textId="77777777" w:rsidR="00F57B84" w:rsidRDefault="00F57B84" w:rsidP="001769CA">
            <w:pPr>
              <w:keepNext/>
              <w:widowControl w:val="0"/>
              <w:tabs>
                <w:tab w:val="left" w:pos="1080"/>
                <w:tab w:val="left" w:pos="3544"/>
              </w:tabs>
              <w:jc w:val="both"/>
              <w:outlineLvl w:val="3"/>
              <w:rPr>
                <w:i/>
                <w:sz w:val="18"/>
              </w:rPr>
            </w:pPr>
            <w:r>
              <w:rPr>
                <w:i/>
                <w:sz w:val="18"/>
              </w:rPr>
              <w:t>High GWP</w:t>
            </w:r>
          </w:p>
        </w:tc>
        <w:tc>
          <w:tcPr>
            <w:tcW w:w="2551" w:type="dxa"/>
            <w:vAlign w:val="center"/>
          </w:tcPr>
          <w:p w14:paraId="0BFDACF4" w14:textId="77777777" w:rsidR="00F57B84" w:rsidRDefault="00F57B84" w:rsidP="001769CA">
            <w:pPr>
              <w:keepNext/>
              <w:widowControl w:val="0"/>
              <w:tabs>
                <w:tab w:val="left" w:pos="1080"/>
                <w:tab w:val="left" w:pos="3544"/>
              </w:tabs>
              <w:jc w:val="both"/>
              <w:outlineLvl w:val="3"/>
              <w:rPr>
                <w:i/>
                <w:sz w:val="18"/>
              </w:rPr>
            </w:pPr>
          </w:p>
        </w:tc>
      </w:tr>
      <w:tr w:rsidR="00F57B84" w14:paraId="0A4A0085" w14:textId="77777777" w:rsidTr="00F57B84">
        <w:trPr>
          <w:cantSplit/>
          <w:trHeight w:val="246"/>
        </w:trPr>
        <w:tc>
          <w:tcPr>
            <w:tcW w:w="2585" w:type="dxa"/>
            <w:vMerge/>
            <w:vAlign w:val="center"/>
          </w:tcPr>
          <w:p w14:paraId="52902C8F"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000A5D0B" w14:textId="77777777" w:rsidR="00F57B84" w:rsidRDefault="00F57B84" w:rsidP="001769CA">
            <w:pPr>
              <w:keepNext/>
              <w:widowControl w:val="0"/>
              <w:tabs>
                <w:tab w:val="left" w:pos="1080"/>
                <w:tab w:val="left" w:pos="3544"/>
              </w:tabs>
              <w:jc w:val="both"/>
              <w:outlineLvl w:val="3"/>
              <w:rPr>
                <w:i/>
                <w:sz w:val="18"/>
              </w:rPr>
            </w:pPr>
            <w:r>
              <w:rPr>
                <w:i/>
                <w:sz w:val="18"/>
              </w:rPr>
              <w:t>Good foam properties</w:t>
            </w:r>
          </w:p>
        </w:tc>
        <w:tc>
          <w:tcPr>
            <w:tcW w:w="2099" w:type="dxa"/>
            <w:vAlign w:val="center"/>
          </w:tcPr>
          <w:p w14:paraId="28A02279" w14:textId="77777777" w:rsidR="00F57B84" w:rsidRDefault="00F57B84" w:rsidP="001769CA">
            <w:pPr>
              <w:keepNext/>
              <w:widowControl w:val="0"/>
              <w:tabs>
                <w:tab w:val="left" w:pos="1080"/>
                <w:tab w:val="left" w:pos="3544"/>
              </w:tabs>
              <w:ind w:right="-86"/>
              <w:outlineLvl w:val="3"/>
              <w:rPr>
                <w:i/>
                <w:sz w:val="18"/>
              </w:rPr>
            </w:pPr>
            <w:r>
              <w:rPr>
                <w:i/>
                <w:sz w:val="18"/>
              </w:rPr>
              <w:t xml:space="preserve">High operating costs </w:t>
            </w:r>
          </w:p>
        </w:tc>
        <w:tc>
          <w:tcPr>
            <w:tcW w:w="2551" w:type="dxa"/>
            <w:vAlign w:val="center"/>
          </w:tcPr>
          <w:p w14:paraId="22574DA2" w14:textId="77777777" w:rsidR="00F57B84" w:rsidRDefault="00F57B84" w:rsidP="001769CA">
            <w:pPr>
              <w:keepNext/>
              <w:widowControl w:val="0"/>
              <w:tabs>
                <w:tab w:val="left" w:pos="1080"/>
                <w:tab w:val="left" w:pos="3544"/>
              </w:tabs>
              <w:ind w:right="-108"/>
              <w:outlineLvl w:val="3"/>
              <w:rPr>
                <w:i/>
                <w:sz w:val="18"/>
              </w:rPr>
            </w:pPr>
          </w:p>
        </w:tc>
      </w:tr>
      <w:tr w:rsidR="00F57B84" w14:paraId="2FEA004F" w14:textId="77777777" w:rsidTr="00F57B84">
        <w:trPr>
          <w:cantSplit/>
        </w:trPr>
        <w:tc>
          <w:tcPr>
            <w:tcW w:w="2585" w:type="dxa"/>
            <w:vMerge w:val="restart"/>
            <w:vAlign w:val="center"/>
          </w:tcPr>
          <w:p w14:paraId="5402986D" w14:textId="77777777" w:rsidR="00F57B84" w:rsidRDefault="00F57B84" w:rsidP="001769CA">
            <w:pPr>
              <w:tabs>
                <w:tab w:val="left" w:pos="720"/>
                <w:tab w:val="left" w:pos="1440"/>
                <w:tab w:val="left" w:pos="3544"/>
                <w:tab w:val="left" w:pos="5760"/>
              </w:tabs>
              <w:jc w:val="both"/>
              <w:rPr>
                <w:sz w:val="18"/>
              </w:rPr>
            </w:pPr>
            <w:r>
              <w:rPr>
                <w:sz w:val="18"/>
              </w:rPr>
              <w:t>CO</w:t>
            </w:r>
            <w:r>
              <w:rPr>
                <w:sz w:val="18"/>
                <w:vertAlign w:val="subscript"/>
              </w:rPr>
              <w:t xml:space="preserve">2 </w:t>
            </w:r>
            <w:r>
              <w:rPr>
                <w:sz w:val="18"/>
              </w:rPr>
              <w:t>(water)</w:t>
            </w:r>
          </w:p>
        </w:tc>
        <w:tc>
          <w:tcPr>
            <w:tcW w:w="1979" w:type="dxa"/>
            <w:vAlign w:val="center"/>
          </w:tcPr>
          <w:p w14:paraId="029E6A96" w14:textId="77777777" w:rsidR="00F57B84" w:rsidRDefault="00F57B84"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126BBFEE" w14:textId="77777777" w:rsidR="00F57B84" w:rsidRDefault="00F57B84" w:rsidP="001769CA">
            <w:pPr>
              <w:keepNext/>
              <w:widowControl w:val="0"/>
              <w:tabs>
                <w:tab w:val="left" w:pos="1080"/>
                <w:tab w:val="left" w:pos="3544"/>
              </w:tabs>
              <w:ind w:right="-86"/>
              <w:outlineLvl w:val="3"/>
              <w:rPr>
                <w:i/>
                <w:sz w:val="18"/>
              </w:rPr>
            </w:pPr>
            <w:r>
              <w:rPr>
                <w:i/>
                <w:sz w:val="18"/>
              </w:rPr>
              <w:t>Moderate foam properties  -high thermal conductivity-</w:t>
            </w:r>
          </w:p>
        </w:tc>
        <w:tc>
          <w:tcPr>
            <w:tcW w:w="2551" w:type="dxa"/>
            <w:vAlign w:val="center"/>
          </w:tcPr>
          <w:p w14:paraId="4AAED339" w14:textId="77777777" w:rsidR="00F57B84" w:rsidRDefault="00F57B84" w:rsidP="001769CA">
            <w:pPr>
              <w:keepNext/>
              <w:widowControl w:val="0"/>
              <w:tabs>
                <w:tab w:val="left" w:pos="1080"/>
                <w:tab w:val="left" w:pos="3544"/>
              </w:tabs>
              <w:ind w:right="-108"/>
              <w:outlineLvl w:val="3"/>
              <w:rPr>
                <w:i/>
                <w:sz w:val="18"/>
              </w:rPr>
            </w:pPr>
          </w:p>
        </w:tc>
      </w:tr>
      <w:tr w:rsidR="00F57B84" w14:paraId="12C60164" w14:textId="77777777" w:rsidTr="00F57B84">
        <w:trPr>
          <w:cantSplit/>
          <w:trHeight w:val="260"/>
        </w:trPr>
        <w:tc>
          <w:tcPr>
            <w:tcW w:w="2585" w:type="dxa"/>
            <w:vMerge/>
            <w:tcBorders>
              <w:bottom w:val="single" w:sz="4" w:space="0" w:color="auto"/>
            </w:tcBorders>
            <w:vAlign w:val="center"/>
          </w:tcPr>
          <w:p w14:paraId="3F1A9EEE" w14:textId="77777777" w:rsidR="00F57B84" w:rsidRDefault="00F57B84" w:rsidP="001769CA">
            <w:pPr>
              <w:tabs>
                <w:tab w:val="left" w:pos="720"/>
                <w:tab w:val="left" w:pos="1440"/>
                <w:tab w:val="left" w:pos="3544"/>
                <w:tab w:val="left" w:pos="5760"/>
              </w:tabs>
              <w:ind w:right="-75"/>
              <w:jc w:val="both"/>
              <w:rPr>
                <w:sz w:val="18"/>
              </w:rPr>
            </w:pPr>
          </w:p>
        </w:tc>
        <w:tc>
          <w:tcPr>
            <w:tcW w:w="1979" w:type="dxa"/>
            <w:tcBorders>
              <w:bottom w:val="single" w:sz="4" w:space="0" w:color="auto"/>
            </w:tcBorders>
            <w:vAlign w:val="center"/>
          </w:tcPr>
          <w:p w14:paraId="7B4FEE31" w14:textId="77777777" w:rsidR="00F57B84" w:rsidRDefault="00F57B84" w:rsidP="001769CA">
            <w:pPr>
              <w:keepNext/>
              <w:widowControl w:val="0"/>
              <w:tabs>
                <w:tab w:val="left" w:pos="1080"/>
                <w:tab w:val="left" w:pos="3544"/>
              </w:tabs>
              <w:ind w:right="-80"/>
              <w:outlineLvl w:val="3"/>
              <w:rPr>
                <w:i/>
                <w:sz w:val="18"/>
              </w:rPr>
            </w:pPr>
            <w:r>
              <w:rPr>
                <w:i/>
                <w:sz w:val="18"/>
              </w:rPr>
              <w:t>Non flammable</w:t>
            </w:r>
          </w:p>
        </w:tc>
        <w:tc>
          <w:tcPr>
            <w:tcW w:w="2099" w:type="dxa"/>
            <w:tcBorders>
              <w:bottom w:val="single" w:sz="4" w:space="0" w:color="auto"/>
            </w:tcBorders>
            <w:vAlign w:val="center"/>
          </w:tcPr>
          <w:p w14:paraId="4471D6EB" w14:textId="77777777" w:rsidR="00F57B84" w:rsidRDefault="00F57B84" w:rsidP="001769CA">
            <w:pPr>
              <w:keepNext/>
              <w:widowControl w:val="0"/>
              <w:tabs>
                <w:tab w:val="left" w:pos="1080"/>
                <w:tab w:val="left" w:pos="3544"/>
              </w:tabs>
              <w:outlineLvl w:val="3"/>
              <w:rPr>
                <w:i/>
                <w:sz w:val="18"/>
              </w:rPr>
            </w:pPr>
          </w:p>
        </w:tc>
        <w:tc>
          <w:tcPr>
            <w:tcW w:w="2551" w:type="dxa"/>
            <w:tcBorders>
              <w:bottom w:val="single" w:sz="4" w:space="0" w:color="auto"/>
            </w:tcBorders>
            <w:vAlign w:val="center"/>
          </w:tcPr>
          <w:p w14:paraId="5E4EDECB" w14:textId="77777777" w:rsidR="00F57B84" w:rsidRDefault="00F57B84" w:rsidP="001769CA">
            <w:pPr>
              <w:keepNext/>
              <w:widowControl w:val="0"/>
              <w:tabs>
                <w:tab w:val="left" w:pos="1080"/>
                <w:tab w:val="left" w:pos="3544"/>
              </w:tabs>
              <w:ind w:right="-108"/>
              <w:outlineLvl w:val="3"/>
              <w:rPr>
                <w:i/>
                <w:sz w:val="18"/>
              </w:rPr>
            </w:pPr>
          </w:p>
        </w:tc>
      </w:tr>
      <w:tr w:rsidR="00F57B84" w14:paraId="3F1CA1D5" w14:textId="77777777" w:rsidTr="00F57B84">
        <w:trPr>
          <w:cantSplit/>
        </w:trPr>
        <w:tc>
          <w:tcPr>
            <w:tcW w:w="9214" w:type="dxa"/>
            <w:gridSpan w:val="4"/>
            <w:shd w:val="clear" w:color="auto" w:fill="C0C0C0"/>
            <w:vAlign w:val="center"/>
          </w:tcPr>
          <w:p w14:paraId="51302588" w14:textId="77777777" w:rsidR="00F57B84" w:rsidRDefault="00F57B84" w:rsidP="001769CA">
            <w:pPr>
              <w:rPr>
                <w:b/>
                <w:i/>
              </w:rPr>
            </w:pPr>
            <w:r>
              <w:rPr>
                <w:b/>
                <w:i/>
              </w:rPr>
              <w:t xml:space="preserve">Block foams for various applications including panels, pipe insulation section, </w:t>
            </w:r>
            <w:proofErr w:type="spellStart"/>
            <w:r>
              <w:rPr>
                <w:b/>
                <w:i/>
              </w:rPr>
              <w:t>etc</w:t>
            </w:r>
            <w:proofErr w:type="spellEnd"/>
          </w:p>
        </w:tc>
      </w:tr>
      <w:tr w:rsidR="00F57B84" w14:paraId="1BB43B35" w14:textId="77777777" w:rsidTr="00F57B84">
        <w:trPr>
          <w:cantSplit/>
        </w:trPr>
        <w:tc>
          <w:tcPr>
            <w:tcW w:w="2585" w:type="dxa"/>
            <w:vMerge w:val="restart"/>
            <w:vAlign w:val="center"/>
          </w:tcPr>
          <w:p w14:paraId="48793089" w14:textId="77777777" w:rsidR="00F57B84" w:rsidRDefault="00F57B84" w:rsidP="001769CA">
            <w:pPr>
              <w:tabs>
                <w:tab w:val="left" w:pos="3544"/>
              </w:tabs>
              <w:rPr>
                <w:sz w:val="18"/>
              </w:rPr>
            </w:pPr>
            <w:proofErr w:type="spellStart"/>
            <w:r>
              <w:rPr>
                <w:sz w:val="18"/>
              </w:rPr>
              <w:t>Cyclopentane</w:t>
            </w:r>
            <w:proofErr w:type="spellEnd"/>
            <w:r>
              <w:rPr>
                <w:sz w:val="18"/>
              </w:rPr>
              <w:t xml:space="preserve"> &amp; n-Pentane </w:t>
            </w:r>
          </w:p>
        </w:tc>
        <w:tc>
          <w:tcPr>
            <w:tcW w:w="1979" w:type="dxa"/>
            <w:vAlign w:val="center"/>
          </w:tcPr>
          <w:p w14:paraId="6C47CE89" w14:textId="77777777" w:rsidR="00F57B84" w:rsidRDefault="00F57B84"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19CB44A6" w14:textId="77777777" w:rsidR="00F57B84" w:rsidRDefault="00F57B84" w:rsidP="001769CA">
            <w:pPr>
              <w:keepNext/>
              <w:widowControl w:val="0"/>
              <w:tabs>
                <w:tab w:val="left" w:pos="1080"/>
                <w:tab w:val="left" w:pos="3544"/>
              </w:tabs>
              <w:jc w:val="both"/>
              <w:outlineLvl w:val="3"/>
              <w:rPr>
                <w:i/>
                <w:sz w:val="18"/>
              </w:rPr>
            </w:pPr>
            <w:r>
              <w:rPr>
                <w:i/>
                <w:sz w:val="18"/>
              </w:rPr>
              <w:t>Highly flammable</w:t>
            </w:r>
          </w:p>
        </w:tc>
        <w:tc>
          <w:tcPr>
            <w:tcW w:w="2551" w:type="dxa"/>
            <w:vAlign w:val="center"/>
          </w:tcPr>
          <w:p w14:paraId="261556EB" w14:textId="77777777" w:rsidR="00F57B84" w:rsidRDefault="00F57B84" w:rsidP="001769CA">
            <w:pPr>
              <w:keepNext/>
              <w:widowControl w:val="0"/>
              <w:tabs>
                <w:tab w:val="left" w:pos="1080"/>
                <w:tab w:val="left" w:pos="3544"/>
              </w:tabs>
              <w:ind w:right="-108"/>
              <w:outlineLvl w:val="3"/>
              <w:rPr>
                <w:i/>
                <w:sz w:val="18"/>
              </w:rPr>
            </w:pPr>
            <w:r>
              <w:rPr>
                <w:i/>
                <w:sz w:val="18"/>
              </w:rPr>
              <w:t>High conversion costs, may be uneconomic for SMEs</w:t>
            </w:r>
          </w:p>
        </w:tc>
      </w:tr>
      <w:tr w:rsidR="00F57B84" w14:paraId="540DFDC2" w14:textId="77777777" w:rsidTr="00F57B84">
        <w:trPr>
          <w:cantSplit/>
        </w:trPr>
        <w:tc>
          <w:tcPr>
            <w:tcW w:w="2585" w:type="dxa"/>
            <w:vMerge/>
            <w:vAlign w:val="center"/>
          </w:tcPr>
          <w:p w14:paraId="6C501ED1"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58BB2B77" w14:textId="77777777" w:rsidR="00F57B84" w:rsidRDefault="00F57B84" w:rsidP="001769CA">
            <w:pPr>
              <w:keepNext/>
              <w:widowControl w:val="0"/>
              <w:tabs>
                <w:tab w:val="left" w:pos="1080"/>
                <w:tab w:val="left" w:pos="3544"/>
              </w:tabs>
              <w:ind w:right="-80"/>
              <w:outlineLvl w:val="3"/>
              <w:rPr>
                <w:i/>
                <w:sz w:val="18"/>
              </w:rPr>
            </w:pPr>
            <w:r>
              <w:rPr>
                <w:i/>
                <w:sz w:val="18"/>
              </w:rPr>
              <w:t>Low operating costs</w:t>
            </w:r>
          </w:p>
        </w:tc>
        <w:tc>
          <w:tcPr>
            <w:tcW w:w="2099" w:type="dxa"/>
            <w:vAlign w:val="center"/>
          </w:tcPr>
          <w:p w14:paraId="1F7F51AB" w14:textId="77777777" w:rsidR="00F57B84" w:rsidRDefault="00F57B84" w:rsidP="001769CA">
            <w:pPr>
              <w:keepNext/>
              <w:widowControl w:val="0"/>
              <w:tabs>
                <w:tab w:val="left" w:pos="1080"/>
                <w:tab w:val="left" w:pos="3544"/>
              </w:tabs>
              <w:outlineLvl w:val="3"/>
              <w:rPr>
                <w:i/>
                <w:sz w:val="18"/>
              </w:rPr>
            </w:pPr>
          </w:p>
        </w:tc>
        <w:tc>
          <w:tcPr>
            <w:tcW w:w="2551" w:type="dxa"/>
            <w:vAlign w:val="center"/>
          </w:tcPr>
          <w:p w14:paraId="726CD400" w14:textId="77777777" w:rsidR="00F57B84" w:rsidRDefault="00F57B84" w:rsidP="001769CA">
            <w:pPr>
              <w:keepNext/>
              <w:widowControl w:val="0"/>
              <w:tabs>
                <w:tab w:val="left" w:pos="1080"/>
                <w:tab w:val="left" w:pos="3544"/>
              </w:tabs>
              <w:ind w:right="-108"/>
              <w:outlineLvl w:val="3"/>
              <w:rPr>
                <w:i/>
                <w:sz w:val="18"/>
              </w:rPr>
            </w:pPr>
            <w:r>
              <w:rPr>
                <w:i/>
                <w:sz w:val="18"/>
              </w:rPr>
              <w:t>Well proven technology</w:t>
            </w:r>
          </w:p>
        </w:tc>
      </w:tr>
      <w:tr w:rsidR="00F57B84" w14:paraId="3D0A6690" w14:textId="77777777" w:rsidTr="00F57B84">
        <w:trPr>
          <w:cantSplit/>
        </w:trPr>
        <w:tc>
          <w:tcPr>
            <w:tcW w:w="2585" w:type="dxa"/>
            <w:vMerge/>
            <w:vAlign w:val="center"/>
          </w:tcPr>
          <w:p w14:paraId="37CCDBC3"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49178AFA" w14:textId="77777777" w:rsidR="00F57B84" w:rsidRDefault="00F57B84" w:rsidP="001769CA">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273B6912" w14:textId="77777777" w:rsidR="00F57B84" w:rsidRDefault="00F57B84" w:rsidP="001769CA">
            <w:pPr>
              <w:keepNext/>
              <w:widowControl w:val="0"/>
              <w:tabs>
                <w:tab w:val="left" w:pos="1080"/>
                <w:tab w:val="left" w:pos="3544"/>
              </w:tabs>
              <w:ind w:right="-86"/>
              <w:outlineLvl w:val="3"/>
              <w:rPr>
                <w:i/>
                <w:sz w:val="18"/>
              </w:rPr>
            </w:pPr>
          </w:p>
        </w:tc>
        <w:tc>
          <w:tcPr>
            <w:tcW w:w="2551" w:type="dxa"/>
            <w:vAlign w:val="center"/>
          </w:tcPr>
          <w:p w14:paraId="2D3A9F9F" w14:textId="77777777" w:rsidR="00F57B84" w:rsidRDefault="00F57B84" w:rsidP="001769CA">
            <w:pPr>
              <w:keepNext/>
              <w:widowControl w:val="0"/>
              <w:tabs>
                <w:tab w:val="left" w:pos="1080"/>
                <w:tab w:val="left" w:pos="3544"/>
              </w:tabs>
              <w:ind w:right="-108"/>
              <w:outlineLvl w:val="3"/>
              <w:rPr>
                <w:i/>
                <w:sz w:val="18"/>
              </w:rPr>
            </w:pPr>
          </w:p>
        </w:tc>
      </w:tr>
      <w:tr w:rsidR="00F57B84" w14:paraId="47DC4630" w14:textId="77777777" w:rsidTr="00F57B84">
        <w:trPr>
          <w:cantSplit/>
        </w:trPr>
        <w:tc>
          <w:tcPr>
            <w:tcW w:w="2585" w:type="dxa"/>
            <w:vMerge w:val="restart"/>
            <w:vAlign w:val="center"/>
          </w:tcPr>
          <w:p w14:paraId="530D66F2" w14:textId="77777777" w:rsidR="00F57B84" w:rsidRDefault="00F57B84" w:rsidP="001769CA">
            <w:pPr>
              <w:tabs>
                <w:tab w:val="left" w:pos="720"/>
                <w:tab w:val="left" w:pos="1440"/>
                <w:tab w:val="left" w:pos="3544"/>
                <w:tab w:val="left" w:pos="5760"/>
              </w:tabs>
              <w:ind w:right="-75"/>
              <w:jc w:val="both"/>
              <w:rPr>
                <w:sz w:val="18"/>
              </w:rPr>
            </w:pPr>
            <w:r>
              <w:rPr>
                <w:sz w:val="18"/>
              </w:rPr>
              <w:t>HFC-245fa, HFC-365mfc/277ea</w:t>
            </w:r>
          </w:p>
        </w:tc>
        <w:tc>
          <w:tcPr>
            <w:tcW w:w="1979" w:type="dxa"/>
            <w:vAlign w:val="center"/>
          </w:tcPr>
          <w:p w14:paraId="44333A70" w14:textId="77777777" w:rsidR="00F57B84" w:rsidRDefault="00F57B84"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7C55C36F" w14:textId="77777777" w:rsidR="00F57B84" w:rsidRDefault="00F57B84" w:rsidP="001769CA">
            <w:pPr>
              <w:keepNext/>
              <w:widowControl w:val="0"/>
              <w:tabs>
                <w:tab w:val="left" w:pos="1080"/>
                <w:tab w:val="left" w:pos="3544"/>
              </w:tabs>
              <w:jc w:val="both"/>
              <w:outlineLvl w:val="3"/>
              <w:rPr>
                <w:i/>
                <w:sz w:val="18"/>
              </w:rPr>
            </w:pPr>
            <w:r>
              <w:rPr>
                <w:i/>
                <w:sz w:val="18"/>
              </w:rPr>
              <w:t>High GWP</w:t>
            </w:r>
          </w:p>
        </w:tc>
        <w:tc>
          <w:tcPr>
            <w:tcW w:w="2551" w:type="dxa"/>
            <w:vAlign w:val="center"/>
          </w:tcPr>
          <w:p w14:paraId="013776FC" w14:textId="77777777" w:rsidR="00F57B84" w:rsidRDefault="00F57B84" w:rsidP="001769CA">
            <w:pPr>
              <w:keepNext/>
              <w:widowControl w:val="0"/>
              <w:tabs>
                <w:tab w:val="left" w:pos="1080"/>
                <w:tab w:val="left" w:pos="3544"/>
              </w:tabs>
              <w:jc w:val="both"/>
              <w:outlineLvl w:val="3"/>
              <w:rPr>
                <w:i/>
                <w:sz w:val="18"/>
              </w:rPr>
            </w:pPr>
            <w:r>
              <w:rPr>
                <w:i/>
                <w:sz w:val="18"/>
              </w:rPr>
              <w:t>Low conversion costs</w:t>
            </w:r>
          </w:p>
        </w:tc>
      </w:tr>
      <w:tr w:rsidR="00F57B84" w14:paraId="7C5F431B" w14:textId="77777777" w:rsidTr="00F57B84">
        <w:trPr>
          <w:cantSplit/>
          <w:trHeight w:val="529"/>
        </w:trPr>
        <w:tc>
          <w:tcPr>
            <w:tcW w:w="2585" w:type="dxa"/>
            <w:vMerge/>
            <w:vAlign w:val="center"/>
          </w:tcPr>
          <w:p w14:paraId="687D7275"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2F9CE1B3" w14:textId="77777777" w:rsidR="00F57B84" w:rsidRDefault="00F57B84" w:rsidP="001769CA">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308B58C9" w14:textId="77777777" w:rsidR="00F57B84" w:rsidRDefault="00F57B84" w:rsidP="001769CA">
            <w:pPr>
              <w:keepNext/>
              <w:widowControl w:val="0"/>
              <w:tabs>
                <w:tab w:val="left" w:pos="1080"/>
                <w:tab w:val="left" w:pos="3544"/>
              </w:tabs>
              <w:ind w:right="-86"/>
              <w:outlineLvl w:val="3"/>
              <w:rPr>
                <w:i/>
                <w:sz w:val="18"/>
              </w:rPr>
            </w:pPr>
            <w:r>
              <w:rPr>
                <w:i/>
                <w:sz w:val="18"/>
              </w:rPr>
              <w:t>High operating costs but improved by using mixed HFC/ CO</w:t>
            </w:r>
            <w:r>
              <w:rPr>
                <w:i/>
                <w:sz w:val="18"/>
                <w:vertAlign w:val="subscript"/>
              </w:rPr>
              <w:t xml:space="preserve">2 </w:t>
            </w:r>
            <w:r>
              <w:rPr>
                <w:i/>
                <w:sz w:val="18"/>
              </w:rPr>
              <w:t>(water)</w:t>
            </w:r>
          </w:p>
        </w:tc>
        <w:tc>
          <w:tcPr>
            <w:tcW w:w="2551" w:type="dxa"/>
            <w:vAlign w:val="center"/>
          </w:tcPr>
          <w:p w14:paraId="6CD9D8CE" w14:textId="77777777" w:rsidR="00F57B84" w:rsidRDefault="00F57B84" w:rsidP="001769CA">
            <w:pPr>
              <w:keepNext/>
              <w:widowControl w:val="0"/>
              <w:tabs>
                <w:tab w:val="left" w:pos="1080"/>
                <w:tab w:val="left" w:pos="3544"/>
              </w:tabs>
              <w:ind w:right="-108"/>
              <w:outlineLvl w:val="3"/>
              <w:rPr>
                <w:i/>
                <w:sz w:val="18"/>
              </w:rPr>
            </w:pPr>
          </w:p>
        </w:tc>
      </w:tr>
      <w:tr w:rsidR="00F57B84" w14:paraId="764BCD8E" w14:textId="77777777" w:rsidTr="00F57B84">
        <w:trPr>
          <w:cantSplit/>
        </w:trPr>
        <w:tc>
          <w:tcPr>
            <w:tcW w:w="2585" w:type="dxa"/>
            <w:vMerge w:val="restart"/>
            <w:vAlign w:val="center"/>
          </w:tcPr>
          <w:p w14:paraId="6D9E4EC7" w14:textId="77777777" w:rsidR="00F57B84" w:rsidRDefault="00F57B84" w:rsidP="001769CA">
            <w:pPr>
              <w:tabs>
                <w:tab w:val="left" w:pos="720"/>
                <w:tab w:val="left" w:pos="1440"/>
                <w:tab w:val="left" w:pos="3544"/>
                <w:tab w:val="left" w:pos="5760"/>
              </w:tabs>
              <w:jc w:val="both"/>
              <w:rPr>
                <w:sz w:val="18"/>
              </w:rPr>
            </w:pPr>
            <w:r>
              <w:rPr>
                <w:sz w:val="18"/>
              </w:rPr>
              <w:t>CO</w:t>
            </w:r>
            <w:r>
              <w:rPr>
                <w:sz w:val="18"/>
                <w:vertAlign w:val="subscript"/>
              </w:rPr>
              <w:t xml:space="preserve">2 </w:t>
            </w:r>
            <w:r>
              <w:rPr>
                <w:sz w:val="18"/>
              </w:rPr>
              <w:t>(water)</w:t>
            </w:r>
          </w:p>
        </w:tc>
        <w:tc>
          <w:tcPr>
            <w:tcW w:w="1979" w:type="dxa"/>
            <w:vAlign w:val="center"/>
          </w:tcPr>
          <w:p w14:paraId="6D411EC1" w14:textId="77777777" w:rsidR="00F57B84" w:rsidRDefault="00F57B84"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7645B2B1" w14:textId="77777777" w:rsidR="00F57B84" w:rsidRDefault="00F57B84" w:rsidP="001769CA">
            <w:pPr>
              <w:keepNext/>
              <w:widowControl w:val="0"/>
              <w:tabs>
                <w:tab w:val="left" w:pos="1080"/>
                <w:tab w:val="left" w:pos="3544"/>
              </w:tabs>
              <w:ind w:right="-86"/>
              <w:outlineLvl w:val="3"/>
              <w:rPr>
                <w:i/>
                <w:sz w:val="18"/>
              </w:rPr>
            </w:pPr>
            <w:r>
              <w:rPr>
                <w:i/>
                <w:sz w:val="18"/>
              </w:rPr>
              <w:t>Moderate  foam properties -high thermal conductivity &amp; poor ageing-</w:t>
            </w:r>
          </w:p>
        </w:tc>
        <w:tc>
          <w:tcPr>
            <w:tcW w:w="2551" w:type="dxa"/>
            <w:vAlign w:val="center"/>
          </w:tcPr>
          <w:p w14:paraId="6AE535BF" w14:textId="77777777" w:rsidR="00F57B84" w:rsidRDefault="00F57B84" w:rsidP="001769CA">
            <w:pPr>
              <w:keepNext/>
              <w:widowControl w:val="0"/>
              <w:tabs>
                <w:tab w:val="left" w:pos="1080"/>
                <w:tab w:val="left" w:pos="3544"/>
              </w:tabs>
              <w:ind w:right="-108"/>
              <w:outlineLvl w:val="3"/>
              <w:rPr>
                <w:i/>
                <w:sz w:val="18"/>
              </w:rPr>
            </w:pPr>
            <w:r>
              <w:rPr>
                <w:i/>
                <w:sz w:val="18"/>
              </w:rPr>
              <w:t>Extra thickness leading to a cost penalty</w:t>
            </w:r>
          </w:p>
        </w:tc>
      </w:tr>
      <w:tr w:rsidR="00F57B84" w14:paraId="4CA28A22" w14:textId="77777777" w:rsidTr="00F57B84">
        <w:trPr>
          <w:cantSplit/>
          <w:trHeight w:val="434"/>
        </w:trPr>
        <w:tc>
          <w:tcPr>
            <w:tcW w:w="2585" w:type="dxa"/>
            <w:vMerge/>
            <w:vAlign w:val="center"/>
          </w:tcPr>
          <w:p w14:paraId="5519B373" w14:textId="77777777" w:rsidR="00F57B84" w:rsidRDefault="00F57B84" w:rsidP="001769CA">
            <w:pPr>
              <w:tabs>
                <w:tab w:val="left" w:pos="720"/>
                <w:tab w:val="left" w:pos="1440"/>
                <w:tab w:val="left" w:pos="3544"/>
                <w:tab w:val="left" w:pos="5760"/>
              </w:tabs>
              <w:ind w:right="-75"/>
              <w:jc w:val="both"/>
              <w:rPr>
                <w:sz w:val="18"/>
              </w:rPr>
            </w:pPr>
          </w:p>
        </w:tc>
        <w:tc>
          <w:tcPr>
            <w:tcW w:w="1979" w:type="dxa"/>
            <w:vAlign w:val="center"/>
          </w:tcPr>
          <w:p w14:paraId="56062E26" w14:textId="77777777" w:rsidR="00F57B84" w:rsidRDefault="00F57B84" w:rsidP="001769CA">
            <w:pPr>
              <w:keepNext/>
              <w:widowControl w:val="0"/>
              <w:tabs>
                <w:tab w:val="left" w:pos="1080"/>
                <w:tab w:val="left" w:pos="3544"/>
              </w:tabs>
              <w:ind w:right="-80"/>
              <w:outlineLvl w:val="3"/>
              <w:rPr>
                <w:i/>
                <w:sz w:val="18"/>
              </w:rPr>
            </w:pPr>
            <w:r>
              <w:rPr>
                <w:i/>
                <w:sz w:val="18"/>
              </w:rPr>
              <w:t>Non flammable</w:t>
            </w:r>
          </w:p>
        </w:tc>
        <w:tc>
          <w:tcPr>
            <w:tcW w:w="2099" w:type="dxa"/>
            <w:vAlign w:val="center"/>
          </w:tcPr>
          <w:p w14:paraId="46254CCF" w14:textId="77777777" w:rsidR="00F57B84" w:rsidRDefault="00F57B84" w:rsidP="001769CA">
            <w:pPr>
              <w:keepNext/>
              <w:widowControl w:val="0"/>
              <w:tabs>
                <w:tab w:val="left" w:pos="1080"/>
                <w:tab w:val="left" w:pos="3544"/>
              </w:tabs>
              <w:ind w:right="-86"/>
              <w:outlineLvl w:val="3"/>
              <w:rPr>
                <w:i/>
                <w:sz w:val="18"/>
              </w:rPr>
            </w:pPr>
          </w:p>
        </w:tc>
        <w:tc>
          <w:tcPr>
            <w:tcW w:w="2551" w:type="dxa"/>
            <w:vAlign w:val="center"/>
          </w:tcPr>
          <w:p w14:paraId="20007559" w14:textId="77777777" w:rsidR="00F57B84" w:rsidRDefault="00F57B84" w:rsidP="001769CA">
            <w:pPr>
              <w:keepNext/>
              <w:widowControl w:val="0"/>
              <w:tabs>
                <w:tab w:val="left" w:pos="1080"/>
                <w:tab w:val="left" w:pos="3544"/>
              </w:tabs>
              <w:ind w:right="-108"/>
              <w:outlineLvl w:val="3"/>
              <w:rPr>
                <w:i/>
                <w:sz w:val="18"/>
              </w:rPr>
            </w:pPr>
          </w:p>
        </w:tc>
      </w:tr>
    </w:tbl>
    <w:p w14:paraId="129A1A0A" w14:textId="77777777" w:rsidR="00F57B84" w:rsidRPr="00B75716" w:rsidRDefault="00F57B84" w:rsidP="00F57B84">
      <w:pPr>
        <w:spacing w:line="259" w:lineRule="auto"/>
        <w:jc w:val="center"/>
        <w:rPr>
          <w:i/>
          <w:sz w:val="12"/>
          <w:szCs w:val="12"/>
        </w:rPr>
      </w:pPr>
    </w:p>
    <w:p w14:paraId="3CE5A363" w14:textId="77777777" w:rsidR="00F57B84" w:rsidRPr="00123C7D" w:rsidRDefault="00F57B84" w:rsidP="00F57B84">
      <w:pPr>
        <w:spacing w:line="259" w:lineRule="auto"/>
        <w:jc w:val="center"/>
        <w:rPr>
          <w:b/>
          <w:i/>
        </w:rPr>
      </w:pPr>
      <w:r w:rsidRPr="00123C7D">
        <w:rPr>
          <w:b/>
          <w:i/>
        </w:rPr>
        <w:t>Table</w:t>
      </w:r>
      <w:r w:rsidR="004C1654" w:rsidRPr="00123C7D">
        <w:rPr>
          <w:b/>
          <w:i/>
        </w:rPr>
        <w:t xml:space="preserve"> 18</w:t>
      </w:r>
      <w:r w:rsidRPr="00123C7D">
        <w:rPr>
          <w:b/>
          <w:i/>
        </w:rPr>
        <w:t>: Assessment of selection criteria for OD</w:t>
      </w:r>
      <w:r w:rsidR="004C1654" w:rsidRPr="00123C7D">
        <w:rPr>
          <w:b/>
          <w:i/>
        </w:rPr>
        <w:t>S alternatives in the PU In-situ/Block</w:t>
      </w:r>
      <w:r w:rsidRPr="00123C7D">
        <w:rPr>
          <w:b/>
          <w:i/>
        </w:rPr>
        <w:t xml:space="preserve"> Foam Sector</w:t>
      </w:r>
    </w:p>
    <w:p w14:paraId="50B9D7D1" w14:textId="77777777" w:rsidR="00F57B84" w:rsidRPr="00B75716" w:rsidRDefault="00F57B84" w:rsidP="004C1654">
      <w:pPr>
        <w:rPr>
          <w:sz w:val="12"/>
          <w:szCs w:val="12"/>
        </w:rPr>
      </w:pPr>
    </w:p>
    <w:p w14:paraId="04995860" w14:textId="77777777" w:rsidR="004C1654" w:rsidRDefault="004C1654" w:rsidP="004C1654">
      <w:pPr>
        <w:jc w:val="both"/>
        <w:rPr>
          <w:lang w:eastAsia="ja-JP"/>
        </w:rPr>
      </w:pPr>
      <w:r>
        <w:rPr>
          <w:lang w:eastAsia="ja-JP"/>
        </w:rPr>
        <w:t>As with other thermal insulation sectors, saturated HFCs are used in block foams with a CO</w:t>
      </w:r>
      <w:r>
        <w:rPr>
          <w:vertAlign w:val="subscript"/>
          <w:lang w:eastAsia="ja-JP"/>
        </w:rPr>
        <w:t xml:space="preserve">2 </w:t>
      </w:r>
      <w:r>
        <w:rPr>
          <w:lang w:eastAsia="ja-JP"/>
        </w:rPr>
        <w:t xml:space="preserve">(water) co-blowing agent to limit climate impact and also to optimise the cost/performance relationship. It has generally been found that levels of saturated HFC can be lowered in these formulations to </w:t>
      </w:r>
      <w:r>
        <w:rPr>
          <w:lang w:eastAsia="ja-JP"/>
        </w:rPr>
        <w:lastRenderedPageBreak/>
        <w:t xml:space="preserve">around 50-60% of the blowing agent mix without having a detrimental effect on thermal performance. The blowing agent criteria for block and in-situ foams are shown below. In some instances, more than one rating is providing reflecting the fact that there is a disparate set of processes represented in this category.  </w:t>
      </w:r>
    </w:p>
    <w:p w14:paraId="09E0207D" w14:textId="77777777" w:rsidR="004C1654" w:rsidRDefault="004C1654" w:rsidP="004C165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092"/>
        <w:gridCol w:w="1176"/>
        <w:gridCol w:w="1743"/>
        <w:gridCol w:w="1158"/>
      </w:tblGrid>
      <w:tr w:rsidR="004C1654" w14:paraId="6031868A" w14:textId="77777777" w:rsidTr="004C1654">
        <w:trPr>
          <w:jc w:val="center"/>
        </w:trPr>
        <w:tc>
          <w:tcPr>
            <w:tcW w:w="2127" w:type="dxa"/>
            <w:shd w:val="clear" w:color="auto" w:fill="D9D9D9" w:themeFill="background1" w:themeFillShade="D9"/>
          </w:tcPr>
          <w:p w14:paraId="764B0511" w14:textId="77777777" w:rsidR="004C1654" w:rsidRDefault="004C1654" w:rsidP="001769CA">
            <w:pPr>
              <w:rPr>
                <w:lang w:eastAsia="ja-JP"/>
              </w:rPr>
            </w:pPr>
          </w:p>
        </w:tc>
        <w:tc>
          <w:tcPr>
            <w:tcW w:w="1134" w:type="dxa"/>
            <w:shd w:val="clear" w:color="auto" w:fill="D9D9D9" w:themeFill="background1" w:themeFillShade="D9"/>
            <w:vAlign w:val="center"/>
          </w:tcPr>
          <w:p w14:paraId="370E5D14" w14:textId="77777777" w:rsidR="004C1654" w:rsidRDefault="004C1654" w:rsidP="001769CA">
            <w:pPr>
              <w:jc w:val="center"/>
              <w:rPr>
                <w:rFonts w:ascii="Calibri" w:hAnsi="Calibri"/>
                <w:b/>
                <w:i/>
                <w:sz w:val="20"/>
                <w:lang w:eastAsia="ja-JP"/>
              </w:rPr>
            </w:pPr>
            <w:r>
              <w:rPr>
                <w:rFonts w:ascii="Calibri" w:hAnsi="Calibri"/>
                <w:b/>
                <w:i/>
                <w:sz w:val="20"/>
                <w:lang w:eastAsia="ja-JP"/>
              </w:rPr>
              <w:t>c-pentane</w:t>
            </w:r>
          </w:p>
        </w:tc>
        <w:tc>
          <w:tcPr>
            <w:tcW w:w="1092" w:type="dxa"/>
            <w:shd w:val="clear" w:color="auto" w:fill="D9D9D9" w:themeFill="background1" w:themeFillShade="D9"/>
            <w:vAlign w:val="center"/>
          </w:tcPr>
          <w:p w14:paraId="3D15A481" w14:textId="77777777" w:rsidR="004C1654" w:rsidRDefault="004C1654" w:rsidP="001769CA">
            <w:pPr>
              <w:ind w:left="-108"/>
              <w:rPr>
                <w:rFonts w:ascii="Calibri" w:hAnsi="Calibri"/>
                <w:b/>
                <w:i/>
                <w:sz w:val="20"/>
                <w:lang w:eastAsia="ja-JP"/>
              </w:rPr>
            </w:pPr>
            <w:r>
              <w:rPr>
                <w:rFonts w:ascii="Calibri" w:hAnsi="Calibri"/>
                <w:b/>
                <w:i/>
                <w:sz w:val="20"/>
                <w:lang w:eastAsia="ja-JP"/>
              </w:rPr>
              <w:t xml:space="preserve">  n-pentane</w:t>
            </w:r>
          </w:p>
        </w:tc>
        <w:tc>
          <w:tcPr>
            <w:tcW w:w="1176" w:type="dxa"/>
            <w:shd w:val="clear" w:color="auto" w:fill="D9D9D9" w:themeFill="background1" w:themeFillShade="D9"/>
            <w:vAlign w:val="center"/>
          </w:tcPr>
          <w:p w14:paraId="0254B359" w14:textId="77777777" w:rsidR="004C1654" w:rsidRDefault="004C1654" w:rsidP="001769CA">
            <w:pPr>
              <w:jc w:val="center"/>
              <w:rPr>
                <w:rFonts w:ascii="Calibri" w:hAnsi="Calibri"/>
                <w:b/>
                <w:i/>
                <w:sz w:val="20"/>
                <w:lang w:eastAsia="ja-JP"/>
              </w:rPr>
            </w:pPr>
            <w:r>
              <w:rPr>
                <w:rFonts w:ascii="Calibri" w:hAnsi="Calibri"/>
                <w:b/>
                <w:i/>
                <w:sz w:val="20"/>
                <w:lang w:eastAsia="ja-JP"/>
              </w:rPr>
              <w:t>HFC-245fa</w:t>
            </w:r>
          </w:p>
        </w:tc>
        <w:tc>
          <w:tcPr>
            <w:tcW w:w="1743" w:type="dxa"/>
            <w:shd w:val="clear" w:color="auto" w:fill="D9D9D9" w:themeFill="background1" w:themeFillShade="D9"/>
            <w:vAlign w:val="center"/>
          </w:tcPr>
          <w:p w14:paraId="0670FF94" w14:textId="77777777" w:rsidR="004C1654" w:rsidRDefault="004C1654" w:rsidP="001769CA">
            <w:pPr>
              <w:jc w:val="center"/>
              <w:rPr>
                <w:rFonts w:ascii="Calibri" w:hAnsi="Calibri"/>
                <w:b/>
                <w:i/>
                <w:sz w:val="20"/>
                <w:lang w:eastAsia="ja-JP"/>
              </w:rPr>
            </w:pPr>
            <w:r>
              <w:rPr>
                <w:rFonts w:ascii="Calibri" w:hAnsi="Calibri"/>
                <w:b/>
                <w:i/>
                <w:sz w:val="20"/>
                <w:lang w:eastAsia="ja-JP"/>
              </w:rPr>
              <w:t>HFC365mfc/227ea</w:t>
            </w:r>
          </w:p>
        </w:tc>
        <w:tc>
          <w:tcPr>
            <w:tcW w:w="1158" w:type="dxa"/>
            <w:shd w:val="clear" w:color="auto" w:fill="D9D9D9" w:themeFill="background1" w:themeFillShade="D9"/>
            <w:vAlign w:val="center"/>
          </w:tcPr>
          <w:p w14:paraId="3809849F" w14:textId="77777777" w:rsidR="004C1654" w:rsidRDefault="004C1654" w:rsidP="001769CA">
            <w:pPr>
              <w:jc w:val="center"/>
              <w:rPr>
                <w:rFonts w:ascii="Calibri" w:hAnsi="Calibri"/>
                <w:b/>
                <w:i/>
                <w:sz w:val="20"/>
                <w:lang w:eastAsia="ja-JP"/>
              </w:rPr>
            </w:pPr>
            <w:r>
              <w:rPr>
                <w:rFonts w:ascii="Calibri" w:hAnsi="Calibri"/>
                <w:b/>
                <w:i/>
                <w:sz w:val="20"/>
                <w:lang w:eastAsia="ja-JP"/>
              </w:rPr>
              <w:t>CO</w:t>
            </w:r>
            <w:r>
              <w:rPr>
                <w:rFonts w:ascii="Calibri" w:hAnsi="Calibri"/>
                <w:b/>
                <w:i/>
                <w:sz w:val="20"/>
                <w:vertAlign w:val="subscript"/>
                <w:lang w:eastAsia="ja-JP"/>
              </w:rPr>
              <w:t>2</w:t>
            </w:r>
            <w:r>
              <w:rPr>
                <w:rFonts w:ascii="Calibri" w:hAnsi="Calibri"/>
                <w:b/>
                <w:i/>
                <w:sz w:val="20"/>
                <w:lang w:eastAsia="ja-JP"/>
              </w:rPr>
              <w:t>(water)</w:t>
            </w:r>
          </w:p>
        </w:tc>
      </w:tr>
      <w:tr w:rsidR="004C1654" w14:paraId="453C5E20" w14:textId="77777777" w:rsidTr="001769CA">
        <w:trPr>
          <w:trHeight w:hRule="exact" w:val="113"/>
          <w:jc w:val="center"/>
        </w:trPr>
        <w:tc>
          <w:tcPr>
            <w:tcW w:w="2127" w:type="dxa"/>
          </w:tcPr>
          <w:p w14:paraId="6703554A" w14:textId="77777777" w:rsidR="004C1654" w:rsidRDefault="004C1654" w:rsidP="001769CA">
            <w:pPr>
              <w:rPr>
                <w:rFonts w:ascii="Calibri" w:hAnsi="Calibri"/>
                <w:sz w:val="20"/>
                <w:lang w:eastAsia="ja-JP"/>
              </w:rPr>
            </w:pPr>
          </w:p>
        </w:tc>
        <w:tc>
          <w:tcPr>
            <w:tcW w:w="1134" w:type="dxa"/>
          </w:tcPr>
          <w:p w14:paraId="05EBED13" w14:textId="77777777" w:rsidR="004C1654" w:rsidRDefault="004C1654" w:rsidP="001769CA">
            <w:pPr>
              <w:rPr>
                <w:rFonts w:ascii="Calibri" w:hAnsi="Calibri"/>
                <w:sz w:val="20"/>
                <w:lang w:eastAsia="ja-JP"/>
              </w:rPr>
            </w:pPr>
          </w:p>
        </w:tc>
        <w:tc>
          <w:tcPr>
            <w:tcW w:w="1092" w:type="dxa"/>
          </w:tcPr>
          <w:p w14:paraId="46F2A8AD" w14:textId="77777777" w:rsidR="004C1654" w:rsidRDefault="004C1654" w:rsidP="001769CA">
            <w:pPr>
              <w:rPr>
                <w:rFonts w:ascii="Calibri" w:hAnsi="Calibri"/>
                <w:sz w:val="20"/>
                <w:lang w:eastAsia="ja-JP"/>
              </w:rPr>
            </w:pPr>
          </w:p>
        </w:tc>
        <w:tc>
          <w:tcPr>
            <w:tcW w:w="1176" w:type="dxa"/>
          </w:tcPr>
          <w:p w14:paraId="663DC638" w14:textId="77777777" w:rsidR="004C1654" w:rsidRDefault="004C1654" w:rsidP="001769CA">
            <w:pPr>
              <w:rPr>
                <w:rFonts w:ascii="Calibri" w:hAnsi="Calibri"/>
                <w:sz w:val="20"/>
                <w:lang w:eastAsia="ja-JP"/>
              </w:rPr>
            </w:pPr>
          </w:p>
        </w:tc>
        <w:tc>
          <w:tcPr>
            <w:tcW w:w="1743" w:type="dxa"/>
          </w:tcPr>
          <w:p w14:paraId="6AEA3639" w14:textId="77777777" w:rsidR="004C1654" w:rsidRDefault="004C1654" w:rsidP="001769CA">
            <w:pPr>
              <w:rPr>
                <w:rFonts w:ascii="Calibri" w:hAnsi="Calibri"/>
                <w:sz w:val="20"/>
                <w:lang w:eastAsia="ja-JP"/>
              </w:rPr>
            </w:pPr>
          </w:p>
        </w:tc>
        <w:tc>
          <w:tcPr>
            <w:tcW w:w="1158" w:type="dxa"/>
          </w:tcPr>
          <w:p w14:paraId="362F076B" w14:textId="77777777" w:rsidR="004C1654" w:rsidRDefault="004C1654" w:rsidP="001769CA">
            <w:pPr>
              <w:rPr>
                <w:rFonts w:ascii="Calibri" w:hAnsi="Calibri"/>
                <w:sz w:val="20"/>
                <w:lang w:eastAsia="ja-JP"/>
              </w:rPr>
            </w:pPr>
          </w:p>
        </w:tc>
      </w:tr>
      <w:tr w:rsidR="004C1654" w14:paraId="3203D755" w14:textId="77777777" w:rsidTr="001769CA">
        <w:trPr>
          <w:jc w:val="center"/>
        </w:trPr>
        <w:tc>
          <w:tcPr>
            <w:tcW w:w="2127" w:type="dxa"/>
          </w:tcPr>
          <w:p w14:paraId="37F3CBB1" w14:textId="77777777" w:rsidR="004C1654" w:rsidRDefault="004C1654" w:rsidP="001769CA">
            <w:pPr>
              <w:rPr>
                <w:rFonts w:ascii="Calibri" w:hAnsi="Calibri"/>
                <w:sz w:val="20"/>
                <w:lang w:eastAsia="ja-JP"/>
              </w:rPr>
            </w:pPr>
            <w:r>
              <w:rPr>
                <w:rFonts w:ascii="Calibri" w:hAnsi="Calibri"/>
                <w:sz w:val="20"/>
                <w:lang w:eastAsia="ja-JP"/>
              </w:rPr>
              <w:t>Proof of performance</w:t>
            </w:r>
          </w:p>
        </w:tc>
        <w:tc>
          <w:tcPr>
            <w:tcW w:w="1134" w:type="dxa"/>
          </w:tcPr>
          <w:p w14:paraId="1EDA0584"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2D1265F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35DF1D89"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4B7CD1F5"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0E8F7EE5"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691632BB" w14:textId="77777777" w:rsidTr="001769CA">
        <w:trPr>
          <w:jc w:val="center"/>
        </w:trPr>
        <w:tc>
          <w:tcPr>
            <w:tcW w:w="2127" w:type="dxa"/>
          </w:tcPr>
          <w:p w14:paraId="58689DF0" w14:textId="77777777" w:rsidR="004C1654" w:rsidRDefault="004C1654" w:rsidP="001769CA">
            <w:pPr>
              <w:rPr>
                <w:rFonts w:ascii="Calibri" w:hAnsi="Calibri"/>
                <w:sz w:val="20"/>
                <w:lang w:eastAsia="ja-JP"/>
              </w:rPr>
            </w:pPr>
            <w:r>
              <w:rPr>
                <w:rFonts w:ascii="Calibri" w:hAnsi="Calibri"/>
                <w:sz w:val="20"/>
                <w:lang w:eastAsia="ja-JP"/>
              </w:rPr>
              <w:t>Flammability</w:t>
            </w:r>
          </w:p>
        </w:tc>
        <w:tc>
          <w:tcPr>
            <w:tcW w:w="1134" w:type="dxa"/>
          </w:tcPr>
          <w:p w14:paraId="407FD3A8"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02E7BB36"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0F05BEA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6A705480"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7266B40C"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2A880FDC" w14:textId="77777777" w:rsidTr="001769CA">
        <w:trPr>
          <w:jc w:val="center"/>
        </w:trPr>
        <w:tc>
          <w:tcPr>
            <w:tcW w:w="2127" w:type="dxa"/>
          </w:tcPr>
          <w:p w14:paraId="13A5323D" w14:textId="77777777" w:rsidR="004C1654" w:rsidRDefault="004C1654" w:rsidP="001769CA">
            <w:pPr>
              <w:rPr>
                <w:rFonts w:ascii="Calibri" w:hAnsi="Calibri"/>
                <w:sz w:val="20"/>
                <w:lang w:eastAsia="ja-JP"/>
              </w:rPr>
            </w:pPr>
            <w:r>
              <w:rPr>
                <w:rFonts w:ascii="Calibri" w:hAnsi="Calibri"/>
                <w:sz w:val="20"/>
                <w:lang w:eastAsia="ja-JP"/>
              </w:rPr>
              <w:t>Other Health &amp; Safety</w:t>
            </w:r>
          </w:p>
        </w:tc>
        <w:tc>
          <w:tcPr>
            <w:tcW w:w="1134" w:type="dxa"/>
          </w:tcPr>
          <w:p w14:paraId="4384FCC4" w14:textId="77777777" w:rsidR="004C1654" w:rsidRDefault="004C1654" w:rsidP="001769CA">
            <w:pPr>
              <w:jc w:val="center"/>
              <w:rPr>
                <w:rFonts w:ascii="Calibri" w:hAnsi="Calibri"/>
                <w:sz w:val="20"/>
                <w:lang w:eastAsia="ja-JP"/>
              </w:rPr>
            </w:pPr>
            <w:r>
              <w:rPr>
                <w:rFonts w:ascii="Calibri" w:hAnsi="Calibri"/>
                <w:sz w:val="20"/>
                <w:lang w:eastAsia="ja-JP"/>
              </w:rPr>
              <w:t>0</w:t>
            </w:r>
          </w:p>
        </w:tc>
        <w:tc>
          <w:tcPr>
            <w:tcW w:w="1092" w:type="dxa"/>
          </w:tcPr>
          <w:p w14:paraId="5FE1C44B" w14:textId="77777777" w:rsidR="004C1654" w:rsidRDefault="004C1654" w:rsidP="001769CA">
            <w:pPr>
              <w:jc w:val="center"/>
              <w:rPr>
                <w:rFonts w:ascii="Calibri" w:hAnsi="Calibri"/>
                <w:sz w:val="20"/>
                <w:lang w:eastAsia="ja-JP"/>
              </w:rPr>
            </w:pPr>
            <w:r>
              <w:rPr>
                <w:rFonts w:ascii="Calibri" w:hAnsi="Calibri"/>
                <w:sz w:val="20"/>
                <w:lang w:eastAsia="ja-JP"/>
              </w:rPr>
              <w:t>0</w:t>
            </w:r>
          </w:p>
        </w:tc>
        <w:tc>
          <w:tcPr>
            <w:tcW w:w="1176" w:type="dxa"/>
          </w:tcPr>
          <w:p w14:paraId="733449F5"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38063E9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629C8ADC"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5BC6A790" w14:textId="77777777" w:rsidTr="001769CA">
        <w:trPr>
          <w:jc w:val="center"/>
        </w:trPr>
        <w:tc>
          <w:tcPr>
            <w:tcW w:w="2127" w:type="dxa"/>
          </w:tcPr>
          <w:p w14:paraId="40D54104" w14:textId="77777777" w:rsidR="004C1654" w:rsidRDefault="004C1654" w:rsidP="001769CA">
            <w:pPr>
              <w:rPr>
                <w:rFonts w:ascii="Calibri" w:hAnsi="Calibri"/>
                <w:sz w:val="20"/>
                <w:lang w:eastAsia="ja-JP"/>
              </w:rPr>
            </w:pPr>
            <w:r>
              <w:rPr>
                <w:rFonts w:ascii="Calibri" w:hAnsi="Calibri"/>
                <w:sz w:val="20"/>
                <w:lang w:eastAsia="ja-JP"/>
              </w:rPr>
              <w:t>Global Warming</w:t>
            </w:r>
          </w:p>
        </w:tc>
        <w:tc>
          <w:tcPr>
            <w:tcW w:w="1134" w:type="dxa"/>
          </w:tcPr>
          <w:p w14:paraId="502C04FA"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43C7D272"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63E14145"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5391D672"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1CDCC036"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7C0E6464" w14:textId="77777777" w:rsidTr="001769CA">
        <w:trPr>
          <w:jc w:val="center"/>
        </w:trPr>
        <w:tc>
          <w:tcPr>
            <w:tcW w:w="2127" w:type="dxa"/>
          </w:tcPr>
          <w:p w14:paraId="6F17383F" w14:textId="77777777" w:rsidR="004C1654" w:rsidRDefault="004C1654" w:rsidP="001769CA">
            <w:pPr>
              <w:rPr>
                <w:rFonts w:ascii="Calibri" w:hAnsi="Calibri"/>
                <w:sz w:val="20"/>
                <w:lang w:eastAsia="ja-JP"/>
              </w:rPr>
            </w:pPr>
            <w:r>
              <w:rPr>
                <w:rFonts w:ascii="Calibri" w:hAnsi="Calibri"/>
                <w:sz w:val="20"/>
                <w:lang w:eastAsia="ja-JP"/>
              </w:rPr>
              <w:t>Other Environmental</w:t>
            </w:r>
          </w:p>
        </w:tc>
        <w:tc>
          <w:tcPr>
            <w:tcW w:w="1134" w:type="dxa"/>
          </w:tcPr>
          <w:p w14:paraId="68D5A92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67C7C031"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75251561" w14:textId="77777777" w:rsidR="004C1654" w:rsidRDefault="004C1654" w:rsidP="001769CA">
            <w:pPr>
              <w:jc w:val="center"/>
              <w:rPr>
                <w:rFonts w:ascii="Calibri" w:hAnsi="Calibri"/>
                <w:sz w:val="20"/>
                <w:lang w:eastAsia="ja-JP"/>
              </w:rPr>
            </w:pPr>
            <w:r>
              <w:rPr>
                <w:rFonts w:ascii="Calibri" w:hAnsi="Calibri"/>
                <w:sz w:val="20"/>
                <w:lang w:eastAsia="ja-JP"/>
              </w:rPr>
              <w:t>0</w:t>
            </w:r>
          </w:p>
        </w:tc>
        <w:tc>
          <w:tcPr>
            <w:tcW w:w="1743" w:type="dxa"/>
          </w:tcPr>
          <w:p w14:paraId="2AB21490" w14:textId="77777777" w:rsidR="004C1654" w:rsidRDefault="004C1654" w:rsidP="001769CA">
            <w:pPr>
              <w:jc w:val="center"/>
              <w:rPr>
                <w:rFonts w:ascii="Calibri" w:hAnsi="Calibri"/>
                <w:sz w:val="20"/>
                <w:lang w:eastAsia="ja-JP"/>
              </w:rPr>
            </w:pPr>
            <w:r>
              <w:rPr>
                <w:rFonts w:ascii="Calibri" w:hAnsi="Calibri"/>
                <w:sz w:val="20"/>
                <w:lang w:eastAsia="ja-JP"/>
              </w:rPr>
              <w:t>0</w:t>
            </w:r>
          </w:p>
        </w:tc>
        <w:tc>
          <w:tcPr>
            <w:tcW w:w="1158" w:type="dxa"/>
          </w:tcPr>
          <w:p w14:paraId="0CCBA890"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1AF913BD" w14:textId="77777777" w:rsidTr="001769CA">
        <w:trPr>
          <w:jc w:val="center"/>
        </w:trPr>
        <w:tc>
          <w:tcPr>
            <w:tcW w:w="2127" w:type="dxa"/>
          </w:tcPr>
          <w:p w14:paraId="4F2E467D" w14:textId="77777777" w:rsidR="004C1654" w:rsidRDefault="004C1654" w:rsidP="001769CA">
            <w:pPr>
              <w:rPr>
                <w:rFonts w:ascii="Calibri" w:hAnsi="Calibri"/>
                <w:sz w:val="20"/>
                <w:lang w:eastAsia="ja-JP"/>
              </w:rPr>
            </w:pPr>
            <w:r>
              <w:rPr>
                <w:rFonts w:ascii="Calibri" w:hAnsi="Calibri"/>
                <w:sz w:val="20"/>
                <w:lang w:eastAsia="ja-JP"/>
              </w:rPr>
              <w:t>Cost Effectiveness (C)</w:t>
            </w:r>
          </w:p>
        </w:tc>
        <w:tc>
          <w:tcPr>
            <w:tcW w:w="1134" w:type="dxa"/>
          </w:tcPr>
          <w:p w14:paraId="3D53147C"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3745A22E"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056B7CF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07A65A7D"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13EA34D2"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3C7DA148" w14:textId="77777777" w:rsidTr="001769CA">
        <w:trPr>
          <w:jc w:val="center"/>
        </w:trPr>
        <w:tc>
          <w:tcPr>
            <w:tcW w:w="2127" w:type="dxa"/>
          </w:tcPr>
          <w:p w14:paraId="6076FD05" w14:textId="77777777" w:rsidR="004C1654" w:rsidRDefault="004C1654" w:rsidP="001769CA">
            <w:pPr>
              <w:rPr>
                <w:rFonts w:ascii="Calibri" w:hAnsi="Calibri"/>
                <w:sz w:val="20"/>
                <w:lang w:eastAsia="ja-JP"/>
              </w:rPr>
            </w:pPr>
            <w:r>
              <w:rPr>
                <w:rFonts w:ascii="Calibri" w:hAnsi="Calibri"/>
                <w:sz w:val="20"/>
                <w:lang w:eastAsia="ja-JP"/>
              </w:rPr>
              <w:t>Cost Effectiveness (O)</w:t>
            </w:r>
          </w:p>
        </w:tc>
        <w:tc>
          <w:tcPr>
            <w:tcW w:w="1134" w:type="dxa"/>
          </w:tcPr>
          <w:p w14:paraId="4FD58DF8"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4EB4452D"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74CEA044"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35E75780"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07149AA7"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708A995F" w14:textId="77777777" w:rsidTr="001769CA">
        <w:trPr>
          <w:jc w:val="center"/>
        </w:trPr>
        <w:tc>
          <w:tcPr>
            <w:tcW w:w="2127" w:type="dxa"/>
          </w:tcPr>
          <w:p w14:paraId="3AA10BDE" w14:textId="77777777" w:rsidR="004C1654" w:rsidRDefault="004C1654" w:rsidP="001769CA">
            <w:pPr>
              <w:rPr>
                <w:rFonts w:ascii="Calibri" w:hAnsi="Calibri"/>
                <w:sz w:val="20"/>
                <w:lang w:eastAsia="ja-JP"/>
              </w:rPr>
            </w:pPr>
            <w:r>
              <w:rPr>
                <w:rFonts w:ascii="Calibri" w:hAnsi="Calibri"/>
                <w:sz w:val="20"/>
                <w:lang w:eastAsia="ja-JP"/>
              </w:rPr>
              <w:t>Process Versatility</w:t>
            </w:r>
          </w:p>
        </w:tc>
        <w:tc>
          <w:tcPr>
            <w:tcW w:w="1134" w:type="dxa"/>
          </w:tcPr>
          <w:p w14:paraId="4F510CC7"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092" w:type="dxa"/>
          </w:tcPr>
          <w:p w14:paraId="736412E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76" w:type="dxa"/>
          </w:tcPr>
          <w:p w14:paraId="6136BF66"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0C5999FA"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158" w:type="dxa"/>
          </w:tcPr>
          <w:p w14:paraId="6474D134" w14:textId="77777777" w:rsidR="004C1654" w:rsidRDefault="004C1654" w:rsidP="001769CA">
            <w:pPr>
              <w:jc w:val="center"/>
              <w:rPr>
                <w:rFonts w:ascii="Calibri" w:hAnsi="Calibri"/>
                <w:sz w:val="20"/>
                <w:lang w:eastAsia="ja-JP"/>
              </w:rPr>
            </w:pPr>
            <w:r>
              <w:rPr>
                <w:rFonts w:ascii="Calibri" w:hAnsi="Calibri"/>
                <w:sz w:val="20"/>
                <w:lang w:eastAsia="ja-JP"/>
              </w:rPr>
              <w:t>+/++</w:t>
            </w:r>
          </w:p>
        </w:tc>
      </w:tr>
    </w:tbl>
    <w:p w14:paraId="102AB76B" w14:textId="77777777" w:rsidR="004C1654" w:rsidRPr="004C1654" w:rsidRDefault="004C1654" w:rsidP="004C1654">
      <w:pPr>
        <w:rPr>
          <w:sz w:val="8"/>
          <w:szCs w:val="8"/>
        </w:rPr>
      </w:pPr>
    </w:p>
    <w:p w14:paraId="51CB388C" w14:textId="77777777" w:rsidR="004C1654" w:rsidRPr="00123C7D" w:rsidRDefault="004C1654" w:rsidP="004C1654">
      <w:pPr>
        <w:spacing w:line="259" w:lineRule="auto"/>
        <w:jc w:val="center"/>
        <w:rPr>
          <w:b/>
          <w:i/>
        </w:rPr>
      </w:pPr>
      <w:r w:rsidRPr="00123C7D">
        <w:rPr>
          <w:b/>
          <w:i/>
        </w:rPr>
        <w:t>Table 19: Indicative assessment of criteria for emerging alternatives in the PU In-situ/Block Sector</w:t>
      </w:r>
    </w:p>
    <w:p w14:paraId="7C4520EE" w14:textId="77777777" w:rsidR="004C1654" w:rsidRPr="00123C7D" w:rsidRDefault="004C1654" w:rsidP="004C1654">
      <w:pPr>
        <w:pStyle w:val="Heading4"/>
        <w:rPr>
          <w:b/>
        </w:rPr>
      </w:pPr>
    </w:p>
    <w:p w14:paraId="030D5502" w14:textId="77777777" w:rsidR="004C1654" w:rsidRDefault="004C1654" w:rsidP="004C1654">
      <w:pPr>
        <w:pStyle w:val="Heading4"/>
      </w:pPr>
      <w:r>
        <w:t>Emerging Alternatives</w:t>
      </w:r>
    </w:p>
    <w:p w14:paraId="3182DBA9" w14:textId="77777777" w:rsidR="004C1654" w:rsidRPr="00726F05" w:rsidRDefault="004C1654" w:rsidP="004C1654">
      <w:pPr>
        <w:pStyle w:val="Heading4"/>
        <w:rPr>
          <w:sz w:val="8"/>
          <w:szCs w:val="8"/>
        </w:rPr>
      </w:pPr>
    </w:p>
    <w:p w14:paraId="0431A324" w14:textId="77777777" w:rsidR="004C1654" w:rsidRDefault="004C1654" w:rsidP="004C1654">
      <w:pPr>
        <w:jc w:val="both"/>
        <w:rPr>
          <w:lang w:eastAsia="ja-JP"/>
        </w:rPr>
      </w:pPr>
      <w:r>
        <w:rPr>
          <w:lang w:eastAsia="ja-JP"/>
        </w:rPr>
        <w:t xml:space="preserve">In this instance, the Foams TOC has chosen to categorise methyl </w:t>
      </w:r>
      <w:proofErr w:type="spellStart"/>
      <w:r>
        <w:rPr>
          <w:lang w:eastAsia="ja-JP"/>
        </w:rPr>
        <w:t>formate</w:t>
      </w:r>
      <w:proofErr w:type="spellEnd"/>
      <w:r>
        <w:rPr>
          <w:lang w:eastAsia="ja-JP"/>
        </w:rPr>
        <w:t xml:space="preserve"> and </w:t>
      </w:r>
      <w:proofErr w:type="spellStart"/>
      <w:r>
        <w:rPr>
          <w:lang w:eastAsia="ja-JP"/>
        </w:rPr>
        <w:t>methylal</w:t>
      </w:r>
      <w:proofErr w:type="spellEnd"/>
      <w:r>
        <w:rPr>
          <w:lang w:eastAsia="ja-JP"/>
        </w:rPr>
        <w:t xml:space="preserve"> in the emerging alternative category. This reflects the fact that some of the applications across the sector have yet to be trialled using this HCO blowing agent. There are expected to be some limitations based on densities achievable and risks of corrosion with some equipment, but the availability of a relatively low cost, low-GWP solution with lower flammability than the pentanes may still prove of relevance for the sector going forward.</w:t>
      </w:r>
      <w:r>
        <w:rPr>
          <w:vanish/>
          <w:lang w:eastAsia="ja-JP"/>
        </w:rPr>
        <w:t xml:space="preserve"> </w:t>
      </w:r>
    </w:p>
    <w:p w14:paraId="7F4C3DCB" w14:textId="77777777" w:rsidR="004C1654" w:rsidRDefault="004C1654" w:rsidP="004C1654">
      <w:pPr>
        <w:rPr>
          <w:lang w:eastAsia="ja-JP"/>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4C1654" w14:paraId="293CD15B" w14:textId="77777777" w:rsidTr="004C1654">
        <w:trPr>
          <w:cantSplit/>
        </w:trPr>
        <w:tc>
          <w:tcPr>
            <w:tcW w:w="9214" w:type="dxa"/>
            <w:gridSpan w:val="4"/>
            <w:shd w:val="clear" w:color="auto" w:fill="FFFFFF"/>
            <w:vAlign w:val="center"/>
          </w:tcPr>
          <w:p w14:paraId="2AEB8AE9" w14:textId="77777777" w:rsidR="004C1654" w:rsidRDefault="004C1654" w:rsidP="001769CA">
            <w:pPr>
              <w:tabs>
                <w:tab w:val="left" w:pos="3544"/>
              </w:tabs>
              <w:spacing w:line="240" w:lineRule="atLeast"/>
              <w:ind w:right="-108"/>
              <w:jc w:val="center"/>
              <w:rPr>
                <w:b/>
                <w:i/>
                <w:sz w:val="20"/>
                <w:lang w:eastAsia="es-ES"/>
              </w:rPr>
            </w:pPr>
            <w:r>
              <w:rPr>
                <w:b/>
                <w:i/>
                <w:sz w:val="20"/>
                <w:lang w:eastAsia="es-ES"/>
              </w:rPr>
              <w:t>HCFC REPLACEMENT OPTIONS FOR PU FOAM FOR BUILDING/ CONSTRUCTION APPLICATIONS</w:t>
            </w:r>
          </w:p>
        </w:tc>
      </w:tr>
      <w:tr w:rsidR="004C1654" w14:paraId="27A2B230" w14:textId="77777777" w:rsidTr="004C1654">
        <w:trPr>
          <w:cantSplit/>
        </w:trPr>
        <w:tc>
          <w:tcPr>
            <w:tcW w:w="2585" w:type="dxa"/>
            <w:tcBorders>
              <w:bottom w:val="single" w:sz="4" w:space="0" w:color="auto"/>
            </w:tcBorders>
            <w:shd w:val="clear" w:color="auto" w:fill="FFFFFF"/>
            <w:vAlign w:val="center"/>
          </w:tcPr>
          <w:p w14:paraId="1D385931" w14:textId="77777777" w:rsidR="004C1654" w:rsidRDefault="004C1654" w:rsidP="001769CA">
            <w:pPr>
              <w:tabs>
                <w:tab w:val="left" w:pos="3544"/>
              </w:tabs>
              <w:ind w:right="-75"/>
              <w:jc w:val="center"/>
              <w:rPr>
                <w:b/>
                <w:sz w:val="18"/>
              </w:rPr>
            </w:pPr>
            <w:r>
              <w:rPr>
                <w:b/>
                <w:sz w:val="18"/>
              </w:rPr>
              <w:t>SECTOR/OPTION</w:t>
            </w:r>
          </w:p>
        </w:tc>
        <w:tc>
          <w:tcPr>
            <w:tcW w:w="1979" w:type="dxa"/>
            <w:tcBorders>
              <w:bottom w:val="single" w:sz="4" w:space="0" w:color="auto"/>
            </w:tcBorders>
            <w:shd w:val="clear" w:color="auto" w:fill="FFFFFF"/>
            <w:vAlign w:val="center"/>
          </w:tcPr>
          <w:p w14:paraId="15C26B12" w14:textId="77777777" w:rsidR="004C1654" w:rsidRDefault="004C1654"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tcBorders>
              <w:bottom w:val="single" w:sz="4" w:space="0" w:color="auto"/>
            </w:tcBorders>
            <w:shd w:val="clear" w:color="auto" w:fill="FFFFFF"/>
            <w:vAlign w:val="center"/>
          </w:tcPr>
          <w:p w14:paraId="5E9242D7" w14:textId="77777777" w:rsidR="004C1654" w:rsidRDefault="004C1654"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tcBorders>
              <w:bottom w:val="single" w:sz="4" w:space="0" w:color="auto"/>
            </w:tcBorders>
            <w:shd w:val="clear" w:color="auto" w:fill="FFFFFF"/>
            <w:vAlign w:val="center"/>
          </w:tcPr>
          <w:p w14:paraId="2C1B1FE1" w14:textId="77777777" w:rsidR="004C1654" w:rsidRDefault="004C1654" w:rsidP="001769CA">
            <w:pPr>
              <w:keepNext/>
              <w:widowControl w:val="0"/>
              <w:tabs>
                <w:tab w:val="left" w:pos="1080"/>
                <w:tab w:val="left" w:pos="3544"/>
              </w:tabs>
              <w:spacing w:before="120" w:after="120"/>
              <w:jc w:val="center"/>
              <w:outlineLvl w:val="3"/>
              <w:rPr>
                <w:b/>
                <w:i/>
                <w:sz w:val="18"/>
              </w:rPr>
            </w:pPr>
            <w:r>
              <w:rPr>
                <w:b/>
                <w:i/>
                <w:sz w:val="18"/>
              </w:rPr>
              <w:t>COMMENTS</w:t>
            </w:r>
          </w:p>
        </w:tc>
      </w:tr>
      <w:tr w:rsidR="004C1654" w14:paraId="71CADD43" w14:textId="77777777" w:rsidTr="004C1654">
        <w:trPr>
          <w:cantSplit/>
        </w:trPr>
        <w:tc>
          <w:tcPr>
            <w:tcW w:w="9214" w:type="dxa"/>
            <w:gridSpan w:val="4"/>
            <w:shd w:val="clear" w:color="auto" w:fill="C0C0C0"/>
            <w:vAlign w:val="center"/>
          </w:tcPr>
          <w:p w14:paraId="279A9ECD" w14:textId="77777777" w:rsidR="004C1654" w:rsidRDefault="004C1654" w:rsidP="001769CA">
            <w:pPr>
              <w:rPr>
                <w:b/>
                <w:i/>
              </w:rPr>
            </w:pPr>
            <w:r>
              <w:rPr>
                <w:b/>
                <w:i/>
              </w:rPr>
              <w:t xml:space="preserve">Block foams for various applications including panels, pipe insulation section, </w:t>
            </w:r>
            <w:proofErr w:type="spellStart"/>
            <w:r>
              <w:rPr>
                <w:b/>
                <w:i/>
              </w:rPr>
              <w:t>etc</w:t>
            </w:r>
            <w:proofErr w:type="spellEnd"/>
          </w:p>
        </w:tc>
      </w:tr>
      <w:tr w:rsidR="004C1654" w14:paraId="59E9413B" w14:textId="77777777" w:rsidTr="004C1654">
        <w:trPr>
          <w:cantSplit/>
        </w:trPr>
        <w:tc>
          <w:tcPr>
            <w:tcW w:w="9214" w:type="dxa"/>
            <w:gridSpan w:val="4"/>
            <w:vAlign w:val="center"/>
          </w:tcPr>
          <w:p w14:paraId="0E97356D" w14:textId="77777777" w:rsidR="004C1654" w:rsidRDefault="004C1654" w:rsidP="001769CA">
            <w:pPr>
              <w:keepNext/>
              <w:widowControl w:val="0"/>
              <w:tabs>
                <w:tab w:val="left" w:pos="1080"/>
                <w:tab w:val="left" w:pos="3544"/>
              </w:tabs>
              <w:ind w:right="-108"/>
              <w:outlineLvl w:val="3"/>
              <w:rPr>
                <w:i/>
                <w:sz w:val="18"/>
              </w:rPr>
            </w:pPr>
          </w:p>
        </w:tc>
      </w:tr>
      <w:tr w:rsidR="004C1654" w14:paraId="39886560" w14:textId="77777777" w:rsidTr="004C1654">
        <w:trPr>
          <w:cantSplit/>
        </w:trPr>
        <w:tc>
          <w:tcPr>
            <w:tcW w:w="2585" w:type="dxa"/>
            <w:vAlign w:val="center"/>
          </w:tcPr>
          <w:p w14:paraId="64785BD5" w14:textId="77777777" w:rsidR="004C1654" w:rsidRDefault="004C1654" w:rsidP="001769CA">
            <w:pPr>
              <w:tabs>
                <w:tab w:val="left" w:pos="720"/>
                <w:tab w:val="left" w:pos="1440"/>
                <w:tab w:val="left" w:pos="3544"/>
                <w:tab w:val="left" w:pos="5760"/>
              </w:tabs>
              <w:ind w:right="-72"/>
              <w:rPr>
                <w:sz w:val="18"/>
              </w:rPr>
            </w:pPr>
            <w:r>
              <w:rPr>
                <w:sz w:val="18"/>
              </w:rPr>
              <w:t xml:space="preserve">HCO (Methyl </w:t>
            </w:r>
            <w:proofErr w:type="spellStart"/>
            <w:r>
              <w:rPr>
                <w:sz w:val="18"/>
              </w:rPr>
              <w:t>Formate</w:t>
            </w:r>
            <w:proofErr w:type="spellEnd"/>
            <w:r>
              <w:rPr>
                <w:sz w:val="18"/>
              </w:rPr>
              <w:t>/</w:t>
            </w:r>
            <w:proofErr w:type="spellStart"/>
            <w:r>
              <w:rPr>
                <w:sz w:val="18"/>
              </w:rPr>
              <w:t>Methylal</w:t>
            </w:r>
            <w:proofErr w:type="spellEnd"/>
            <w:r>
              <w:rPr>
                <w:sz w:val="18"/>
              </w:rPr>
              <w:t>)</w:t>
            </w:r>
          </w:p>
        </w:tc>
        <w:tc>
          <w:tcPr>
            <w:tcW w:w="1979" w:type="dxa"/>
            <w:vAlign w:val="center"/>
          </w:tcPr>
          <w:p w14:paraId="7867EDB1" w14:textId="77777777" w:rsidR="004C1654" w:rsidRDefault="004C1654"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46168E0B" w14:textId="77777777" w:rsidR="004C1654" w:rsidRDefault="004C1654" w:rsidP="001769CA">
            <w:pPr>
              <w:keepNext/>
              <w:widowControl w:val="0"/>
              <w:tabs>
                <w:tab w:val="left" w:pos="1080"/>
                <w:tab w:val="left" w:pos="3544"/>
              </w:tabs>
              <w:ind w:right="-86"/>
              <w:outlineLvl w:val="3"/>
              <w:rPr>
                <w:i/>
                <w:sz w:val="18"/>
              </w:rPr>
            </w:pPr>
            <w:r>
              <w:rPr>
                <w:i/>
                <w:sz w:val="18"/>
              </w:rPr>
              <w:t>Higher density required</w:t>
            </w:r>
          </w:p>
        </w:tc>
        <w:tc>
          <w:tcPr>
            <w:tcW w:w="2551" w:type="dxa"/>
            <w:vAlign w:val="center"/>
          </w:tcPr>
          <w:p w14:paraId="6A5427D1" w14:textId="77777777" w:rsidR="004C1654" w:rsidRDefault="004C1654" w:rsidP="001769CA">
            <w:pPr>
              <w:keepNext/>
              <w:widowControl w:val="0"/>
              <w:tabs>
                <w:tab w:val="left" w:pos="1080"/>
                <w:tab w:val="left" w:pos="3544"/>
              </w:tabs>
              <w:ind w:right="-108"/>
              <w:outlineLvl w:val="3"/>
              <w:rPr>
                <w:i/>
                <w:sz w:val="18"/>
              </w:rPr>
            </w:pPr>
            <w:r>
              <w:rPr>
                <w:i/>
                <w:sz w:val="18"/>
              </w:rPr>
              <w:t xml:space="preserve">Density increase necessary through role of MF as a solvent  </w:t>
            </w:r>
          </w:p>
        </w:tc>
      </w:tr>
      <w:tr w:rsidR="004C1654" w14:paraId="23692F37" w14:textId="77777777" w:rsidTr="004C1654">
        <w:trPr>
          <w:cantSplit/>
        </w:trPr>
        <w:tc>
          <w:tcPr>
            <w:tcW w:w="2585" w:type="dxa"/>
            <w:vMerge w:val="restart"/>
            <w:vAlign w:val="center"/>
          </w:tcPr>
          <w:p w14:paraId="40A5F5A8" w14:textId="77777777" w:rsidR="004C1654" w:rsidRDefault="004C1654" w:rsidP="001769CA">
            <w:pPr>
              <w:tabs>
                <w:tab w:val="left" w:pos="720"/>
                <w:tab w:val="left" w:pos="1440"/>
                <w:tab w:val="left" w:pos="3544"/>
                <w:tab w:val="left" w:pos="5760"/>
              </w:tabs>
              <w:ind w:right="-72"/>
              <w:rPr>
                <w:sz w:val="18"/>
              </w:rPr>
            </w:pPr>
            <w:r>
              <w:rPr>
                <w:sz w:val="18"/>
              </w:rPr>
              <w:t>Liquid Unsaturated HFC/HCFCs (HFOs</w:t>
            </w:r>
          </w:p>
        </w:tc>
        <w:tc>
          <w:tcPr>
            <w:tcW w:w="1979" w:type="dxa"/>
            <w:vAlign w:val="center"/>
          </w:tcPr>
          <w:p w14:paraId="39CE0972" w14:textId="77777777" w:rsidR="004C1654" w:rsidRDefault="004C1654"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304D24F8" w14:textId="77777777" w:rsidR="004C1654" w:rsidRDefault="004C1654" w:rsidP="001769CA">
            <w:pPr>
              <w:keepNext/>
              <w:widowControl w:val="0"/>
              <w:tabs>
                <w:tab w:val="left" w:pos="1080"/>
                <w:tab w:val="left" w:pos="3544"/>
              </w:tabs>
              <w:ind w:right="-86"/>
              <w:outlineLvl w:val="3"/>
              <w:rPr>
                <w:i/>
                <w:sz w:val="18"/>
              </w:rPr>
            </w:pPr>
            <w:r>
              <w:rPr>
                <w:i/>
                <w:sz w:val="18"/>
              </w:rPr>
              <w:t>High operating costs</w:t>
            </w:r>
          </w:p>
        </w:tc>
        <w:tc>
          <w:tcPr>
            <w:tcW w:w="2551" w:type="dxa"/>
            <w:vAlign w:val="center"/>
          </w:tcPr>
          <w:p w14:paraId="1A900DAC" w14:textId="77777777" w:rsidR="004C1654" w:rsidRDefault="004C1654" w:rsidP="001769CA">
            <w:pPr>
              <w:keepNext/>
              <w:widowControl w:val="0"/>
              <w:tabs>
                <w:tab w:val="left" w:pos="1080"/>
                <w:tab w:val="left" w:pos="3544"/>
              </w:tabs>
              <w:ind w:right="-108"/>
              <w:outlineLvl w:val="3"/>
              <w:rPr>
                <w:i/>
                <w:sz w:val="18"/>
              </w:rPr>
            </w:pPr>
            <w:r>
              <w:rPr>
                <w:i/>
                <w:sz w:val="18"/>
              </w:rPr>
              <w:t>Trials in progress</w:t>
            </w:r>
          </w:p>
        </w:tc>
      </w:tr>
      <w:tr w:rsidR="004C1654" w14:paraId="5C67B96C" w14:textId="77777777" w:rsidTr="004C1654">
        <w:trPr>
          <w:cantSplit/>
        </w:trPr>
        <w:tc>
          <w:tcPr>
            <w:tcW w:w="2585" w:type="dxa"/>
            <w:vMerge/>
            <w:vAlign w:val="center"/>
          </w:tcPr>
          <w:p w14:paraId="15451F82" w14:textId="77777777" w:rsidR="004C1654" w:rsidRDefault="004C1654" w:rsidP="001769CA">
            <w:pPr>
              <w:tabs>
                <w:tab w:val="left" w:pos="720"/>
                <w:tab w:val="left" w:pos="1440"/>
                <w:tab w:val="left" w:pos="3544"/>
                <w:tab w:val="left" w:pos="5760"/>
              </w:tabs>
              <w:ind w:right="-75"/>
              <w:jc w:val="both"/>
              <w:rPr>
                <w:sz w:val="18"/>
              </w:rPr>
            </w:pPr>
          </w:p>
        </w:tc>
        <w:tc>
          <w:tcPr>
            <w:tcW w:w="1979" w:type="dxa"/>
            <w:vAlign w:val="center"/>
          </w:tcPr>
          <w:p w14:paraId="17D67F7E" w14:textId="77777777" w:rsidR="004C1654" w:rsidRDefault="004C1654" w:rsidP="001769CA">
            <w:pPr>
              <w:keepNext/>
              <w:widowControl w:val="0"/>
              <w:tabs>
                <w:tab w:val="left" w:pos="1080"/>
                <w:tab w:val="left" w:pos="3544"/>
              </w:tabs>
              <w:ind w:right="-80"/>
              <w:outlineLvl w:val="3"/>
              <w:rPr>
                <w:i/>
                <w:sz w:val="18"/>
              </w:rPr>
            </w:pPr>
            <w:r>
              <w:rPr>
                <w:i/>
                <w:sz w:val="18"/>
              </w:rPr>
              <w:t xml:space="preserve">Non-flammable </w:t>
            </w:r>
          </w:p>
        </w:tc>
        <w:tc>
          <w:tcPr>
            <w:tcW w:w="2099" w:type="dxa"/>
            <w:vAlign w:val="center"/>
          </w:tcPr>
          <w:p w14:paraId="1AE5C045" w14:textId="77777777" w:rsidR="004C1654" w:rsidRDefault="004C1654" w:rsidP="001769CA">
            <w:pPr>
              <w:keepNext/>
              <w:widowControl w:val="0"/>
              <w:tabs>
                <w:tab w:val="left" w:pos="1080"/>
                <w:tab w:val="left" w:pos="3544"/>
              </w:tabs>
              <w:ind w:right="-86"/>
              <w:outlineLvl w:val="3"/>
              <w:rPr>
                <w:i/>
                <w:sz w:val="18"/>
              </w:rPr>
            </w:pPr>
          </w:p>
        </w:tc>
        <w:tc>
          <w:tcPr>
            <w:tcW w:w="2551" w:type="dxa"/>
            <w:vAlign w:val="center"/>
          </w:tcPr>
          <w:p w14:paraId="7B0DD315" w14:textId="77777777" w:rsidR="004C1654" w:rsidRDefault="004C1654" w:rsidP="001769CA">
            <w:pPr>
              <w:keepNext/>
              <w:widowControl w:val="0"/>
              <w:tabs>
                <w:tab w:val="left" w:pos="1080"/>
                <w:tab w:val="left" w:pos="3544"/>
              </w:tabs>
              <w:ind w:right="-108"/>
              <w:outlineLvl w:val="3"/>
              <w:rPr>
                <w:i/>
                <w:sz w:val="18"/>
              </w:rPr>
            </w:pPr>
          </w:p>
        </w:tc>
      </w:tr>
    </w:tbl>
    <w:p w14:paraId="12415A8D" w14:textId="77777777" w:rsidR="004C1654" w:rsidRPr="004C1654" w:rsidRDefault="004C1654" w:rsidP="004C1654">
      <w:pPr>
        <w:jc w:val="center"/>
        <w:rPr>
          <w:i/>
          <w:sz w:val="8"/>
          <w:szCs w:val="8"/>
        </w:rPr>
      </w:pPr>
    </w:p>
    <w:p w14:paraId="703B7F6E" w14:textId="77777777" w:rsidR="004C1654" w:rsidRPr="00123C7D" w:rsidRDefault="004C1654" w:rsidP="004C1654">
      <w:pPr>
        <w:jc w:val="center"/>
        <w:rPr>
          <w:b/>
          <w:lang w:eastAsia="ja-JP"/>
        </w:rPr>
      </w:pPr>
      <w:r w:rsidRPr="00123C7D">
        <w:rPr>
          <w:b/>
          <w:i/>
        </w:rPr>
        <w:t>Table 20: Emerging alternatives to ODS in the PU In-situ/Block Foam Sector</w:t>
      </w:r>
    </w:p>
    <w:p w14:paraId="35947F3F" w14:textId="77777777" w:rsidR="004C1654" w:rsidRPr="004C1654" w:rsidRDefault="004C1654" w:rsidP="004C1654">
      <w:pPr>
        <w:jc w:val="both"/>
        <w:rPr>
          <w:lang w:eastAsia="ja-JP"/>
        </w:rPr>
      </w:pPr>
    </w:p>
    <w:p w14:paraId="1CE2571A" w14:textId="77777777" w:rsidR="004C1654" w:rsidRDefault="004C1654" w:rsidP="004C1654">
      <w:pPr>
        <w:jc w:val="both"/>
        <w:rPr>
          <w:lang w:eastAsia="ja-JP"/>
        </w:rPr>
      </w:pPr>
      <w:r>
        <w:rPr>
          <w:lang w:eastAsia="ja-JP"/>
        </w:rPr>
        <w:t>The option of liquid unsaturated HCFCs/HFCs in this sector is legitimate, but there is some concern that price and geographic availability may be significant limiting factors. Again, co-blowing with CO</w:t>
      </w:r>
      <w:r>
        <w:rPr>
          <w:vertAlign w:val="subscript"/>
          <w:lang w:eastAsia="ja-JP"/>
        </w:rPr>
        <w:t xml:space="preserve">2 </w:t>
      </w:r>
      <w:r>
        <w:rPr>
          <w:lang w:eastAsia="ja-JP"/>
        </w:rPr>
        <w:t xml:space="preserve">(water) may prove helpful for cost reasons, but uptake is expected to be more limited than in other sectors of the foam industry. The following table shows an assessment against the report criteria: </w:t>
      </w:r>
    </w:p>
    <w:p w14:paraId="3234314D" w14:textId="77777777" w:rsidR="004C1654" w:rsidRPr="004C1654" w:rsidRDefault="004C1654" w:rsidP="004C1654">
      <w:pPr>
        <w:jc w:val="both"/>
        <w:rPr>
          <w:sz w:val="12"/>
          <w:szCs w:val="1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624"/>
        <w:gridCol w:w="2090"/>
        <w:gridCol w:w="1743"/>
      </w:tblGrid>
      <w:tr w:rsidR="004C1654" w14:paraId="7E3E30C3" w14:textId="77777777" w:rsidTr="004C1654">
        <w:trPr>
          <w:jc w:val="center"/>
        </w:trPr>
        <w:tc>
          <w:tcPr>
            <w:tcW w:w="2067" w:type="dxa"/>
            <w:shd w:val="clear" w:color="auto" w:fill="D9D9D9" w:themeFill="background1" w:themeFillShade="D9"/>
          </w:tcPr>
          <w:p w14:paraId="17541AEF" w14:textId="77777777" w:rsidR="004C1654" w:rsidRDefault="004C1654" w:rsidP="001769CA">
            <w:pPr>
              <w:rPr>
                <w:lang w:eastAsia="ja-JP"/>
              </w:rPr>
            </w:pPr>
          </w:p>
        </w:tc>
        <w:tc>
          <w:tcPr>
            <w:tcW w:w="1624" w:type="dxa"/>
            <w:shd w:val="clear" w:color="auto" w:fill="D9D9D9" w:themeFill="background1" w:themeFillShade="D9"/>
            <w:vAlign w:val="center"/>
          </w:tcPr>
          <w:p w14:paraId="109A1300" w14:textId="77777777" w:rsidR="004C1654" w:rsidRDefault="004C1654" w:rsidP="001769CA">
            <w:pPr>
              <w:jc w:val="center"/>
              <w:rPr>
                <w:rFonts w:ascii="Calibri" w:hAnsi="Calibri"/>
                <w:b/>
                <w:i/>
                <w:sz w:val="20"/>
                <w:lang w:eastAsia="ja-JP"/>
              </w:rPr>
            </w:pPr>
            <w:r>
              <w:rPr>
                <w:rFonts w:ascii="Calibri" w:hAnsi="Calibri"/>
                <w:b/>
                <w:i/>
                <w:sz w:val="20"/>
                <w:lang w:eastAsia="ja-JP"/>
              </w:rPr>
              <w:t xml:space="preserve">Methyl </w:t>
            </w:r>
            <w:proofErr w:type="spellStart"/>
            <w:r>
              <w:rPr>
                <w:rFonts w:ascii="Calibri" w:hAnsi="Calibri"/>
                <w:b/>
                <w:i/>
                <w:sz w:val="20"/>
                <w:lang w:eastAsia="ja-JP"/>
              </w:rPr>
              <w:t>Formate</w:t>
            </w:r>
            <w:proofErr w:type="spellEnd"/>
          </w:p>
        </w:tc>
        <w:tc>
          <w:tcPr>
            <w:tcW w:w="2090" w:type="dxa"/>
            <w:shd w:val="clear" w:color="auto" w:fill="D9D9D9" w:themeFill="background1" w:themeFillShade="D9"/>
            <w:vAlign w:val="center"/>
          </w:tcPr>
          <w:p w14:paraId="01D7A81E" w14:textId="77777777" w:rsidR="004C1654" w:rsidRDefault="004C1654" w:rsidP="001769CA">
            <w:pPr>
              <w:jc w:val="center"/>
              <w:rPr>
                <w:rFonts w:ascii="Calibri" w:hAnsi="Calibri"/>
                <w:b/>
                <w:i/>
                <w:sz w:val="20"/>
                <w:lang w:eastAsia="ja-JP"/>
              </w:rPr>
            </w:pPr>
            <w:r>
              <w:rPr>
                <w:rFonts w:ascii="Calibri" w:hAnsi="Calibri"/>
                <w:b/>
                <w:i/>
                <w:sz w:val="20"/>
                <w:lang w:eastAsia="ja-JP"/>
              </w:rPr>
              <w:t>HFO-1336mzzm(Z)</w:t>
            </w:r>
          </w:p>
        </w:tc>
        <w:tc>
          <w:tcPr>
            <w:tcW w:w="1743" w:type="dxa"/>
            <w:shd w:val="clear" w:color="auto" w:fill="D9D9D9" w:themeFill="background1" w:themeFillShade="D9"/>
            <w:vAlign w:val="center"/>
          </w:tcPr>
          <w:p w14:paraId="49593474" w14:textId="77777777" w:rsidR="004C1654" w:rsidRDefault="004C1654" w:rsidP="001769CA">
            <w:pPr>
              <w:jc w:val="center"/>
              <w:rPr>
                <w:rFonts w:ascii="Calibri" w:hAnsi="Calibri"/>
                <w:b/>
                <w:i/>
                <w:sz w:val="20"/>
                <w:lang w:eastAsia="ja-JP"/>
              </w:rPr>
            </w:pPr>
            <w:r>
              <w:rPr>
                <w:rFonts w:ascii="Calibri" w:hAnsi="Calibri"/>
                <w:b/>
                <w:i/>
                <w:sz w:val="20"/>
                <w:lang w:eastAsia="ja-JP"/>
              </w:rPr>
              <w:t>HFO-1233zd(E)</w:t>
            </w:r>
          </w:p>
        </w:tc>
      </w:tr>
      <w:tr w:rsidR="004C1654" w14:paraId="239F05E8" w14:textId="77777777" w:rsidTr="001769CA">
        <w:trPr>
          <w:trHeight w:hRule="exact" w:val="295"/>
          <w:jc w:val="center"/>
        </w:trPr>
        <w:tc>
          <w:tcPr>
            <w:tcW w:w="2067" w:type="dxa"/>
          </w:tcPr>
          <w:p w14:paraId="32E1ABE4" w14:textId="77777777" w:rsidR="004C1654" w:rsidRDefault="004C1654" w:rsidP="001769CA">
            <w:pPr>
              <w:rPr>
                <w:rFonts w:ascii="Calibri" w:hAnsi="Calibri"/>
                <w:sz w:val="20"/>
                <w:lang w:eastAsia="ja-JP"/>
              </w:rPr>
            </w:pPr>
          </w:p>
        </w:tc>
        <w:tc>
          <w:tcPr>
            <w:tcW w:w="1624" w:type="dxa"/>
            <w:vAlign w:val="center"/>
          </w:tcPr>
          <w:p w14:paraId="168C17D5" w14:textId="77777777" w:rsidR="004C1654" w:rsidRDefault="004C1654" w:rsidP="001769CA">
            <w:pPr>
              <w:jc w:val="center"/>
              <w:rPr>
                <w:rFonts w:ascii="Calibri" w:hAnsi="Calibri"/>
                <w:i/>
                <w:sz w:val="20"/>
                <w:lang w:eastAsia="ja-JP"/>
              </w:rPr>
            </w:pPr>
          </w:p>
        </w:tc>
        <w:tc>
          <w:tcPr>
            <w:tcW w:w="2090" w:type="dxa"/>
            <w:vAlign w:val="center"/>
          </w:tcPr>
          <w:p w14:paraId="177AFD3B" w14:textId="77777777" w:rsidR="004C1654" w:rsidRDefault="004C1654" w:rsidP="001769CA">
            <w:pPr>
              <w:jc w:val="center"/>
              <w:rPr>
                <w:rFonts w:ascii="Calibri" w:hAnsi="Calibri"/>
                <w:i/>
                <w:sz w:val="20"/>
                <w:lang w:eastAsia="ja-JP"/>
              </w:rPr>
            </w:pPr>
            <w:r>
              <w:rPr>
                <w:rFonts w:ascii="Calibri" w:hAnsi="Calibri"/>
                <w:i/>
                <w:sz w:val="20"/>
                <w:lang w:eastAsia="ja-JP"/>
              </w:rPr>
              <w:t>Liquid</w:t>
            </w:r>
          </w:p>
        </w:tc>
        <w:tc>
          <w:tcPr>
            <w:tcW w:w="1743" w:type="dxa"/>
            <w:vAlign w:val="center"/>
          </w:tcPr>
          <w:p w14:paraId="64517269" w14:textId="77777777" w:rsidR="004C1654" w:rsidRDefault="00123C7D" w:rsidP="001769CA">
            <w:pPr>
              <w:jc w:val="center"/>
              <w:rPr>
                <w:rFonts w:ascii="Calibri" w:hAnsi="Calibri"/>
                <w:i/>
                <w:sz w:val="20"/>
                <w:lang w:eastAsia="ja-JP"/>
              </w:rPr>
            </w:pPr>
            <w:r>
              <w:rPr>
                <w:rFonts w:ascii="Calibri" w:hAnsi="Calibri"/>
                <w:i/>
                <w:sz w:val="20"/>
                <w:lang w:eastAsia="ja-JP"/>
              </w:rPr>
              <w:t>L</w:t>
            </w:r>
            <w:r w:rsidR="004C1654">
              <w:rPr>
                <w:rFonts w:ascii="Calibri" w:hAnsi="Calibri"/>
                <w:i/>
                <w:sz w:val="20"/>
                <w:lang w:eastAsia="ja-JP"/>
              </w:rPr>
              <w:t>iquid</w:t>
            </w:r>
          </w:p>
        </w:tc>
      </w:tr>
      <w:tr w:rsidR="004C1654" w14:paraId="6C62A6E8" w14:textId="77777777" w:rsidTr="001769CA">
        <w:trPr>
          <w:jc w:val="center"/>
        </w:trPr>
        <w:tc>
          <w:tcPr>
            <w:tcW w:w="2067" w:type="dxa"/>
          </w:tcPr>
          <w:p w14:paraId="26B24E01" w14:textId="77777777" w:rsidR="004C1654" w:rsidRDefault="004C1654" w:rsidP="001769CA">
            <w:pPr>
              <w:rPr>
                <w:rFonts w:ascii="Calibri" w:hAnsi="Calibri"/>
                <w:sz w:val="20"/>
                <w:lang w:eastAsia="ja-JP"/>
              </w:rPr>
            </w:pPr>
            <w:r>
              <w:rPr>
                <w:rFonts w:ascii="Calibri" w:hAnsi="Calibri"/>
                <w:sz w:val="20"/>
                <w:lang w:eastAsia="ja-JP"/>
              </w:rPr>
              <w:t>Proof of performance</w:t>
            </w:r>
          </w:p>
        </w:tc>
        <w:tc>
          <w:tcPr>
            <w:tcW w:w="1624" w:type="dxa"/>
          </w:tcPr>
          <w:p w14:paraId="21674319" w14:textId="77777777" w:rsidR="004C1654" w:rsidRDefault="004C1654" w:rsidP="001769CA">
            <w:pPr>
              <w:jc w:val="center"/>
              <w:rPr>
                <w:rFonts w:ascii="Calibri" w:hAnsi="Calibri"/>
                <w:sz w:val="20"/>
                <w:lang w:eastAsia="ja-JP"/>
              </w:rPr>
            </w:pPr>
            <w:r>
              <w:rPr>
                <w:rFonts w:ascii="Calibri" w:hAnsi="Calibri"/>
                <w:sz w:val="20"/>
                <w:lang w:eastAsia="ja-JP"/>
              </w:rPr>
              <w:t>0/+</w:t>
            </w:r>
          </w:p>
        </w:tc>
        <w:tc>
          <w:tcPr>
            <w:tcW w:w="2090" w:type="dxa"/>
          </w:tcPr>
          <w:p w14:paraId="1185DB8B"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57442595"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204EF4AF" w14:textId="77777777" w:rsidTr="001769CA">
        <w:trPr>
          <w:jc w:val="center"/>
        </w:trPr>
        <w:tc>
          <w:tcPr>
            <w:tcW w:w="2067" w:type="dxa"/>
          </w:tcPr>
          <w:p w14:paraId="1FAA140F" w14:textId="77777777" w:rsidR="004C1654" w:rsidRDefault="004C1654" w:rsidP="001769CA">
            <w:pPr>
              <w:rPr>
                <w:rFonts w:ascii="Calibri" w:hAnsi="Calibri"/>
                <w:sz w:val="20"/>
                <w:lang w:eastAsia="ja-JP"/>
              </w:rPr>
            </w:pPr>
            <w:r>
              <w:rPr>
                <w:rFonts w:ascii="Calibri" w:hAnsi="Calibri"/>
                <w:sz w:val="20"/>
                <w:lang w:eastAsia="ja-JP"/>
              </w:rPr>
              <w:t>Flammability</w:t>
            </w:r>
          </w:p>
        </w:tc>
        <w:tc>
          <w:tcPr>
            <w:tcW w:w="1624" w:type="dxa"/>
          </w:tcPr>
          <w:p w14:paraId="5AD04E00"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044D4BF1"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24670C48"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5481A113" w14:textId="77777777" w:rsidTr="001769CA">
        <w:trPr>
          <w:jc w:val="center"/>
        </w:trPr>
        <w:tc>
          <w:tcPr>
            <w:tcW w:w="2067" w:type="dxa"/>
          </w:tcPr>
          <w:p w14:paraId="100D9ED7" w14:textId="77777777" w:rsidR="004C1654" w:rsidRDefault="004C1654" w:rsidP="001769CA">
            <w:pPr>
              <w:rPr>
                <w:rFonts w:ascii="Calibri" w:hAnsi="Calibri"/>
                <w:sz w:val="20"/>
                <w:lang w:eastAsia="ja-JP"/>
              </w:rPr>
            </w:pPr>
            <w:r>
              <w:rPr>
                <w:rFonts w:ascii="Calibri" w:hAnsi="Calibri"/>
                <w:sz w:val="20"/>
                <w:lang w:eastAsia="ja-JP"/>
              </w:rPr>
              <w:t>Other Health &amp; Safety</w:t>
            </w:r>
          </w:p>
        </w:tc>
        <w:tc>
          <w:tcPr>
            <w:tcW w:w="1624" w:type="dxa"/>
          </w:tcPr>
          <w:p w14:paraId="75935998"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30E124F7"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4853DE3D"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3E3F7799" w14:textId="77777777" w:rsidTr="001769CA">
        <w:trPr>
          <w:jc w:val="center"/>
        </w:trPr>
        <w:tc>
          <w:tcPr>
            <w:tcW w:w="2067" w:type="dxa"/>
          </w:tcPr>
          <w:p w14:paraId="0C0D4AB8" w14:textId="77777777" w:rsidR="004C1654" w:rsidRDefault="004C1654" w:rsidP="001769CA">
            <w:pPr>
              <w:rPr>
                <w:rFonts w:ascii="Calibri" w:hAnsi="Calibri"/>
                <w:sz w:val="20"/>
                <w:lang w:eastAsia="ja-JP"/>
              </w:rPr>
            </w:pPr>
            <w:r>
              <w:rPr>
                <w:rFonts w:ascii="Calibri" w:hAnsi="Calibri"/>
                <w:sz w:val="20"/>
                <w:lang w:eastAsia="ja-JP"/>
              </w:rPr>
              <w:t>Global Warming</w:t>
            </w:r>
          </w:p>
        </w:tc>
        <w:tc>
          <w:tcPr>
            <w:tcW w:w="1624" w:type="dxa"/>
          </w:tcPr>
          <w:p w14:paraId="74F82F23"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703537B1"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44A66362"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3F2402A9" w14:textId="77777777" w:rsidTr="001769CA">
        <w:trPr>
          <w:jc w:val="center"/>
        </w:trPr>
        <w:tc>
          <w:tcPr>
            <w:tcW w:w="2067" w:type="dxa"/>
          </w:tcPr>
          <w:p w14:paraId="23DC0FFC" w14:textId="77777777" w:rsidR="004C1654" w:rsidRDefault="004C1654" w:rsidP="001769CA">
            <w:pPr>
              <w:rPr>
                <w:rFonts w:ascii="Calibri" w:hAnsi="Calibri"/>
                <w:sz w:val="20"/>
                <w:lang w:eastAsia="ja-JP"/>
              </w:rPr>
            </w:pPr>
            <w:r>
              <w:rPr>
                <w:rFonts w:ascii="Calibri" w:hAnsi="Calibri"/>
                <w:sz w:val="20"/>
                <w:lang w:eastAsia="ja-JP"/>
              </w:rPr>
              <w:t>Other Environmental</w:t>
            </w:r>
          </w:p>
        </w:tc>
        <w:tc>
          <w:tcPr>
            <w:tcW w:w="1624" w:type="dxa"/>
          </w:tcPr>
          <w:p w14:paraId="4C5E037F"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4DB90DE1"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4F565C69"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24073576" w14:textId="77777777" w:rsidTr="001769CA">
        <w:trPr>
          <w:jc w:val="center"/>
        </w:trPr>
        <w:tc>
          <w:tcPr>
            <w:tcW w:w="2067" w:type="dxa"/>
          </w:tcPr>
          <w:p w14:paraId="6386D10E" w14:textId="77777777" w:rsidR="004C1654" w:rsidRDefault="004C1654" w:rsidP="001769CA">
            <w:pPr>
              <w:rPr>
                <w:rFonts w:ascii="Calibri" w:hAnsi="Calibri"/>
                <w:sz w:val="20"/>
                <w:lang w:eastAsia="ja-JP"/>
              </w:rPr>
            </w:pPr>
            <w:r>
              <w:rPr>
                <w:rFonts w:ascii="Calibri" w:hAnsi="Calibri"/>
                <w:sz w:val="20"/>
                <w:lang w:eastAsia="ja-JP"/>
              </w:rPr>
              <w:t>Cost Effectiveness (C)</w:t>
            </w:r>
          </w:p>
        </w:tc>
        <w:tc>
          <w:tcPr>
            <w:tcW w:w="1624" w:type="dxa"/>
          </w:tcPr>
          <w:p w14:paraId="460EE0C0"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43D0F759"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42ADE3C1"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22B87041" w14:textId="77777777" w:rsidTr="001769CA">
        <w:trPr>
          <w:jc w:val="center"/>
        </w:trPr>
        <w:tc>
          <w:tcPr>
            <w:tcW w:w="2067" w:type="dxa"/>
          </w:tcPr>
          <w:p w14:paraId="439ABB3F" w14:textId="77777777" w:rsidR="004C1654" w:rsidRDefault="004C1654" w:rsidP="001769CA">
            <w:pPr>
              <w:rPr>
                <w:rFonts w:ascii="Calibri" w:hAnsi="Calibri"/>
                <w:sz w:val="20"/>
                <w:lang w:eastAsia="ja-JP"/>
              </w:rPr>
            </w:pPr>
            <w:r>
              <w:rPr>
                <w:rFonts w:ascii="Calibri" w:hAnsi="Calibri"/>
                <w:sz w:val="20"/>
                <w:lang w:eastAsia="ja-JP"/>
              </w:rPr>
              <w:t>Cost Effectiveness (O)</w:t>
            </w:r>
          </w:p>
        </w:tc>
        <w:tc>
          <w:tcPr>
            <w:tcW w:w="1624" w:type="dxa"/>
          </w:tcPr>
          <w:p w14:paraId="220E2F63"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153CB818"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556F1D00" w14:textId="77777777" w:rsidR="004C1654" w:rsidRDefault="004C1654" w:rsidP="001769CA">
            <w:pPr>
              <w:jc w:val="center"/>
              <w:rPr>
                <w:rFonts w:ascii="Calibri" w:hAnsi="Calibri"/>
                <w:sz w:val="20"/>
                <w:lang w:eastAsia="ja-JP"/>
              </w:rPr>
            </w:pPr>
            <w:r>
              <w:rPr>
                <w:rFonts w:ascii="Calibri" w:hAnsi="Calibri"/>
                <w:sz w:val="20"/>
                <w:lang w:eastAsia="ja-JP"/>
              </w:rPr>
              <w:t>--</w:t>
            </w:r>
          </w:p>
        </w:tc>
      </w:tr>
      <w:tr w:rsidR="004C1654" w14:paraId="4F48224D" w14:textId="77777777" w:rsidTr="001769CA">
        <w:trPr>
          <w:jc w:val="center"/>
        </w:trPr>
        <w:tc>
          <w:tcPr>
            <w:tcW w:w="2067" w:type="dxa"/>
          </w:tcPr>
          <w:p w14:paraId="18B72CA1" w14:textId="77777777" w:rsidR="004C1654" w:rsidRDefault="004C1654" w:rsidP="001769CA">
            <w:pPr>
              <w:rPr>
                <w:rFonts w:ascii="Calibri" w:hAnsi="Calibri"/>
                <w:sz w:val="20"/>
                <w:lang w:eastAsia="ja-JP"/>
              </w:rPr>
            </w:pPr>
            <w:r>
              <w:rPr>
                <w:rFonts w:ascii="Calibri" w:hAnsi="Calibri"/>
                <w:sz w:val="20"/>
                <w:lang w:eastAsia="ja-JP"/>
              </w:rPr>
              <w:t>Process Versatility</w:t>
            </w:r>
          </w:p>
        </w:tc>
        <w:tc>
          <w:tcPr>
            <w:tcW w:w="1624" w:type="dxa"/>
          </w:tcPr>
          <w:p w14:paraId="4637ED1C"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2090" w:type="dxa"/>
          </w:tcPr>
          <w:p w14:paraId="6A903618" w14:textId="77777777" w:rsidR="004C1654" w:rsidRDefault="004C1654" w:rsidP="001769CA">
            <w:pPr>
              <w:jc w:val="center"/>
              <w:rPr>
                <w:rFonts w:ascii="Calibri" w:hAnsi="Calibri"/>
                <w:sz w:val="20"/>
                <w:lang w:eastAsia="ja-JP"/>
              </w:rPr>
            </w:pPr>
            <w:r>
              <w:rPr>
                <w:rFonts w:ascii="Calibri" w:hAnsi="Calibri"/>
                <w:sz w:val="20"/>
                <w:lang w:eastAsia="ja-JP"/>
              </w:rPr>
              <w:t>++</w:t>
            </w:r>
          </w:p>
        </w:tc>
        <w:tc>
          <w:tcPr>
            <w:tcW w:w="1743" w:type="dxa"/>
          </w:tcPr>
          <w:p w14:paraId="39781847" w14:textId="77777777" w:rsidR="004C1654" w:rsidRDefault="004C1654" w:rsidP="001769CA">
            <w:pPr>
              <w:jc w:val="center"/>
              <w:rPr>
                <w:rFonts w:ascii="Calibri" w:hAnsi="Calibri"/>
                <w:sz w:val="20"/>
                <w:lang w:eastAsia="ja-JP"/>
              </w:rPr>
            </w:pPr>
            <w:r>
              <w:rPr>
                <w:rFonts w:ascii="Calibri" w:hAnsi="Calibri"/>
                <w:sz w:val="20"/>
                <w:lang w:eastAsia="ja-JP"/>
              </w:rPr>
              <w:t>++</w:t>
            </w:r>
          </w:p>
        </w:tc>
      </w:tr>
    </w:tbl>
    <w:p w14:paraId="1D58BAE4" w14:textId="77777777" w:rsidR="00F57B84" w:rsidRPr="00123C7D" w:rsidRDefault="004C1654" w:rsidP="004C1654">
      <w:pPr>
        <w:spacing w:before="120"/>
        <w:jc w:val="center"/>
        <w:rPr>
          <w:b/>
          <w:i/>
        </w:rPr>
      </w:pPr>
      <w:r w:rsidRPr="00123C7D">
        <w:rPr>
          <w:b/>
          <w:i/>
        </w:rPr>
        <w:t>Table 21: Indicative assessment of criteria for emerging alternatives in the PU In-situ/Block Sector</w:t>
      </w:r>
    </w:p>
    <w:p w14:paraId="70068B47" w14:textId="77777777" w:rsidR="00C341A5" w:rsidRDefault="00C341A5" w:rsidP="00C341A5">
      <w:pPr>
        <w:spacing w:before="120"/>
        <w:jc w:val="both"/>
        <w:rPr>
          <w:lang w:eastAsia="ja-JP"/>
        </w:rPr>
      </w:pPr>
      <w:r>
        <w:rPr>
          <w:lang w:eastAsia="ja-JP"/>
        </w:rPr>
        <w:lastRenderedPageBreak/>
        <w:t>One of the major barriers to transition in this sector is the size and location of the enterprises involved. The provision of sophisticated low-GWP alternatives does not extend easily to these more diffuse networks and the effectiveness of transitions relies massively on the competence and commitment of the systems houses supplying the small and micro-enterprises. Efforts are needed to raise the profile of these operations with blowing agent technology providers and their supply networks.</w:t>
      </w:r>
    </w:p>
    <w:p w14:paraId="461A0373" w14:textId="77777777" w:rsidR="00C341A5" w:rsidRPr="00C341A5" w:rsidRDefault="00C341A5" w:rsidP="00C341A5">
      <w:pPr>
        <w:jc w:val="both"/>
        <w:rPr>
          <w:lang w:eastAsia="ja-JP"/>
        </w:rPr>
      </w:pPr>
    </w:p>
    <w:p w14:paraId="6F0338E7" w14:textId="77777777" w:rsidR="00D7702E" w:rsidRPr="00164DBE" w:rsidRDefault="00D7702E" w:rsidP="00D7702E">
      <w:pPr>
        <w:pStyle w:val="Heading4"/>
      </w:pPr>
      <w:r>
        <w:t>Non-Article 5 Parties</w:t>
      </w:r>
    </w:p>
    <w:p w14:paraId="69AAE5DC" w14:textId="77777777" w:rsidR="00D7702E" w:rsidRPr="00050445" w:rsidRDefault="00D7702E" w:rsidP="00D7702E">
      <w:pPr>
        <w:jc w:val="both"/>
        <w:rPr>
          <w:sz w:val="8"/>
          <w:szCs w:val="8"/>
          <w:lang w:eastAsia="ja-JP"/>
        </w:rPr>
      </w:pPr>
    </w:p>
    <w:p w14:paraId="5C411125" w14:textId="77777777" w:rsidR="006E19AF" w:rsidRDefault="00CD4215" w:rsidP="00CD4215">
      <w:pPr>
        <w:jc w:val="both"/>
      </w:pPr>
      <w:r>
        <w:rPr>
          <w:lang w:eastAsia="ja-JP"/>
        </w:rPr>
        <w:t xml:space="preserve">These products can be made by a variety of processes, including continuous, semi-continuous and discontinuous options. Although there is some sensitivity to the use of hydrocarbons in some discontinuous facilities (see comments on discontinuous panels), the majority of products in this sector have been able to adopt hydrocarbon technologies successfully. There are possibilities that methyl </w:t>
      </w:r>
      <w:proofErr w:type="spellStart"/>
      <w:r>
        <w:rPr>
          <w:lang w:eastAsia="ja-JP"/>
        </w:rPr>
        <w:t>formate</w:t>
      </w:r>
      <w:proofErr w:type="spellEnd"/>
      <w:r>
        <w:rPr>
          <w:lang w:eastAsia="ja-JP"/>
        </w:rPr>
        <w:t xml:space="preserve"> or </w:t>
      </w:r>
      <w:proofErr w:type="spellStart"/>
      <w:r>
        <w:rPr>
          <w:lang w:eastAsia="ja-JP"/>
        </w:rPr>
        <w:t>methylal</w:t>
      </w:r>
      <w:proofErr w:type="spellEnd"/>
      <w:r>
        <w:rPr>
          <w:lang w:eastAsia="ja-JP"/>
        </w:rPr>
        <w:t xml:space="preserve"> might be able to replace saturated HFCs in some of the remaining discontinuous processes, but this will ultimately depend on local regulations and practices. Accordingly, little change is predicted in this sector within the next 5-10 years within the Business-As-Usual scenario.</w:t>
      </w:r>
    </w:p>
    <w:p w14:paraId="473BABAE" w14:textId="77777777" w:rsidR="00CD4215" w:rsidRDefault="00CD4215" w:rsidP="00CD4215">
      <w:pPr>
        <w:pStyle w:val="Heading4"/>
      </w:pPr>
    </w:p>
    <w:p w14:paraId="573619FC" w14:textId="77777777" w:rsidR="00CD4215" w:rsidRPr="00164DBE" w:rsidRDefault="00CD4215" w:rsidP="00CD4215">
      <w:pPr>
        <w:pStyle w:val="Heading4"/>
      </w:pPr>
      <w:r>
        <w:t>Article 5 Parties</w:t>
      </w:r>
    </w:p>
    <w:p w14:paraId="518FC857" w14:textId="77777777" w:rsidR="00CD4215" w:rsidRPr="00050445" w:rsidRDefault="00CD4215" w:rsidP="00CD4215">
      <w:pPr>
        <w:rPr>
          <w:sz w:val="8"/>
          <w:szCs w:val="8"/>
        </w:rPr>
      </w:pPr>
    </w:p>
    <w:p w14:paraId="14058BBF" w14:textId="77777777" w:rsidR="00CD4215" w:rsidRDefault="00CD4215" w:rsidP="00CD4215">
      <w:pPr>
        <w:jc w:val="both"/>
      </w:pPr>
      <w:r>
        <w:t xml:space="preserve">Similar concerns exist for discontinuous processes in Article 5 regions. As is the case in the panel sector, these are more prevalent in Article 5 regions because of lack of economies of scale. There are also differences in product demand with thermo-ware being a particular requirement in Southern Asia and elsewhere. For these reasons HCFCs continue to remain the blowing agent of choice, although uptake of methyl </w:t>
      </w:r>
      <w:proofErr w:type="spellStart"/>
      <w:r>
        <w:t>formate</w:t>
      </w:r>
      <w:proofErr w:type="spellEnd"/>
      <w:r>
        <w:t xml:space="preserve"> and/or </w:t>
      </w:r>
      <w:proofErr w:type="spellStart"/>
      <w:r>
        <w:t>methylal</w:t>
      </w:r>
      <w:proofErr w:type="spellEnd"/>
      <w:r>
        <w:t xml:space="preserve"> is predicted within a number of HPMPs. The magnitude of this uptake is varied in the Mitigation Scenarios selected for foams, but the Business-as-Usual scenario reflects a fairly conservative estimate of market penetration, with the remainder going to high-GWP HFCs.    </w:t>
      </w:r>
    </w:p>
    <w:p w14:paraId="33CEE592" w14:textId="77777777" w:rsidR="00CD4215" w:rsidRPr="00C341A5" w:rsidRDefault="00CD4215" w:rsidP="00CD4215">
      <w:pPr>
        <w:rPr>
          <w:sz w:val="16"/>
          <w:szCs w:val="16"/>
        </w:rPr>
      </w:pPr>
    </w:p>
    <w:p w14:paraId="2349DAF2" w14:textId="77777777" w:rsidR="00CD4215" w:rsidRDefault="00CD4215" w:rsidP="00CD4215">
      <w:pPr>
        <w:pStyle w:val="Heading3"/>
      </w:pPr>
      <w:bookmarkStart w:id="34" w:name="_Toc415441535"/>
      <w:r>
        <w:t>Polyurethane Integral Skin</w:t>
      </w:r>
      <w:bookmarkEnd w:id="34"/>
      <w:r>
        <w:t xml:space="preserve">  </w:t>
      </w:r>
    </w:p>
    <w:p w14:paraId="636145A3" w14:textId="77777777" w:rsidR="00CD4215" w:rsidRPr="00C341A5" w:rsidRDefault="00CD4215" w:rsidP="00CD4215">
      <w:pPr>
        <w:rPr>
          <w:sz w:val="8"/>
          <w:szCs w:val="8"/>
        </w:rPr>
      </w:pPr>
    </w:p>
    <w:p w14:paraId="25B9623F" w14:textId="3D186F8F" w:rsidR="00C341A5" w:rsidRDefault="00C341A5" w:rsidP="00C341A5">
      <w:pPr>
        <w:jc w:val="both"/>
      </w:pPr>
      <w:r>
        <w:t xml:space="preserve">Integral skin foams are the one group of foams, which are not primarily used for thermal insulation purposes. They sub-divide into two types – ‘rigid integral skin’ (typically items such as </w:t>
      </w:r>
      <w:r w:rsidR="00710522">
        <w:t>wood replacement</w:t>
      </w:r>
      <w:r>
        <w:t xml:space="preserve">) and ‘flexible integral skin’ (typically covering items such as shoe soles and some packaging foams). As the name suggests, the primary feature of integral skin products is their ability to encapsulate a relatively low density core (for weight saving purposes) with an integrated skin which is made from the same material and in the same process. As a polymer, polyurethane is particularly versatile in forming a resilient skin when moulded and this provides a level of utility which is rarely seen in other product types.       </w:t>
      </w:r>
    </w:p>
    <w:p w14:paraId="53FAD12B" w14:textId="77777777" w:rsidR="00C341A5" w:rsidRPr="00C341A5" w:rsidRDefault="00C341A5" w:rsidP="00C341A5">
      <w:pPr>
        <w:rPr>
          <w:sz w:val="16"/>
          <w:szCs w:val="16"/>
        </w:rPr>
      </w:pPr>
    </w:p>
    <w:p w14:paraId="583746FF" w14:textId="77777777" w:rsidR="00C341A5" w:rsidRDefault="00C341A5" w:rsidP="00C341A5">
      <w:pPr>
        <w:pStyle w:val="Heading4"/>
      </w:pPr>
      <w:r>
        <w:t xml:space="preserve">Commercially available alternatives to ODS </w:t>
      </w:r>
    </w:p>
    <w:p w14:paraId="5BAB7F73" w14:textId="77777777" w:rsidR="00C341A5" w:rsidRPr="00C341A5" w:rsidRDefault="00C341A5" w:rsidP="00C341A5">
      <w:pPr>
        <w:spacing w:before="120"/>
      </w:pPr>
      <w:r>
        <w:t>Table 22 provides a summary of commercially available alternatives in the PU Integral Skin sector</w:t>
      </w:r>
    </w:p>
    <w:p w14:paraId="5D453E4F" w14:textId="77777777" w:rsidR="00C341A5" w:rsidRPr="00390843" w:rsidRDefault="00C341A5" w:rsidP="00C341A5">
      <w:pPr>
        <w:rPr>
          <w:sz w:val="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1979"/>
        <w:gridCol w:w="2671"/>
      </w:tblGrid>
      <w:tr w:rsidR="00C341A5" w14:paraId="3CC4169F" w14:textId="77777777" w:rsidTr="00C341A5">
        <w:trPr>
          <w:cantSplit/>
        </w:trPr>
        <w:tc>
          <w:tcPr>
            <w:tcW w:w="9214" w:type="dxa"/>
            <w:gridSpan w:val="4"/>
            <w:shd w:val="clear" w:color="auto" w:fill="FFFFFF"/>
            <w:vAlign w:val="center"/>
          </w:tcPr>
          <w:p w14:paraId="44744D3E" w14:textId="77777777" w:rsidR="00C341A5" w:rsidRDefault="00C341A5" w:rsidP="001769CA">
            <w:pPr>
              <w:tabs>
                <w:tab w:val="left" w:pos="3544"/>
              </w:tabs>
              <w:spacing w:line="240" w:lineRule="atLeast"/>
              <w:ind w:right="-108"/>
              <w:jc w:val="center"/>
              <w:rPr>
                <w:b/>
                <w:i/>
                <w:lang w:eastAsia="es-ES"/>
              </w:rPr>
            </w:pPr>
            <w:r>
              <w:rPr>
                <w:b/>
                <w:i/>
                <w:lang w:eastAsia="es-ES"/>
              </w:rPr>
              <w:t>HCFC REPLACEMENT OPTIONS FOR INTEGRAL SKIN PU FOAMS FOR TRANSPORT &amp; FURNITURE APPLICATIONS</w:t>
            </w:r>
          </w:p>
        </w:tc>
      </w:tr>
      <w:tr w:rsidR="00C341A5" w14:paraId="42BDEA86" w14:textId="77777777" w:rsidTr="00C341A5">
        <w:trPr>
          <w:cantSplit/>
        </w:trPr>
        <w:tc>
          <w:tcPr>
            <w:tcW w:w="2585" w:type="dxa"/>
            <w:shd w:val="clear" w:color="auto" w:fill="FFFFFF"/>
            <w:vAlign w:val="center"/>
          </w:tcPr>
          <w:p w14:paraId="49A49619" w14:textId="77777777" w:rsidR="00C341A5" w:rsidRDefault="00C341A5" w:rsidP="001769CA">
            <w:pPr>
              <w:tabs>
                <w:tab w:val="left" w:pos="3544"/>
              </w:tabs>
              <w:spacing w:before="120" w:after="120"/>
              <w:ind w:right="-75"/>
              <w:jc w:val="center"/>
              <w:rPr>
                <w:b/>
                <w:sz w:val="18"/>
              </w:rPr>
            </w:pPr>
            <w:r>
              <w:rPr>
                <w:b/>
                <w:sz w:val="18"/>
              </w:rPr>
              <w:t>SECTOR/OPTION</w:t>
            </w:r>
          </w:p>
        </w:tc>
        <w:tc>
          <w:tcPr>
            <w:tcW w:w="1979" w:type="dxa"/>
            <w:shd w:val="clear" w:color="auto" w:fill="FFFFFF"/>
            <w:vAlign w:val="center"/>
          </w:tcPr>
          <w:p w14:paraId="4A1F09BC" w14:textId="77777777" w:rsidR="00C341A5" w:rsidRDefault="00C341A5" w:rsidP="001769CA">
            <w:pPr>
              <w:keepNext/>
              <w:widowControl w:val="0"/>
              <w:tabs>
                <w:tab w:val="left" w:pos="1080"/>
                <w:tab w:val="left" w:pos="3544"/>
              </w:tabs>
              <w:spacing w:before="120" w:after="120"/>
              <w:jc w:val="center"/>
              <w:outlineLvl w:val="3"/>
              <w:rPr>
                <w:b/>
                <w:i/>
                <w:sz w:val="18"/>
              </w:rPr>
            </w:pPr>
            <w:r>
              <w:rPr>
                <w:b/>
                <w:i/>
                <w:sz w:val="18"/>
              </w:rPr>
              <w:t>PROS</w:t>
            </w:r>
          </w:p>
        </w:tc>
        <w:tc>
          <w:tcPr>
            <w:tcW w:w="1979" w:type="dxa"/>
            <w:shd w:val="clear" w:color="auto" w:fill="FFFFFF"/>
            <w:vAlign w:val="center"/>
          </w:tcPr>
          <w:p w14:paraId="23C5442B" w14:textId="77777777" w:rsidR="00C341A5" w:rsidRDefault="00C341A5" w:rsidP="001769CA">
            <w:pPr>
              <w:keepNext/>
              <w:widowControl w:val="0"/>
              <w:tabs>
                <w:tab w:val="left" w:pos="1080"/>
                <w:tab w:val="left" w:pos="3544"/>
              </w:tabs>
              <w:spacing w:before="120" w:after="120"/>
              <w:jc w:val="center"/>
              <w:outlineLvl w:val="3"/>
              <w:rPr>
                <w:b/>
                <w:i/>
                <w:sz w:val="18"/>
              </w:rPr>
            </w:pPr>
            <w:r>
              <w:rPr>
                <w:b/>
                <w:i/>
                <w:sz w:val="18"/>
              </w:rPr>
              <w:t>CONS</w:t>
            </w:r>
          </w:p>
        </w:tc>
        <w:tc>
          <w:tcPr>
            <w:tcW w:w="2671" w:type="dxa"/>
            <w:shd w:val="clear" w:color="auto" w:fill="FFFFFF"/>
            <w:vAlign w:val="center"/>
          </w:tcPr>
          <w:p w14:paraId="61D4FB6A" w14:textId="77777777" w:rsidR="00C341A5" w:rsidRDefault="00C341A5" w:rsidP="001769CA">
            <w:pPr>
              <w:keepNext/>
              <w:widowControl w:val="0"/>
              <w:tabs>
                <w:tab w:val="left" w:pos="1080"/>
                <w:tab w:val="left" w:pos="3544"/>
              </w:tabs>
              <w:spacing w:before="120" w:after="120"/>
              <w:jc w:val="center"/>
              <w:outlineLvl w:val="3"/>
              <w:rPr>
                <w:b/>
                <w:i/>
                <w:sz w:val="18"/>
              </w:rPr>
            </w:pPr>
            <w:r>
              <w:rPr>
                <w:b/>
                <w:i/>
                <w:sz w:val="18"/>
              </w:rPr>
              <w:t>COMMENTS</w:t>
            </w:r>
          </w:p>
        </w:tc>
      </w:tr>
      <w:tr w:rsidR="00C341A5" w14:paraId="0B137DF6" w14:textId="77777777" w:rsidTr="00C341A5">
        <w:trPr>
          <w:cantSplit/>
        </w:trPr>
        <w:tc>
          <w:tcPr>
            <w:tcW w:w="9214" w:type="dxa"/>
            <w:gridSpan w:val="4"/>
            <w:shd w:val="clear" w:color="auto" w:fill="C0C0C0"/>
            <w:vAlign w:val="center"/>
          </w:tcPr>
          <w:p w14:paraId="0ADAE86E" w14:textId="77777777" w:rsidR="00C341A5" w:rsidRDefault="00C341A5" w:rsidP="001769CA">
            <w:pPr>
              <w:rPr>
                <w:b/>
                <w:i/>
              </w:rPr>
            </w:pPr>
            <w:r>
              <w:rPr>
                <w:b/>
                <w:i/>
              </w:rPr>
              <w:t>Integral skin foams</w:t>
            </w:r>
          </w:p>
        </w:tc>
      </w:tr>
      <w:tr w:rsidR="00C341A5" w14:paraId="22F8848E" w14:textId="77777777" w:rsidTr="00C341A5">
        <w:trPr>
          <w:cantSplit/>
        </w:trPr>
        <w:tc>
          <w:tcPr>
            <w:tcW w:w="2585" w:type="dxa"/>
            <w:vMerge w:val="restart"/>
            <w:vAlign w:val="center"/>
          </w:tcPr>
          <w:p w14:paraId="05D3EA1D" w14:textId="77777777" w:rsidR="00C341A5" w:rsidRDefault="00C341A5" w:rsidP="001769CA">
            <w:pPr>
              <w:keepNext/>
              <w:widowControl w:val="0"/>
              <w:tabs>
                <w:tab w:val="left" w:pos="1080"/>
                <w:tab w:val="left" w:pos="3544"/>
              </w:tabs>
              <w:jc w:val="both"/>
              <w:outlineLvl w:val="3"/>
              <w:rPr>
                <w:i/>
                <w:sz w:val="18"/>
              </w:rPr>
            </w:pPr>
            <w:r>
              <w:rPr>
                <w:i/>
                <w:sz w:val="18"/>
              </w:rPr>
              <w:t>CO</w:t>
            </w:r>
            <w:r>
              <w:rPr>
                <w:i/>
                <w:sz w:val="18"/>
                <w:vertAlign w:val="subscript"/>
              </w:rPr>
              <w:t xml:space="preserve">2 </w:t>
            </w:r>
            <w:r>
              <w:rPr>
                <w:i/>
                <w:sz w:val="18"/>
              </w:rPr>
              <w:t xml:space="preserve">(water) </w:t>
            </w:r>
          </w:p>
        </w:tc>
        <w:tc>
          <w:tcPr>
            <w:tcW w:w="1979" w:type="dxa"/>
            <w:vAlign w:val="center"/>
          </w:tcPr>
          <w:p w14:paraId="2DC9004D" w14:textId="77777777" w:rsidR="00C341A5" w:rsidRDefault="00C341A5" w:rsidP="001769CA">
            <w:pPr>
              <w:keepNext/>
              <w:widowControl w:val="0"/>
              <w:tabs>
                <w:tab w:val="left" w:pos="1080"/>
                <w:tab w:val="left" w:pos="3544"/>
              </w:tabs>
              <w:outlineLvl w:val="3"/>
              <w:rPr>
                <w:i/>
                <w:sz w:val="18"/>
              </w:rPr>
            </w:pPr>
            <w:r>
              <w:rPr>
                <w:i/>
                <w:sz w:val="18"/>
              </w:rPr>
              <w:t>Low GWP</w:t>
            </w:r>
          </w:p>
        </w:tc>
        <w:tc>
          <w:tcPr>
            <w:tcW w:w="1979" w:type="dxa"/>
            <w:vAlign w:val="center"/>
          </w:tcPr>
          <w:p w14:paraId="131D526E" w14:textId="77777777" w:rsidR="00C341A5" w:rsidRDefault="00C341A5" w:rsidP="001769CA">
            <w:pPr>
              <w:keepNext/>
              <w:widowControl w:val="0"/>
              <w:tabs>
                <w:tab w:val="left" w:pos="1080"/>
                <w:tab w:val="left" w:pos="3544"/>
              </w:tabs>
              <w:ind w:right="-86"/>
              <w:outlineLvl w:val="3"/>
              <w:rPr>
                <w:i/>
                <w:sz w:val="18"/>
              </w:rPr>
            </w:pPr>
            <w:r>
              <w:rPr>
                <w:i/>
                <w:sz w:val="18"/>
              </w:rPr>
              <w:t>Poor skin quality</w:t>
            </w:r>
          </w:p>
        </w:tc>
        <w:tc>
          <w:tcPr>
            <w:tcW w:w="2671" w:type="dxa"/>
            <w:vAlign w:val="center"/>
          </w:tcPr>
          <w:p w14:paraId="66F0123C" w14:textId="77777777" w:rsidR="00C341A5" w:rsidRDefault="00C341A5" w:rsidP="001769CA">
            <w:pPr>
              <w:keepNext/>
              <w:widowControl w:val="0"/>
              <w:tabs>
                <w:tab w:val="left" w:pos="1080"/>
                <w:tab w:val="left" w:pos="3544"/>
              </w:tabs>
              <w:ind w:right="-108"/>
              <w:outlineLvl w:val="3"/>
              <w:rPr>
                <w:i/>
                <w:sz w:val="18"/>
              </w:rPr>
            </w:pPr>
            <w:r>
              <w:rPr>
                <w:i/>
                <w:sz w:val="18"/>
              </w:rPr>
              <w:t xml:space="preserve">Suitable skin may require </w:t>
            </w:r>
            <w:r>
              <w:rPr>
                <w:sz w:val="18"/>
              </w:rPr>
              <w:t>in-mould-coating</w:t>
            </w:r>
            <w:r>
              <w:rPr>
                <w:i/>
                <w:sz w:val="18"/>
              </w:rPr>
              <w:t xml:space="preserve"> – added expense</w:t>
            </w:r>
          </w:p>
        </w:tc>
      </w:tr>
      <w:tr w:rsidR="00C341A5" w14:paraId="2EF7970D" w14:textId="77777777" w:rsidTr="00C341A5">
        <w:trPr>
          <w:cantSplit/>
        </w:trPr>
        <w:tc>
          <w:tcPr>
            <w:tcW w:w="2585" w:type="dxa"/>
            <w:vMerge/>
            <w:vAlign w:val="center"/>
          </w:tcPr>
          <w:p w14:paraId="3301FF9F" w14:textId="77777777" w:rsidR="00C341A5" w:rsidRDefault="00C341A5" w:rsidP="001769CA">
            <w:pPr>
              <w:tabs>
                <w:tab w:val="left" w:pos="720"/>
                <w:tab w:val="left" w:pos="1440"/>
                <w:tab w:val="left" w:pos="3544"/>
                <w:tab w:val="left" w:pos="5760"/>
              </w:tabs>
              <w:ind w:right="-75"/>
              <w:jc w:val="both"/>
              <w:rPr>
                <w:sz w:val="18"/>
              </w:rPr>
            </w:pPr>
          </w:p>
        </w:tc>
        <w:tc>
          <w:tcPr>
            <w:tcW w:w="1979" w:type="dxa"/>
            <w:vAlign w:val="center"/>
          </w:tcPr>
          <w:p w14:paraId="6EB84DE7" w14:textId="77777777" w:rsidR="00C341A5" w:rsidRDefault="00C341A5" w:rsidP="001769CA">
            <w:pPr>
              <w:keepNext/>
              <w:widowControl w:val="0"/>
              <w:tabs>
                <w:tab w:val="left" w:pos="1080"/>
                <w:tab w:val="left" w:pos="3544"/>
              </w:tabs>
              <w:outlineLvl w:val="3"/>
              <w:rPr>
                <w:i/>
                <w:sz w:val="18"/>
              </w:rPr>
            </w:pPr>
            <w:r>
              <w:rPr>
                <w:i/>
                <w:sz w:val="18"/>
              </w:rPr>
              <w:t>Low conversion costs</w:t>
            </w:r>
          </w:p>
        </w:tc>
        <w:tc>
          <w:tcPr>
            <w:tcW w:w="1979" w:type="dxa"/>
            <w:vAlign w:val="center"/>
          </w:tcPr>
          <w:p w14:paraId="2F917A46" w14:textId="77777777" w:rsidR="00C341A5" w:rsidRDefault="00C341A5" w:rsidP="001769CA">
            <w:pPr>
              <w:keepNext/>
              <w:widowControl w:val="0"/>
              <w:tabs>
                <w:tab w:val="left" w:pos="1080"/>
                <w:tab w:val="left" w:pos="3544"/>
              </w:tabs>
              <w:jc w:val="both"/>
              <w:outlineLvl w:val="3"/>
              <w:rPr>
                <w:i/>
                <w:sz w:val="18"/>
              </w:rPr>
            </w:pPr>
          </w:p>
        </w:tc>
        <w:tc>
          <w:tcPr>
            <w:tcW w:w="2671" w:type="dxa"/>
            <w:vAlign w:val="center"/>
          </w:tcPr>
          <w:p w14:paraId="7B0CA3DF" w14:textId="77777777" w:rsidR="00C341A5" w:rsidRDefault="00C341A5" w:rsidP="001769CA">
            <w:pPr>
              <w:keepNext/>
              <w:widowControl w:val="0"/>
              <w:tabs>
                <w:tab w:val="left" w:pos="1080"/>
                <w:tab w:val="left" w:pos="3544"/>
              </w:tabs>
              <w:ind w:right="-108"/>
              <w:outlineLvl w:val="3"/>
              <w:rPr>
                <w:i/>
                <w:sz w:val="18"/>
              </w:rPr>
            </w:pPr>
            <w:r>
              <w:rPr>
                <w:i/>
                <w:sz w:val="18"/>
              </w:rPr>
              <w:t>Well proven in application if skin acceptable</w:t>
            </w:r>
          </w:p>
        </w:tc>
      </w:tr>
      <w:tr w:rsidR="00C341A5" w14:paraId="326BF754" w14:textId="77777777" w:rsidTr="00C341A5">
        <w:trPr>
          <w:cantSplit/>
        </w:trPr>
        <w:tc>
          <w:tcPr>
            <w:tcW w:w="2585" w:type="dxa"/>
            <w:vMerge w:val="restart"/>
            <w:vAlign w:val="center"/>
          </w:tcPr>
          <w:p w14:paraId="6B6A9D12" w14:textId="77777777" w:rsidR="00C341A5" w:rsidRDefault="00C341A5" w:rsidP="001769CA">
            <w:pPr>
              <w:tabs>
                <w:tab w:val="left" w:pos="3544"/>
              </w:tabs>
              <w:rPr>
                <w:sz w:val="18"/>
              </w:rPr>
            </w:pPr>
            <w:r>
              <w:rPr>
                <w:sz w:val="18"/>
              </w:rPr>
              <w:t>n-Pentane</w:t>
            </w:r>
          </w:p>
        </w:tc>
        <w:tc>
          <w:tcPr>
            <w:tcW w:w="1979" w:type="dxa"/>
            <w:vAlign w:val="center"/>
          </w:tcPr>
          <w:p w14:paraId="7418A316" w14:textId="77777777" w:rsidR="00C341A5" w:rsidRDefault="00C341A5" w:rsidP="001769CA">
            <w:pPr>
              <w:keepNext/>
              <w:widowControl w:val="0"/>
              <w:tabs>
                <w:tab w:val="left" w:pos="1080"/>
                <w:tab w:val="left" w:pos="3544"/>
              </w:tabs>
              <w:outlineLvl w:val="3"/>
              <w:rPr>
                <w:i/>
                <w:sz w:val="18"/>
              </w:rPr>
            </w:pPr>
            <w:r>
              <w:rPr>
                <w:i/>
                <w:sz w:val="18"/>
              </w:rPr>
              <w:t>Low GWP</w:t>
            </w:r>
          </w:p>
        </w:tc>
        <w:tc>
          <w:tcPr>
            <w:tcW w:w="1979" w:type="dxa"/>
            <w:vAlign w:val="center"/>
          </w:tcPr>
          <w:p w14:paraId="70358464" w14:textId="77777777" w:rsidR="00C341A5" w:rsidRDefault="00C341A5" w:rsidP="001769CA">
            <w:pPr>
              <w:keepNext/>
              <w:widowControl w:val="0"/>
              <w:tabs>
                <w:tab w:val="left" w:pos="1080"/>
                <w:tab w:val="left" w:pos="3544"/>
              </w:tabs>
              <w:jc w:val="both"/>
              <w:outlineLvl w:val="3"/>
              <w:rPr>
                <w:i/>
                <w:sz w:val="18"/>
              </w:rPr>
            </w:pPr>
            <w:r>
              <w:rPr>
                <w:i/>
                <w:sz w:val="18"/>
              </w:rPr>
              <w:t>Highly flammable</w:t>
            </w:r>
          </w:p>
        </w:tc>
        <w:tc>
          <w:tcPr>
            <w:tcW w:w="2671" w:type="dxa"/>
            <w:vAlign w:val="center"/>
          </w:tcPr>
          <w:p w14:paraId="5024E4D7" w14:textId="77777777" w:rsidR="00C341A5" w:rsidRDefault="00C341A5" w:rsidP="001769CA">
            <w:pPr>
              <w:keepNext/>
              <w:widowControl w:val="0"/>
              <w:tabs>
                <w:tab w:val="left" w:pos="1080"/>
                <w:tab w:val="left" w:pos="3544"/>
              </w:tabs>
              <w:ind w:right="-108"/>
              <w:outlineLvl w:val="3"/>
              <w:rPr>
                <w:i/>
                <w:sz w:val="18"/>
              </w:rPr>
            </w:pPr>
            <w:r>
              <w:rPr>
                <w:i/>
                <w:sz w:val="18"/>
              </w:rPr>
              <w:t>High conversion costs, may be uneconomic for SMEs</w:t>
            </w:r>
          </w:p>
        </w:tc>
      </w:tr>
      <w:tr w:rsidR="00C341A5" w14:paraId="0F8C9A3B" w14:textId="77777777" w:rsidTr="00C341A5">
        <w:trPr>
          <w:cantSplit/>
        </w:trPr>
        <w:tc>
          <w:tcPr>
            <w:tcW w:w="2585" w:type="dxa"/>
            <w:vMerge/>
            <w:vAlign w:val="center"/>
          </w:tcPr>
          <w:p w14:paraId="72FC2894" w14:textId="77777777" w:rsidR="00C341A5" w:rsidRDefault="00C341A5" w:rsidP="001769CA">
            <w:pPr>
              <w:tabs>
                <w:tab w:val="left" w:pos="720"/>
                <w:tab w:val="left" w:pos="1440"/>
                <w:tab w:val="left" w:pos="3544"/>
                <w:tab w:val="left" w:pos="5760"/>
              </w:tabs>
              <w:ind w:right="-75"/>
              <w:jc w:val="both"/>
              <w:rPr>
                <w:sz w:val="18"/>
              </w:rPr>
            </w:pPr>
          </w:p>
        </w:tc>
        <w:tc>
          <w:tcPr>
            <w:tcW w:w="1979" w:type="dxa"/>
            <w:vAlign w:val="center"/>
          </w:tcPr>
          <w:p w14:paraId="4EADB884" w14:textId="77777777" w:rsidR="00C341A5" w:rsidRDefault="00C341A5" w:rsidP="001769CA">
            <w:pPr>
              <w:keepNext/>
              <w:widowControl w:val="0"/>
              <w:tabs>
                <w:tab w:val="left" w:pos="1080"/>
                <w:tab w:val="left" w:pos="3544"/>
              </w:tabs>
              <w:outlineLvl w:val="3"/>
              <w:rPr>
                <w:i/>
                <w:sz w:val="18"/>
              </w:rPr>
            </w:pPr>
            <w:r>
              <w:rPr>
                <w:i/>
                <w:sz w:val="18"/>
              </w:rPr>
              <w:t>Low operating costs</w:t>
            </w:r>
          </w:p>
        </w:tc>
        <w:tc>
          <w:tcPr>
            <w:tcW w:w="1979" w:type="dxa"/>
            <w:vAlign w:val="center"/>
          </w:tcPr>
          <w:p w14:paraId="798C7871" w14:textId="77777777" w:rsidR="00C341A5" w:rsidRDefault="00C341A5" w:rsidP="001769CA">
            <w:pPr>
              <w:keepNext/>
              <w:widowControl w:val="0"/>
              <w:tabs>
                <w:tab w:val="left" w:pos="1080"/>
                <w:tab w:val="left" w:pos="3544"/>
              </w:tabs>
              <w:jc w:val="both"/>
              <w:outlineLvl w:val="3"/>
              <w:rPr>
                <w:i/>
                <w:sz w:val="18"/>
              </w:rPr>
            </w:pPr>
          </w:p>
        </w:tc>
        <w:tc>
          <w:tcPr>
            <w:tcW w:w="2671" w:type="dxa"/>
            <w:vAlign w:val="center"/>
          </w:tcPr>
          <w:p w14:paraId="1CF574C0" w14:textId="77777777" w:rsidR="00C341A5" w:rsidRDefault="00C341A5" w:rsidP="001769CA">
            <w:pPr>
              <w:keepNext/>
              <w:widowControl w:val="0"/>
              <w:tabs>
                <w:tab w:val="left" w:pos="1080"/>
                <w:tab w:val="left" w:pos="3544"/>
              </w:tabs>
              <w:ind w:right="-108"/>
              <w:outlineLvl w:val="3"/>
              <w:rPr>
                <w:i/>
                <w:sz w:val="18"/>
              </w:rPr>
            </w:pPr>
            <w:r>
              <w:rPr>
                <w:i/>
                <w:sz w:val="18"/>
              </w:rPr>
              <w:t>Low operating costs</w:t>
            </w:r>
          </w:p>
        </w:tc>
      </w:tr>
      <w:tr w:rsidR="00C341A5" w14:paraId="4D71A771" w14:textId="77777777" w:rsidTr="00C341A5">
        <w:trPr>
          <w:cantSplit/>
        </w:trPr>
        <w:tc>
          <w:tcPr>
            <w:tcW w:w="2585" w:type="dxa"/>
            <w:vMerge/>
            <w:vAlign w:val="center"/>
          </w:tcPr>
          <w:p w14:paraId="200590EB" w14:textId="77777777" w:rsidR="00C341A5" w:rsidRDefault="00C341A5" w:rsidP="001769CA">
            <w:pPr>
              <w:tabs>
                <w:tab w:val="left" w:pos="720"/>
                <w:tab w:val="left" w:pos="1440"/>
                <w:tab w:val="left" w:pos="3544"/>
                <w:tab w:val="left" w:pos="5760"/>
              </w:tabs>
              <w:ind w:right="-75"/>
              <w:jc w:val="both"/>
              <w:rPr>
                <w:sz w:val="18"/>
              </w:rPr>
            </w:pPr>
          </w:p>
        </w:tc>
        <w:tc>
          <w:tcPr>
            <w:tcW w:w="1979" w:type="dxa"/>
            <w:vAlign w:val="center"/>
          </w:tcPr>
          <w:p w14:paraId="109545CA" w14:textId="77777777" w:rsidR="00C341A5" w:rsidRDefault="00C341A5" w:rsidP="001769CA">
            <w:pPr>
              <w:keepNext/>
              <w:widowControl w:val="0"/>
              <w:tabs>
                <w:tab w:val="left" w:pos="1080"/>
                <w:tab w:val="left" w:pos="3544"/>
              </w:tabs>
              <w:outlineLvl w:val="3"/>
              <w:rPr>
                <w:i/>
                <w:sz w:val="18"/>
              </w:rPr>
            </w:pPr>
            <w:r>
              <w:rPr>
                <w:i/>
                <w:sz w:val="18"/>
              </w:rPr>
              <w:t>Good skin quality</w:t>
            </w:r>
          </w:p>
        </w:tc>
        <w:tc>
          <w:tcPr>
            <w:tcW w:w="1979" w:type="dxa"/>
            <w:vAlign w:val="center"/>
          </w:tcPr>
          <w:p w14:paraId="49A3159F" w14:textId="77777777" w:rsidR="00C341A5" w:rsidRDefault="00C341A5" w:rsidP="001769CA">
            <w:pPr>
              <w:keepNext/>
              <w:widowControl w:val="0"/>
              <w:tabs>
                <w:tab w:val="left" w:pos="1080"/>
                <w:tab w:val="left" w:pos="3544"/>
              </w:tabs>
              <w:jc w:val="both"/>
              <w:outlineLvl w:val="3"/>
              <w:rPr>
                <w:i/>
                <w:sz w:val="18"/>
              </w:rPr>
            </w:pPr>
          </w:p>
        </w:tc>
        <w:tc>
          <w:tcPr>
            <w:tcW w:w="2671" w:type="dxa"/>
            <w:vAlign w:val="center"/>
          </w:tcPr>
          <w:p w14:paraId="10815A4B" w14:textId="77777777" w:rsidR="00C341A5" w:rsidRDefault="00C341A5" w:rsidP="001769CA">
            <w:pPr>
              <w:keepNext/>
              <w:widowControl w:val="0"/>
              <w:tabs>
                <w:tab w:val="left" w:pos="1080"/>
                <w:tab w:val="left" w:pos="3544"/>
              </w:tabs>
              <w:ind w:right="-108"/>
              <w:outlineLvl w:val="3"/>
              <w:rPr>
                <w:i/>
                <w:sz w:val="18"/>
              </w:rPr>
            </w:pPr>
            <w:r>
              <w:rPr>
                <w:i/>
                <w:sz w:val="18"/>
              </w:rPr>
              <w:t>Well proven in application</w:t>
            </w:r>
          </w:p>
        </w:tc>
      </w:tr>
      <w:tr w:rsidR="00C341A5" w14:paraId="318AF43E" w14:textId="77777777" w:rsidTr="00C341A5">
        <w:trPr>
          <w:cantSplit/>
        </w:trPr>
        <w:tc>
          <w:tcPr>
            <w:tcW w:w="9214" w:type="dxa"/>
            <w:gridSpan w:val="4"/>
            <w:shd w:val="clear" w:color="auto" w:fill="C0C0C0"/>
            <w:vAlign w:val="center"/>
          </w:tcPr>
          <w:p w14:paraId="1C317CBC" w14:textId="77777777" w:rsidR="00C341A5" w:rsidRDefault="00C341A5" w:rsidP="001769CA">
            <w:pPr>
              <w:rPr>
                <w:b/>
                <w:i/>
              </w:rPr>
            </w:pPr>
            <w:r>
              <w:rPr>
                <w:b/>
                <w:i/>
              </w:rPr>
              <w:t>Shoe-soles</w:t>
            </w:r>
          </w:p>
        </w:tc>
      </w:tr>
      <w:tr w:rsidR="00C341A5" w14:paraId="3BD52BBD" w14:textId="77777777" w:rsidTr="00C341A5">
        <w:trPr>
          <w:cantSplit/>
        </w:trPr>
        <w:tc>
          <w:tcPr>
            <w:tcW w:w="2585" w:type="dxa"/>
            <w:vMerge w:val="restart"/>
            <w:vAlign w:val="center"/>
          </w:tcPr>
          <w:p w14:paraId="3AC8ADFD" w14:textId="77777777" w:rsidR="00C341A5" w:rsidRDefault="00C341A5" w:rsidP="001769CA">
            <w:pPr>
              <w:keepNext/>
              <w:widowControl w:val="0"/>
              <w:tabs>
                <w:tab w:val="left" w:pos="1080"/>
                <w:tab w:val="left" w:pos="3544"/>
              </w:tabs>
              <w:jc w:val="both"/>
              <w:outlineLvl w:val="3"/>
              <w:rPr>
                <w:i/>
                <w:sz w:val="18"/>
              </w:rPr>
            </w:pPr>
            <w:r>
              <w:rPr>
                <w:i/>
                <w:sz w:val="18"/>
              </w:rPr>
              <w:t>CO</w:t>
            </w:r>
            <w:r>
              <w:rPr>
                <w:i/>
                <w:sz w:val="18"/>
                <w:vertAlign w:val="subscript"/>
              </w:rPr>
              <w:t xml:space="preserve">2 </w:t>
            </w:r>
            <w:r>
              <w:rPr>
                <w:i/>
                <w:sz w:val="18"/>
              </w:rPr>
              <w:t xml:space="preserve">(water) </w:t>
            </w:r>
          </w:p>
        </w:tc>
        <w:tc>
          <w:tcPr>
            <w:tcW w:w="1979" w:type="dxa"/>
            <w:vAlign w:val="center"/>
          </w:tcPr>
          <w:p w14:paraId="3FC796FB" w14:textId="77777777" w:rsidR="00C341A5" w:rsidRDefault="00C341A5" w:rsidP="001769CA">
            <w:pPr>
              <w:keepNext/>
              <w:widowControl w:val="0"/>
              <w:tabs>
                <w:tab w:val="left" w:pos="1080"/>
                <w:tab w:val="left" w:pos="3544"/>
              </w:tabs>
              <w:outlineLvl w:val="3"/>
              <w:rPr>
                <w:i/>
                <w:sz w:val="18"/>
              </w:rPr>
            </w:pPr>
            <w:r>
              <w:rPr>
                <w:i/>
                <w:sz w:val="18"/>
              </w:rPr>
              <w:t>Low GWP</w:t>
            </w:r>
          </w:p>
        </w:tc>
        <w:tc>
          <w:tcPr>
            <w:tcW w:w="1979" w:type="dxa"/>
            <w:vAlign w:val="center"/>
          </w:tcPr>
          <w:p w14:paraId="66F7ED61" w14:textId="77777777" w:rsidR="00C341A5" w:rsidRDefault="00C341A5" w:rsidP="001769CA">
            <w:pPr>
              <w:keepNext/>
              <w:widowControl w:val="0"/>
              <w:tabs>
                <w:tab w:val="left" w:pos="1080"/>
                <w:tab w:val="left" w:pos="3544"/>
              </w:tabs>
              <w:jc w:val="both"/>
              <w:outlineLvl w:val="3"/>
              <w:rPr>
                <w:i/>
                <w:sz w:val="18"/>
              </w:rPr>
            </w:pPr>
          </w:p>
        </w:tc>
        <w:tc>
          <w:tcPr>
            <w:tcW w:w="2671" w:type="dxa"/>
            <w:vAlign w:val="center"/>
          </w:tcPr>
          <w:p w14:paraId="505A860B" w14:textId="77777777" w:rsidR="00C341A5" w:rsidRDefault="00C341A5" w:rsidP="001769CA">
            <w:pPr>
              <w:keepNext/>
              <w:widowControl w:val="0"/>
              <w:tabs>
                <w:tab w:val="left" w:pos="1080"/>
                <w:tab w:val="left" w:pos="3544"/>
              </w:tabs>
              <w:ind w:right="-108"/>
              <w:outlineLvl w:val="3"/>
              <w:rPr>
                <w:i/>
                <w:sz w:val="18"/>
              </w:rPr>
            </w:pPr>
            <w:r>
              <w:rPr>
                <w:i/>
                <w:sz w:val="18"/>
              </w:rPr>
              <w:t xml:space="preserve">Well proven in application with polyester </w:t>
            </w:r>
            <w:proofErr w:type="spellStart"/>
            <w:r>
              <w:rPr>
                <w:i/>
                <w:sz w:val="18"/>
              </w:rPr>
              <w:t>polyol</w:t>
            </w:r>
            <w:proofErr w:type="spellEnd"/>
            <w:r>
              <w:rPr>
                <w:i/>
                <w:sz w:val="18"/>
              </w:rPr>
              <w:t xml:space="preserve"> technology</w:t>
            </w:r>
          </w:p>
        </w:tc>
      </w:tr>
      <w:tr w:rsidR="00C341A5" w14:paraId="4FEBA4A2" w14:textId="77777777" w:rsidTr="00C341A5">
        <w:trPr>
          <w:cantSplit/>
        </w:trPr>
        <w:tc>
          <w:tcPr>
            <w:tcW w:w="2585" w:type="dxa"/>
            <w:vMerge/>
            <w:vAlign w:val="center"/>
          </w:tcPr>
          <w:p w14:paraId="7BFBC008" w14:textId="77777777" w:rsidR="00C341A5" w:rsidRDefault="00C341A5" w:rsidP="001769CA">
            <w:pPr>
              <w:tabs>
                <w:tab w:val="left" w:pos="720"/>
                <w:tab w:val="left" w:pos="1440"/>
                <w:tab w:val="left" w:pos="3544"/>
                <w:tab w:val="left" w:pos="5760"/>
              </w:tabs>
              <w:ind w:right="-75"/>
              <w:jc w:val="both"/>
              <w:rPr>
                <w:sz w:val="18"/>
              </w:rPr>
            </w:pPr>
          </w:p>
        </w:tc>
        <w:tc>
          <w:tcPr>
            <w:tcW w:w="1979" w:type="dxa"/>
            <w:vAlign w:val="center"/>
          </w:tcPr>
          <w:p w14:paraId="0402F2F6" w14:textId="77777777" w:rsidR="00C341A5" w:rsidRDefault="00C341A5" w:rsidP="001769CA">
            <w:pPr>
              <w:keepNext/>
              <w:widowControl w:val="0"/>
              <w:tabs>
                <w:tab w:val="left" w:pos="1080"/>
                <w:tab w:val="left" w:pos="3544"/>
              </w:tabs>
              <w:outlineLvl w:val="3"/>
              <w:rPr>
                <w:i/>
                <w:sz w:val="18"/>
              </w:rPr>
            </w:pPr>
            <w:r>
              <w:rPr>
                <w:i/>
                <w:sz w:val="18"/>
              </w:rPr>
              <w:t>Low conversion costs</w:t>
            </w:r>
          </w:p>
        </w:tc>
        <w:tc>
          <w:tcPr>
            <w:tcW w:w="1979" w:type="dxa"/>
            <w:vAlign w:val="center"/>
          </w:tcPr>
          <w:p w14:paraId="002F8B2E" w14:textId="77777777" w:rsidR="00C341A5" w:rsidRDefault="00C341A5" w:rsidP="001769CA">
            <w:pPr>
              <w:keepNext/>
              <w:widowControl w:val="0"/>
              <w:tabs>
                <w:tab w:val="left" w:pos="1080"/>
                <w:tab w:val="left" w:pos="3544"/>
              </w:tabs>
              <w:jc w:val="both"/>
              <w:outlineLvl w:val="3"/>
              <w:rPr>
                <w:i/>
                <w:sz w:val="18"/>
              </w:rPr>
            </w:pPr>
          </w:p>
        </w:tc>
        <w:tc>
          <w:tcPr>
            <w:tcW w:w="2671" w:type="dxa"/>
            <w:vAlign w:val="center"/>
          </w:tcPr>
          <w:p w14:paraId="3AFB25F3" w14:textId="77777777" w:rsidR="00C341A5" w:rsidRDefault="00C341A5" w:rsidP="001769CA">
            <w:pPr>
              <w:keepNext/>
              <w:widowControl w:val="0"/>
              <w:tabs>
                <w:tab w:val="left" w:pos="1080"/>
                <w:tab w:val="left" w:pos="3544"/>
              </w:tabs>
              <w:ind w:right="-108"/>
              <w:outlineLvl w:val="3"/>
              <w:rPr>
                <w:i/>
                <w:sz w:val="18"/>
              </w:rPr>
            </w:pPr>
          </w:p>
        </w:tc>
      </w:tr>
      <w:tr w:rsidR="00C341A5" w14:paraId="6CB8B135" w14:textId="77777777" w:rsidTr="00C341A5">
        <w:trPr>
          <w:cantSplit/>
          <w:trHeight w:val="450"/>
        </w:trPr>
        <w:tc>
          <w:tcPr>
            <w:tcW w:w="2585" w:type="dxa"/>
            <w:vMerge/>
            <w:vAlign w:val="center"/>
          </w:tcPr>
          <w:p w14:paraId="1E17BC69" w14:textId="77777777" w:rsidR="00C341A5" w:rsidRDefault="00C341A5" w:rsidP="001769CA">
            <w:pPr>
              <w:tabs>
                <w:tab w:val="left" w:pos="720"/>
                <w:tab w:val="left" w:pos="1440"/>
                <w:tab w:val="left" w:pos="3544"/>
                <w:tab w:val="left" w:pos="5760"/>
              </w:tabs>
              <w:ind w:right="-75"/>
              <w:jc w:val="both"/>
              <w:rPr>
                <w:sz w:val="18"/>
              </w:rPr>
            </w:pPr>
          </w:p>
        </w:tc>
        <w:tc>
          <w:tcPr>
            <w:tcW w:w="1979" w:type="dxa"/>
            <w:vAlign w:val="center"/>
          </w:tcPr>
          <w:p w14:paraId="0FA3CEA8" w14:textId="77777777" w:rsidR="00C341A5" w:rsidRDefault="00C341A5" w:rsidP="001769CA">
            <w:pPr>
              <w:keepNext/>
              <w:widowControl w:val="0"/>
              <w:tabs>
                <w:tab w:val="left" w:pos="1080"/>
                <w:tab w:val="left" w:pos="3544"/>
              </w:tabs>
              <w:ind w:right="-80"/>
              <w:outlineLvl w:val="3"/>
              <w:rPr>
                <w:i/>
                <w:sz w:val="18"/>
              </w:rPr>
            </w:pPr>
            <w:r>
              <w:rPr>
                <w:i/>
                <w:sz w:val="18"/>
              </w:rPr>
              <w:t>Skin quality suitable for sports shoe mid-soles</w:t>
            </w:r>
          </w:p>
        </w:tc>
        <w:tc>
          <w:tcPr>
            <w:tcW w:w="1979" w:type="dxa"/>
            <w:vAlign w:val="center"/>
          </w:tcPr>
          <w:p w14:paraId="1A3BB396" w14:textId="77777777" w:rsidR="00C341A5" w:rsidRDefault="00C341A5" w:rsidP="001769CA">
            <w:pPr>
              <w:keepNext/>
              <w:widowControl w:val="0"/>
              <w:tabs>
                <w:tab w:val="left" w:pos="1080"/>
                <w:tab w:val="left" w:pos="3544"/>
              </w:tabs>
              <w:jc w:val="both"/>
              <w:outlineLvl w:val="3"/>
              <w:rPr>
                <w:i/>
                <w:sz w:val="18"/>
              </w:rPr>
            </w:pPr>
          </w:p>
        </w:tc>
        <w:tc>
          <w:tcPr>
            <w:tcW w:w="2671" w:type="dxa"/>
            <w:vAlign w:val="center"/>
          </w:tcPr>
          <w:p w14:paraId="7F654FF0" w14:textId="77777777" w:rsidR="00C341A5" w:rsidRDefault="00C341A5" w:rsidP="001769CA">
            <w:pPr>
              <w:keepNext/>
              <w:widowControl w:val="0"/>
              <w:tabs>
                <w:tab w:val="left" w:pos="1080"/>
                <w:tab w:val="left" w:pos="3544"/>
              </w:tabs>
              <w:ind w:right="-108"/>
              <w:outlineLvl w:val="3"/>
              <w:rPr>
                <w:i/>
                <w:sz w:val="18"/>
              </w:rPr>
            </w:pPr>
          </w:p>
        </w:tc>
      </w:tr>
      <w:tr w:rsidR="00C341A5" w14:paraId="2252EB03" w14:textId="77777777" w:rsidTr="00C341A5">
        <w:trPr>
          <w:cantSplit/>
        </w:trPr>
        <w:tc>
          <w:tcPr>
            <w:tcW w:w="2585" w:type="dxa"/>
            <w:vAlign w:val="center"/>
          </w:tcPr>
          <w:p w14:paraId="04732463" w14:textId="77777777" w:rsidR="00C341A5" w:rsidRDefault="00C341A5" w:rsidP="001769CA">
            <w:pPr>
              <w:keepNext/>
              <w:widowControl w:val="0"/>
              <w:tabs>
                <w:tab w:val="left" w:pos="1080"/>
                <w:tab w:val="left" w:pos="3544"/>
              </w:tabs>
              <w:jc w:val="both"/>
              <w:outlineLvl w:val="3"/>
              <w:rPr>
                <w:i/>
                <w:sz w:val="18"/>
              </w:rPr>
            </w:pPr>
            <w:r>
              <w:rPr>
                <w:i/>
                <w:sz w:val="18"/>
              </w:rPr>
              <w:t>HFC-134a or HFC-245fa</w:t>
            </w:r>
          </w:p>
        </w:tc>
        <w:tc>
          <w:tcPr>
            <w:tcW w:w="1979" w:type="dxa"/>
            <w:vAlign w:val="center"/>
          </w:tcPr>
          <w:p w14:paraId="50478D41" w14:textId="77777777" w:rsidR="00C341A5" w:rsidRDefault="00C341A5" w:rsidP="001769CA">
            <w:pPr>
              <w:keepNext/>
              <w:widowControl w:val="0"/>
              <w:tabs>
                <w:tab w:val="left" w:pos="1080"/>
                <w:tab w:val="left" w:pos="3544"/>
              </w:tabs>
              <w:ind w:right="-80"/>
              <w:outlineLvl w:val="3"/>
              <w:rPr>
                <w:i/>
                <w:sz w:val="18"/>
              </w:rPr>
            </w:pPr>
            <w:r>
              <w:rPr>
                <w:i/>
                <w:sz w:val="18"/>
              </w:rPr>
              <w:t>Used to give required skin in town shoes</w:t>
            </w:r>
          </w:p>
        </w:tc>
        <w:tc>
          <w:tcPr>
            <w:tcW w:w="1979" w:type="dxa"/>
            <w:vAlign w:val="center"/>
          </w:tcPr>
          <w:p w14:paraId="6402E5A8" w14:textId="77777777" w:rsidR="00C341A5" w:rsidRDefault="00C341A5" w:rsidP="001769CA">
            <w:pPr>
              <w:keepNext/>
              <w:widowControl w:val="0"/>
              <w:tabs>
                <w:tab w:val="left" w:pos="1080"/>
                <w:tab w:val="left" w:pos="3544"/>
              </w:tabs>
              <w:jc w:val="both"/>
              <w:outlineLvl w:val="3"/>
              <w:rPr>
                <w:i/>
                <w:sz w:val="18"/>
              </w:rPr>
            </w:pPr>
            <w:r>
              <w:rPr>
                <w:i/>
                <w:sz w:val="18"/>
              </w:rPr>
              <w:t>High GWP/Cost</w:t>
            </w:r>
          </w:p>
        </w:tc>
        <w:tc>
          <w:tcPr>
            <w:tcW w:w="2671" w:type="dxa"/>
            <w:vAlign w:val="center"/>
          </w:tcPr>
          <w:p w14:paraId="5E313F36" w14:textId="77777777" w:rsidR="00C341A5" w:rsidRDefault="00C341A5" w:rsidP="001769CA">
            <w:pPr>
              <w:keepNext/>
              <w:widowControl w:val="0"/>
              <w:tabs>
                <w:tab w:val="left" w:pos="1080"/>
                <w:tab w:val="left" w:pos="3544"/>
              </w:tabs>
              <w:jc w:val="both"/>
              <w:outlineLvl w:val="3"/>
              <w:rPr>
                <w:i/>
                <w:sz w:val="18"/>
              </w:rPr>
            </w:pPr>
          </w:p>
        </w:tc>
      </w:tr>
    </w:tbl>
    <w:p w14:paraId="620E973F" w14:textId="77777777" w:rsidR="00C341A5" w:rsidRPr="00C341A5" w:rsidRDefault="00C341A5" w:rsidP="00C341A5">
      <w:pPr>
        <w:jc w:val="center"/>
        <w:rPr>
          <w:i/>
          <w:sz w:val="8"/>
          <w:szCs w:val="8"/>
        </w:rPr>
      </w:pPr>
    </w:p>
    <w:p w14:paraId="64CD3ED3" w14:textId="77777777" w:rsidR="00C341A5" w:rsidRPr="00123C7D" w:rsidRDefault="00C341A5" w:rsidP="00C341A5">
      <w:pPr>
        <w:jc w:val="center"/>
        <w:rPr>
          <w:b/>
        </w:rPr>
      </w:pPr>
      <w:r w:rsidRPr="00123C7D">
        <w:rPr>
          <w:b/>
          <w:i/>
        </w:rPr>
        <w:t>Table 22: Assessment of selection criteria for ODS alte</w:t>
      </w:r>
      <w:r w:rsidR="00123C7D">
        <w:rPr>
          <w:b/>
          <w:i/>
        </w:rPr>
        <w:t>rnatives in the PU Integral Skin</w:t>
      </w:r>
      <w:r w:rsidRPr="00123C7D">
        <w:rPr>
          <w:b/>
          <w:i/>
        </w:rPr>
        <w:t xml:space="preserve"> Sector</w:t>
      </w:r>
    </w:p>
    <w:p w14:paraId="30F016EB" w14:textId="77777777" w:rsidR="00123C7D" w:rsidRDefault="00123C7D" w:rsidP="00C341A5"/>
    <w:p w14:paraId="05AC0F4A" w14:textId="77777777" w:rsidR="00C341A5" w:rsidRDefault="00C341A5" w:rsidP="00C341A5">
      <w:pPr>
        <w:jc w:val="both"/>
        <w:rPr>
          <w:lang w:eastAsia="ja-JP"/>
        </w:rPr>
      </w:pPr>
      <w:r>
        <w:rPr>
          <w:lang w:eastAsia="ja-JP"/>
        </w:rPr>
        <w:t xml:space="preserve">The specific ranking of these blowing agent options is shown in Table 23 below. </w:t>
      </w:r>
    </w:p>
    <w:p w14:paraId="34D33C29" w14:textId="77777777" w:rsidR="00C341A5" w:rsidRPr="00C341A5" w:rsidRDefault="00C341A5" w:rsidP="00C341A5">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092"/>
        <w:gridCol w:w="1176"/>
        <w:gridCol w:w="1743"/>
        <w:gridCol w:w="1158"/>
      </w:tblGrid>
      <w:tr w:rsidR="00C341A5" w14:paraId="75CEC3C1" w14:textId="77777777" w:rsidTr="00C341A5">
        <w:trPr>
          <w:jc w:val="center"/>
        </w:trPr>
        <w:tc>
          <w:tcPr>
            <w:tcW w:w="2127" w:type="dxa"/>
            <w:shd w:val="clear" w:color="auto" w:fill="D9D9D9" w:themeFill="background1" w:themeFillShade="D9"/>
          </w:tcPr>
          <w:p w14:paraId="26B7C62A" w14:textId="77777777" w:rsidR="00C341A5" w:rsidRDefault="00C341A5" w:rsidP="001769CA">
            <w:pPr>
              <w:rPr>
                <w:lang w:eastAsia="ja-JP"/>
              </w:rPr>
            </w:pPr>
          </w:p>
        </w:tc>
        <w:tc>
          <w:tcPr>
            <w:tcW w:w="1092" w:type="dxa"/>
            <w:shd w:val="clear" w:color="auto" w:fill="D9D9D9" w:themeFill="background1" w:themeFillShade="D9"/>
            <w:vAlign w:val="center"/>
          </w:tcPr>
          <w:p w14:paraId="733A07DB" w14:textId="77777777" w:rsidR="00C341A5" w:rsidRDefault="00C341A5" w:rsidP="001769CA">
            <w:pPr>
              <w:ind w:hanging="108"/>
              <w:rPr>
                <w:rFonts w:ascii="Calibri" w:hAnsi="Calibri"/>
                <w:b/>
                <w:i/>
                <w:sz w:val="20"/>
                <w:lang w:eastAsia="ja-JP"/>
              </w:rPr>
            </w:pPr>
            <w:r>
              <w:rPr>
                <w:rFonts w:ascii="Calibri" w:hAnsi="Calibri"/>
                <w:b/>
                <w:i/>
                <w:sz w:val="20"/>
                <w:lang w:eastAsia="ja-JP"/>
              </w:rPr>
              <w:t xml:space="preserve">  n-pentane</w:t>
            </w:r>
          </w:p>
        </w:tc>
        <w:tc>
          <w:tcPr>
            <w:tcW w:w="1176" w:type="dxa"/>
            <w:shd w:val="clear" w:color="auto" w:fill="D9D9D9" w:themeFill="background1" w:themeFillShade="D9"/>
            <w:vAlign w:val="center"/>
          </w:tcPr>
          <w:p w14:paraId="144C4B28" w14:textId="77777777" w:rsidR="00C341A5" w:rsidRDefault="00C341A5" w:rsidP="001769CA">
            <w:pPr>
              <w:jc w:val="center"/>
              <w:rPr>
                <w:rFonts w:ascii="Calibri" w:hAnsi="Calibri"/>
                <w:b/>
                <w:i/>
                <w:sz w:val="20"/>
                <w:lang w:eastAsia="ja-JP"/>
              </w:rPr>
            </w:pPr>
            <w:r>
              <w:rPr>
                <w:rFonts w:ascii="Calibri" w:hAnsi="Calibri"/>
                <w:b/>
                <w:i/>
                <w:sz w:val="20"/>
                <w:lang w:eastAsia="ja-JP"/>
              </w:rPr>
              <w:t>HFC-134a</w:t>
            </w:r>
          </w:p>
        </w:tc>
        <w:tc>
          <w:tcPr>
            <w:tcW w:w="1743" w:type="dxa"/>
            <w:shd w:val="clear" w:color="auto" w:fill="D9D9D9" w:themeFill="background1" w:themeFillShade="D9"/>
            <w:vAlign w:val="center"/>
          </w:tcPr>
          <w:p w14:paraId="4DEBF4E7" w14:textId="77777777" w:rsidR="00C341A5" w:rsidRDefault="00C341A5" w:rsidP="001769CA">
            <w:pPr>
              <w:jc w:val="center"/>
              <w:rPr>
                <w:rFonts w:ascii="Calibri" w:hAnsi="Calibri"/>
                <w:b/>
                <w:i/>
                <w:sz w:val="20"/>
                <w:lang w:eastAsia="ja-JP"/>
              </w:rPr>
            </w:pPr>
            <w:r>
              <w:rPr>
                <w:rFonts w:ascii="Calibri" w:hAnsi="Calibri"/>
                <w:b/>
                <w:i/>
                <w:sz w:val="20"/>
                <w:lang w:eastAsia="ja-JP"/>
              </w:rPr>
              <w:t>HFC-245fa</w:t>
            </w:r>
          </w:p>
        </w:tc>
        <w:tc>
          <w:tcPr>
            <w:tcW w:w="1158" w:type="dxa"/>
            <w:shd w:val="clear" w:color="auto" w:fill="D9D9D9" w:themeFill="background1" w:themeFillShade="D9"/>
            <w:vAlign w:val="center"/>
          </w:tcPr>
          <w:p w14:paraId="701F24AC" w14:textId="77777777" w:rsidR="00C341A5" w:rsidRDefault="00C341A5" w:rsidP="001769CA">
            <w:pPr>
              <w:jc w:val="center"/>
              <w:rPr>
                <w:rFonts w:ascii="Calibri" w:hAnsi="Calibri"/>
                <w:b/>
                <w:i/>
                <w:sz w:val="20"/>
                <w:lang w:eastAsia="ja-JP"/>
              </w:rPr>
            </w:pPr>
            <w:r>
              <w:rPr>
                <w:rFonts w:ascii="Calibri" w:hAnsi="Calibri"/>
                <w:b/>
                <w:i/>
                <w:sz w:val="20"/>
                <w:lang w:eastAsia="ja-JP"/>
              </w:rPr>
              <w:t>CO</w:t>
            </w:r>
            <w:r>
              <w:rPr>
                <w:rFonts w:ascii="Calibri" w:hAnsi="Calibri"/>
                <w:b/>
                <w:i/>
                <w:sz w:val="20"/>
                <w:vertAlign w:val="subscript"/>
                <w:lang w:eastAsia="ja-JP"/>
              </w:rPr>
              <w:t>2</w:t>
            </w:r>
            <w:r>
              <w:rPr>
                <w:rFonts w:ascii="Calibri" w:hAnsi="Calibri"/>
                <w:b/>
                <w:i/>
                <w:sz w:val="20"/>
                <w:lang w:eastAsia="ja-JP"/>
              </w:rPr>
              <w:t>(water)</w:t>
            </w:r>
          </w:p>
        </w:tc>
      </w:tr>
      <w:tr w:rsidR="00C341A5" w14:paraId="4C5ECE72" w14:textId="77777777" w:rsidTr="001769CA">
        <w:trPr>
          <w:trHeight w:hRule="exact" w:val="113"/>
          <w:jc w:val="center"/>
        </w:trPr>
        <w:tc>
          <w:tcPr>
            <w:tcW w:w="2127" w:type="dxa"/>
          </w:tcPr>
          <w:p w14:paraId="1838CB43" w14:textId="77777777" w:rsidR="00C341A5" w:rsidRDefault="00C341A5" w:rsidP="001769CA">
            <w:pPr>
              <w:rPr>
                <w:rFonts w:ascii="Calibri" w:hAnsi="Calibri"/>
                <w:sz w:val="20"/>
                <w:lang w:eastAsia="ja-JP"/>
              </w:rPr>
            </w:pPr>
          </w:p>
        </w:tc>
        <w:tc>
          <w:tcPr>
            <w:tcW w:w="1092" w:type="dxa"/>
          </w:tcPr>
          <w:p w14:paraId="55DA7E77" w14:textId="77777777" w:rsidR="00C341A5" w:rsidRDefault="00C341A5" w:rsidP="001769CA">
            <w:pPr>
              <w:rPr>
                <w:rFonts w:ascii="Calibri" w:hAnsi="Calibri"/>
                <w:sz w:val="20"/>
                <w:lang w:eastAsia="ja-JP"/>
              </w:rPr>
            </w:pPr>
          </w:p>
        </w:tc>
        <w:tc>
          <w:tcPr>
            <w:tcW w:w="1176" w:type="dxa"/>
          </w:tcPr>
          <w:p w14:paraId="3A326CC1" w14:textId="77777777" w:rsidR="00C341A5" w:rsidRDefault="00C341A5" w:rsidP="001769CA">
            <w:pPr>
              <w:rPr>
                <w:rFonts w:ascii="Calibri" w:hAnsi="Calibri"/>
                <w:sz w:val="20"/>
                <w:lang w:eastAsia="ja-JP"/>
              </w:rPr>
            </w:pPr>
          </w:p>
        </w:tc>
        <w:tc>
          <w:tcPr>
            <w:tcW w:w="1743" w:type="dxa"/>
          </w:tcPr>
          <w:p w14:paraId="3B82F391" w14:textId="77777777" w:rsidR="00C341A5" w:rsidRDefault="00C341A5" w:rsidP="001769CA">
            <w:pPr>
              <w:rPr>
                <w:rFonts w:ascii="Calibri" w:hAnsi="Calibri"/>
                <w:sz w:val="20"/>
                <w:lang w:eastAsia="ja-JP"/>
              </w:rPr>
            </w:pPr>
          </w:p>
        </w:tc>
        <w:tc>
          <w:tcPr>
            <w:tcW w:w="1158" w:type="dxa"/>
          </w:tcPr>
          <w:p w14:paraId="29C6D825" w14:textId="77777777" w:rsidR="00C341A5" w:rsidRDefault="00C341A5" w:rsidP="001769CA">
            <w:pPr>
              <w:rPr>
                <w:rFonts w:ascii="Calibri" w:hAnsi="Calibri"/>
                <w:sz w:val="20"/>
                <w:lang w:eastAsia="ja-JP"/>
              </w:rPr>
            </w:pPr>
          </w:p>
        </w:tc>
      </w:tr>
      <w:tr w:rsidR="00C341A5" w14:paraId="5C88D5E5" w14:textId="77777777" w:rsidTr="001769CA">
        <w:trPr>
          <w:jc w:val="center"/>
        </w:trPr>
        <w:tc>
          <w:tcPr>
            <w:tcW w:w="2127" w:type="dxa"/>
          </w:tcPr>
          <w:p w14:paraId="6C22BE6F" w14:textId="77777777" w:rsidR="00C341A5" w:rsidRDefault="00C341A5" w:rsidP="001769CA">
            <w:pPr>
              <w:rPr>
                <w:rFonts w:ascii="Calibri" w:hAnsi="Calibri"/>
                <w:sz w:val="20"/>
                <w:lang w:eastAsia="ja-JP"/>
              </w:rPr>
            </w:pPr>
            <w:r>
              <w:rPr>
                <w:rFonts w:ascii="Calibri" w:hAnsi="Calibri"/>
                <w:sz w:val="20"/>
                <w:lang w:eastAsia="ja-JP"/>
              </w:rPr>
              <w:t>Proof of performance</w:t>
            </w:r>
          </w:p>
        </w:tc>
        <w:tc>
          <w:tcPr>
            <w:tcW w:w="1092" w:type="dxa"/>
          </w:tcPr>
          <w:p w14:paraId="0BF08C0F"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2639C5EF"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116B3B4B"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59CE5B13"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371C3D5A" w14:textId="77777777" w:rsidTr="001769CA">
        <w:trPr>
          <w:jc w:val="center"/>
        </w:trPr>
        <w:tc>
          <w:tcPr>
            <w:tcW w:w="2127" w:type="dxa"/>
          </w:tcPr>
          <w:p w14:paraId="0882A4E9" w14:textId="77777777" w:rsidR="00C341A5" w:rsidRDefault="00C341A5" w:rsidP="001769CA">
            <w:pPr>
              <w:rPr>
                <w:rFonts w:ascii="Calibri" w:hAnsi="Calibri"/>
                <w:sz w:val="20"/>
                <w:lang w:eastAsia="ja-JP"/>
              </w:rPr>
            </w:pPr>
            <w:r>
              <w:rPr>
                <w:rFonts w:ascii="Calibri" w:hAnsi="Calibri"/>
                <w:sz w:val="20"/>
                <w:lang w:eastAsia="ja-JP"/>
              </w:rPr>
              <w:t>Flammability</w:t>
            </w:r>
          </w:p>
        </w:tc>
        <w:tc>
          <w:tcPr>
            <w:tcW w:w="1092" w:type="dxa"/>
          </w:tcPr>
          <w:p w14:paraId="16FD35A5"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0AFFBADC"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0FB03B14"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76D727BC"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3DF88D8B" w14:textId="77777777" w:rsidTr="001769CA">
        <w:trPr>
          <w:jc w:val="center"/>
        </w:trPr>
        <w:tc>
          <w:tcPr>
            <w:tcW w:w="2127" w:type="dxa"/>
          </w:tcPr>
          <w:p w14:paraId="516A6875" w14:textId="77777777" w:rsidR="00C341A5" w:rsidRDefault="00C341A5" w:rsidP="001769CA">
            <w:pPr>
              <w:rPr>
                <w:rFonts w:ascii="Calibri" w:hAnsi="Calibri"/>
                <w:sz w:val="20"/>
                <w:lang w:eastAsia="ja-JP"/>
              </w:rPr>
            </w:pPr>
            <w:r>
              <w:rPr>
                <w:rFonts w:ascii="Calibri" w:hAnsi="Calibri"/>
                <w:sz w:val="20"/>
                <w:lang w:eastAsia="ja-JP"/>
              </w:rPr>
              <w:t>Other Health &amp; Safety</w:t>
            </w:r>
          </w:p>
        </w:tc>
        <w:tc>
          <w:tcPr>
            <w:tcW w:w="1092" w:type="dxa"/>
          </w:tcPr>
          <w:p w14:paraId="7A362445" w14:textId="77777777" w:rsidR="00C341A5" w:rsidRDefault="00C341A5" w:rsidP="001769CA">
            <w:pPr>
              <w:jc w:val="center"/>
              <w:rPr>
                <w:rFonts w:ascii="Calibri" w:hAnsi="Calibri"/>
                <w:sz w:val="20"/>
                <w:lang w:eastAsia="ja-JP"/>
              </w:rPr>
            </w:pPr>
            <w:r>
              <w:rPr>
                <w:rFonts w:ascii="Calibri" w:hAnsi="Calibri"/>
                <w:sz w:val="20"/>
                <w:lang w:eastAsia="ja-JP"/>
              </w:rPr>
              <w:t>0</w:t>
            </w:r>
          </w:p>
        </w:tc>
        <w:tc>
          <w:tcPr>
            <w:tcW w:w="1176" w:type="dxa"/>
          </w:tcPr>
          <w:p w14:paraId="0A1A6E1F"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32FF42E6"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05B64EC5"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2469ED3C" w14:textId="77777777" w:rsidTr="001769CA">
        <w:trPr>
          <w:jc w:val="center"/>
        </w:trPr>
        <w:tc>
          <w:tcPr>
            <w:tcW w:w="2127" w:type="dxa"/>
          </w:tcPr>
          <w:p w14:paraId="035AED42" w14:textId="77777777" w:rsidR="00C341A5" w:rsidRDefault="00C341A5" w:rsidP="001769CA">
            <w:pPr>
              <w:rPr>
                <w:rFonts w:ascii="Calibri" w:hAnsi="Calibri"/>
                <w:sz w:val="20"/>
                <w:lang w:eastAsia="ja-JP"/>
              </w:rPr>
            </w:pPr>
            <w:r>
              <w:rPr>
                <w:rFonts w:ascii="Calibri" w:hAnsi="Calibri"/>
                <w:sz w:val="20"/>
                <w:lang w:eastAsia="ja-JP"/>
              </w:rPr>
              <w:t>Global Warming</w:t>
            </w:r>
          </w:p>
        </w:tc>
        <w:tc>
          <w:tcPr>
            <w:tcW w:w="1092" w:type="dxa"/>
          </w:tcPr>
          <w:p w14:paraId="524CB5B2"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63E35AC2"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241DB04D"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22013C10"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52801CD8" w14:textId="77777777" w:rsidTr="001769CA">
        <w:trPr>
          <w:jc w:val="center"/>
        </w:trPr>
        <w:tc>
          <w:tcPr>
            <w:tcW w:w="2127" w:type="dxa"/>
          </w:tcPr>
          <w:p w14:paraId="0EBECBD9" w14:textId="77777777" w:rsidR="00C341A5" w:rsidRDefault="00C341A5" w:rsidP="001769CA">
            <w:pPr>
              <w:rPr>
                <w:rFonts w:ascii="Calibri" w:hAnsi="Calibri"/>
                <w:sz w:val="20"/>
                <w:lang w:eastAsia="ja-JP"/>
              </w:rPr>
            </w:pPr>
            <w:r>
              <w:rPr>
                <w:rFonts w:ascii="Calibri" w:hAnsi="Calibri"/>
                <w:sz w:val="20"/>
                <w:lang w:eastAsia="ja-JP"/>
              </w:rPr>
              <w:t>Other Environmental</w:t>
            </w:r>
          </w:p>
        </w:tc>
        <w:tc>
          <w:tcPr>
            <w:tcW w:w="1092" w:type="dxa"/>
          </w:tcPr>
          <w:p w14:paraId="489F0E63"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18F7BB8B" w14:textId="77777777" w:rsidR="00C341A5" w:rsidRDefault="00C341A5" w:rsidP="001769CA">
            <w:pPr>
              <w:jc w:val="center"/>
              <w:rPr>
                <w:rFonts w:ascii="Calibri" w:hAnsi="Calibri"/>
                <w:sz w:val="20"/>
                <w:lang w:eastAsia="ja-JP"/>
              </w:rPr>
            </w:pPr>
            <w:r>
              <w:rPr>
                <w:rFonts w:ascii="Calibri" w:hAnsi="Calibri"/>
                <w:sz w:val="20"/>
                <w:lang w:eastAsia="ja-JP"/>
              </w:rPr>
              <w:t>0</w:t>
            </w:r>
          </w:p>
        </w:tc>
        <w:tc>
          <w:tcPr>
            <w:tcW w:w="1743" w:type="dxa"/>
          </w:tcPr>
          <w:p w14:paraId="72E27339" w14:textId="77777777" w:rsidR="00C341A5" w:rsidRDefault="00C341A5" w:rsidP="001769CA">
            <w:pPr>
              <w:jc w:val="center"/>
              <w:rPr>
                <w:rFonts w:ascii="Calibri" w:hAnsi="Calibri"/>
                <w:sz w:val="20"/>
                <w:lang w:eastAsia="ja-JP"/>
              </w:rPr>
            </w:pPr>
            <w:r>
              <w:rPr>
                <w:rFonts w:ascii="Calibri" w:hAnsi="Calibri"/>
                <w:sz w:val="20"/>
                <w:lang w:eastAsia="ja-JP"/>
              </w:rPr>
              <w:t>0</w:t>
            </w:r>
          </w:p>
        </w:tc>
        <w:tc>
          <w:tcPr>
            <w:tcW w:w="1158" w:type="dxa"/>
          </w:tcPr>
          <w:p w14:paraId="746B4698"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3AF279EE" w14:textId="77777777" w:rsidTr="001769CA">
        <w:trPr>
          <w:jc w:val="center"/>
        </w:trPr>
        <w:tc>
          <w:tcPr>
            <w:tcW w:w="2127" w:type="dxa"/>
          </w:tcPr>
          <w:p w14:paraId="17DF6C67" w14:textId="77777777" w:rsidR="00C341A5" w:rsidRDefault="00C341A5" w:rsidP="001769CA">
            <w:pPr>
              <w:rPr>
                <w:rFonts w:ascii="Calibri" w:hAnsi="Calibri"/>
                <w:sz w:val="20"/>
                <w:lang w:eastAsia="ja-JP"/>
              </w:rPr>
            </w:pPr>
            <w:r>
              <w:rPr>
                <w:rFonts w:ascii="Calibri" w:hAnsi="Calibri"/>
                <w:sz w:val="20"/>
                <w:lang w:eastAsia="ja-JP"/>
              </w:rPr>
              <w:t>Cost Effectiveness (C)</w:t>
            </w:r>
          </w:p>
        </w:tc>
        <w:tc>
          <w:tcPr>
            <w:tcW w:w="1092" w:type="dxa"/>
          </w:tcPr>
          <w:p w14:paraId="714E6E67"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68EE4E17"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1936BF1F"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644EB7EA"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4E2C3002" w14:textId="77777777" w:rsidTr="001769CA">
        <w:trPr>
          <w:jc w:val="center"/>
        </w:trPr>
        <w:tc>
          <w:tcPr>
            <w:tcW w:w="2127" w:type="dxa"/>
          </w:tcPr>
          <w:p w14:paraId="033C64D9" w14:textId="77777777" w:rsidR="00C341A5" w:rsidRDefault="00C341A5" w:rsidP="001769CA">
            <w:pPr>
              <w:rPr>
                <w:rFonts w:ascii="Calibri" w:hAnsi="Calibri"/>
                <w:sz w:val="20"/>
                <w:lang w:eastAsia="ja-JP"/>
              </w:rPr>
            </w:pPr>
            <w:r>
              <w:rPr>
                <w:rFonts w:ascii="Calibri" w:hAnsi="Calibri"/>
                <w:sz w:val="20"/>
                <w:lang w:eastAsia="ja-JP"/>
              </w:rPr>
              <w:t>Cost Effectiveness (O)</w:t>
            </w:r>
          </w:p>
        </w:tc>
        <w:tc>
          <w:tcPr>
            <w:tcW w:w="1092" w:type="dxa"/>
          </w:tcPr>
          <w:p w14:paraId="3EF593F3"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6E39B72E"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373551C1"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138E1E46" w14:textId="77777777" w:rsidR="00C341A5" w:rsidRDefault="00C341A5" w:rsidP="001769CA">
            <w:pPr>
              <w:jc w:val="center"/>
              <w:rPr>
                <w:rFonts w:ascii="Calibri" w:hAnsi="Calibri"/>
                <w:sz w:val="20"/>
                <w:lang w:eastAsia="ja-JP"/>
              </w:rPr>
            </w:pPr>
            <w:r>
              <w:rPr>
                <w:rFonts w:ascii="Calibri" w:hAnsi="Calibri"/>
                <w:sz w:val="20"/>
                <w:lang w:eastAsia="ja-JP"/>
              </w:rPr>
              <w:t>+</w:t>
            </w:r>
          </w:p>
        </w:tc>
      </w:tr>
      <w:tr w:rsidR="00C341A5" w14:paraId="776D38B8" w14:textId="77777777" w:rsidTr="001769CA">
        <w:trPr>
          <w:jc w:val="center"/>
        </w:trPr>
        <w:tc>
          <w:tcPr>
            <w:tcW w:w="2127" w:type="dxa"/>
          </w:tcPr>
          <w:p w14:paraId="103A88A2" w14:textId="77777777" w:rsidR="00C341A5" w:rsidRDefault="00C341A5" w:rsidP="001769CA">
            <w:pPr>
              <w:rPr>
                <w:rFonts w:ascii="Calibri" w:hAnsi="Calibri"/>
                <w:sz w:val="20"/>
                <w:lang w:eastAsia="ja-JP"/>
              </w:rPr>
            </w:pPr>
            <w:r>
              <w:rPr>
                <w:rFonts w:ascii="Calibri" w:hAnsi="Calibri"/>
                <w:sz w:val="20"/>
                <w:lang w:eastAsia="ja-JP"/>
              </w:rPr>
              <w:t>Process Versatility</w:t>
            </w:r>
          </w:p>
        </w:tc>
        <w:tc>
          <w:tcPr>
            <w:tcW w:w="1092" w:type="dxa"/>
          </w:tcPr>
          <w:p w14:paraId="30986267"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76" w:type="dxa"/>
          </w:tcPr>
          <w:p w14:paraId="6103E20E"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743" w:type="dxa"/>
          </w:tcPr>
          <w:p w14:paraId="6D042EB7" w14:textId="77777777" w:rsidR="00C341A5" w:rsidRDefault="00C341A5" w:rsidP="001769CA">
            <w:pPr>
              <w:jc w:val="center"/>
              <w:rPr>
                <w:rFonts w:ascii="Calibri" w:hAnsi="Calibri"/>
                <w:sz w:val="20"/>
                <w:lang w:eastAsia="ja-JP"/>
              </w:rPr>
            </w:pPr>
            <w:r>
              <w:rPr>
                <w:rFonts w:ascii="Calibri" w:hAnsi="Calibri"/>
                <w:sz w:val="20"/>
                <w:lang w:eastAsia="ja-JP"/>
              </w:rPr>
              <w:t>++</w:t>
            </w:r>
          </w:p>
        </w:tc>
        <w:tc>
          <w:tcPr>
            <w:tcW w:w="1158" w:type="dxa"/>
          </w:tcPr>
          <w:p w14:paraId="54811771" w14:textId="77777777" w:rsidR="00C341A5" w:rsidRDefault="00C341A5" w:rsidP="001769CA">
            <w:pPr>
              <w:jc w:val="center"/>
              <w:rPr>
                <w:rFonts w:ascii="Calibri" w:hAnsi="Calibri"/>
                <w:sz w:val="20"/>
                <w:lang w:eastAsia="ja-JP"/>
              </w:rPr>
            </w:pPr>
            <w:r>
              <w:rPr>
                <w:rFonts w:ascii="Calibri" w:hAnsi="Calibri"/>
                <w:sz w:val="20"/>
                <w:lang w:eastAsia="ja-JP"/>
              </w:rPr>
              <w:t>0</w:t>
            </w:r>
          </w:p>
        </w:tc>
      </w:tr>
    </w:tbl>
    <w:p w14:paraId="3425CF8C" w14:textId="77777777" w:rsidR="00C341A5" w:rsidRPr="00C341A5" w:rsidRDefault="00C341A5" w:rsidP="00C341A5">
      <w:pPr>
        <w:spacing w:line="259" w:lineRule="auto"/>
        <w:jc w:val="center"/>
        <w:rPr>
          <w:i/>
          <w:sz w:val="8"/>
          <w:szCs w:val="8"/>
        </w:rPr>
      </w:pPr>
    </w:p>
    <w:p w14:paraId="29980C7F" w14:textId="77777777" w:rsidR="00C341A5" w:rsidRPr="00123C7D" w:rsidRDefault="00C341A5" w:rsidP="00C341A5">
      <w:pPr>
        <w:spacing w:line="259" w:lineRule="auto"/>
        <w:jc w:val="center"/>
        <w:rPr>
          <w:b/>
          <w:i/>
        </w:rPr>
      </w:pPr>
      <w:r w:rsidRPr="00123C7D">
        <w:rPr>
          <w:b/>
          <w:i/>
        </w:rPr>
        <w:t>Table 23: Indicative assessment of criteria for emerging a</w:t>
      </w:r>
      <w:r w:rsidR="00123C7D" w:rsidRPr="00123C7D">
        <w:rPr>
          <w:b/>
          <w:i/>
        </w:rPr>
        <w:t>lternatives in the PU Integral Skin</w:t>
      </w:r>
      <w:r w:rsidRPr="00123C7D">
        <w:rPr>
          <w:b/>
          <w:i/>
        </w:rPr>
        <w:t xml:space="preserve"> Sector</w:t>
      </w:r>
    </w:p>
    <w:p w14:paraId="4924276C" w14:textId="77777777" w:rsidR="00123C7D" w:rsidRPr="00123C7D" w:rsidRDefault="00123C7D" w:rsidP="00123C7D"/>
    <w:p w14:paraId="0B09386C" w14:textId="77777777" w:rsidR="00452A97" w:rsidRDefault="00452A97" w:rsidP="00452A97">
      <w:pPr>
        <w:pStyle w:val="Heading4"/>
      </w:pPr>
      <w:r>
        <w:t>Emerging Alternatives</w:t>
      </w:r>
    </w:p>
    <w:p w14:paraId="7BC64712" w14:textId="77777777" w:rsidR="00452A97" w:rsidRPr="00726F05" w:rsidRDefault="00452A97" w:rsidP="00452A97">
      <w:pPr>
        <w:pStyle w:val="Heading4"/>
        <w:rPr>
          <w:sz w:val="8"/>
          <w:szCs w:val="8"/>
        </w:rPr>
      </w:pPr>
    </w:p>
    <w:p w14:paraId="00A17474" w14:textId="77777777" w:rsidR="00123C7D" w:rsidRDefault="00452A97" w:rsidP="00123C7D">
      <w:pPr>
        <w:jc w:val="both"/>
        <w:rPr>
          <w:lang w:eastAsia="ja-JP"/>
        </w:rPr>
      </w:pPr>
      <w:r>
        <w:rPr>
          <w:lang w:eastAsia="ja-JP"/>
        </w:rPr>
        <w:t xml:space="preserve">The area of most interest with respect to emerging technologies is the potential use of oxygenated hydrocarbons (HCOs). Both methyl </w:t>
      </w:r>
      <w:proofErr w:type="spellStart"/>
      <w:r>
        <w:rPr>
          <w:lang w:eastAsia="ja-JP"/>
        </w:rPr>
        <w:t>formate</w:t>
      </w:r>
      <w:proofErr w:type="spellEnd"/>
      <w:r>
        <w:rPr>
          <w:lang w:eastAsia="ja-JP"/>
        </w:rPr>
        <w:t xml:space="preserve"> and </w:t>
      </w:r>
      <w:proofErr w:type="spellStart"/>
      <w:r>
        <w:rPr>
          <w:lang w:eastAsia="ja-JP"/>
        </w:rPr>
        <w:t>methylal</w:t>
      </w:r>
      <w:proofErr w:type="spellEnd"/>
      <w:r>
        <w:rPr>
          <w:lang w:eastAsia="ja-JP"/>
        </w:rPr>
        <w:t xml:space="preserve"> are being considered for these applications and the early indications are that they could be significant future alternatives in the sector. Although both flammable, there is the potential that systems houses may be able to formulate blended systems in such a way as to avoid flammability issues in the workplace.  One area of concern for methyl </w:t>
      </w:r>
      <w:proofErr w:type="spellStart"/>
      <w:r>
        <w:rPr>
          <w:lang w:eastAsia="ja-JP"/>
        </w:rPr>
        <w:t>formate</w:t>
      </w:r>
      <w:proofErr w:type="spellEnd"/>
      <w:r>
        <w:rPr>
          <w:lang w:eastAsia="ja-JP"/>
        </w:rPr>
        <w:t xml:space="preserve"> is the potential corrosion of moulds, but at the levels of addition and </w:t>
      </w:r>
      <w:r w:rsidRPr="00123C7D">
        <w:rPr>
          <w:lang w:eastAsia="ja-JP"/>
        </w:rPr>
        <w:t>being a fairly emissive application,</w:t>
      </w:r>
      <w:r>
        <w:rPr>
          <w:lang w:eastAsia="ja-JP"/>
        </w:rPr>
        <w:t xml:space="preserve"> this may not be a problem in practice. The other issue relating to both HCOs the high solvency power of the blowing agents which could lead to some softe</w:t>
      </w:r>
      <w:r w:rsidR="00123C7D">
        <w:rPr>
          <w:lang w:eastAsia="ja-JP"/>
        </w:rPr>
        <w:t>ning of the skins. T</w:t>
      </w:r>
      <w:r>
        <w:rPr>
          <w:lang w:eastAsia="ja-JP"/>
        </w:rPr>
        <w:t>able</w:t>
      </w:r>
      <w:r w:rsidR="00123C7D">
        <w:rPr>
          <w:lang w:eastAsia="ja-JP"/>
        </w:rPr>
        <w:t xml:space="preserve"> 24 summarises the issues. </w:t>
      </w:r>
    </w:p>
    <w:p w14:paraId="4CFD43CE" w14:textId="77777777" w:rsidR="00123C7D" w:rsidRDefault="00123C7D" w:rsidP="00123C7D">
      <w:pPr>
        <w:jc w:val="both"/>
        <w:rPr>
          <w:lang w:eastAsia="ja-JP"/>
        </w:rPr>
      </w:pPr>
    </w:p>
    <w:p w14:paraId="2B1F227C" w14:textId="77777777" w:rsidR="00123C7D" w:rsidRDefault="00123C7D" w:rsidP="00123C7D">
      <w:pPr>
        <w:jc w:val="both"/>
        <w:rPr>
          <w:lang w:eastAsia="ja-JP"/>
        </w:rPr>
      </w:pPr>
      <w:r>
        <w:rPr>
          <w:lang w:eastAsia="ja-JP"/>
        </w:rPr>
        <w:t xml:space="preserve">It is noteworthy to mention that unsaturated HFCs/HCFCs are not seen as a realistic emerging technology in this sector because of the cost implications and the lack of any significant performance enhancement. </w:t>
      </w:r>
    </w:p>
    <w:p w14:paraId="647ABC85" w14:textId="77777777" w:rsidR="00123C7D" w:rsidRPr="00123C7D" w:rsidRDefault="00123C7D" w:rsidP="00452A97">
      <w:pPr>
        <w:rPr>
          <w:sz w:val="16"/>
          <w:szCs w:val="16"/>
          <w:lang w:eastAsia="ja-JP"/>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1979"/>
        <w:gridCol w:w="2671"/>
      </w:tblGrid>
      <w:tr w:rsidR="00452A97" w14:paraId="1D869E26" w14:textId="77777777" w:rsidTr="00123C7D">
        <w:trPr>
          <w:cantSplit/>
        </w:trPr>
        <w:tc>
          <w:tcPr>
            <w:tcW w:w="9214" w:type="dxa"/>
            <w:gridSpan w:val="4"/>
            <w:shd w:val="clear" w:color="auto" w:fill="FFFFFF"/>
            <w:vAlign w:val="center"/>
          </w:tcPr>
          <w:p w14:paraId="539F3379" w14:textId="77777777" w:rsidR="00452A97" w:rsidRDefault="00452A97" w:rsidP="001769CA">
            <w:pPr>
              <w:tabs>
                <w:tab w:val="left" w:pos="3544"/>
              </w:tabs>
              <w:spacing w:line="240" w:lineRule="atLeast"/>
              <w:ind w:right="-108"/>
              <w:jc w:val="center"/>
              <w:rPr>
                <w:b/>
                <w:i/>
                <w:lang w:eastAsia="es-ES"/>
              </w:rPr>
            </w:pPr>
            <w:r>
              <w:rPr>
                <w:b/>
                <w:i/>
                <w:lang w:eastAsia="es-ES"/>
              </w:rPr>
              <w:t>HCFC REPLACEMENT OPTIONS FOR INTEGRAL SKIN PU FOAMS FOR TRANSPORT &amp; FURNITURE APPLICATIONS</w:t>
            </w:r>
          </w:p>
        </w:tc>
      </w:tr>
      <w:tr w:rsidR="00452A97" w14:paraId="676640B6" w14:textId="77777777" w:rsidTr="00123C7D">
        <w:trPr>
          <w:cantSplit/>
        </w:trPr>
        <w:tc>
          <w:tcPr>
            <w:tcW w:w="2585" w:type="dxa"/>
            <w:shd w:val="clear" w:color="auto" w:fill="FFFFFF"/>
            <w:vAlign w:val="center"/>
          </w:tcPr>
          <w:p w14:paraId="506DCE94" w14:textId="77777777" w:rsidR="00452A97" w:rsidRDefault="00452A97" w:rsidP="001769CA">
            <w:pPr>
              <w:tabs>
                <w:tab w:val="left" w:pos="3544"/>
              </w:tabs>
              <w:spacing w:before="120" w:after="120"/>
              <w:ind w:right="-75"/>
              <w:jc w:val="center"/>
              <w:rPr>
                <w:b/>
                <w:sz w:val="18"/>
              </w:rPr>
            </w:pPr>
            <w:r>
              <w:rPr>
                <w:b/>
                <w:sz w:val="18"/>
              </w:rPr>
              <w:t>SECTOR/OPTION</w:t>
            </w:r>
          </w:p>
        </w:tc>
        <w:tc>
          <w:tcPr>
            <w:tcW w:w="1979" w:type="dxa"/>
            <w:shd w:val="clear" w:color="auto" w:fill="FFFFFF"/>
            <w:vAlign w:val="center"/>
          </w:tcPr>
          <w:p w14:paraId="1F9AD524" w14:textId="77777777" w:rsidR="00452A97" w:rsidRDefault="00452A97" w:rsidP="001769CA">
            <w:pPr>
              <w:keepNext/>
              <w:widowControl w:val="0"/>
              <w:tabs>
                <w:tab w:val="left" w:pos="1080"/>
                <w:tab w:val="left" w:pos="3544"/>
              </w:tabs>
              <w:spacing w:before="120" w:after="120"/>
              <w:jc w:val="center"/>
              <w:outlineLvl w:val="3"/>
              <w:rPr>
                <w:b/>
                <w:i/>
                <w:sz w:val="18"/>
              </w:rPr>
            </w:pPr>
            <w:r>
              <w:rPr>
                <w:b/>
                <w:i/>
                <w:sz w:val="18"/>
              </w:rPr>
              <w:t>PROS</w:t>
            </w:r>
          </w:p>
        </w:tc>
        <w:tc>
          <w:tcPr>
            <w:tcW w:w="1979" w:type="dxa"/>
            <w:shd w:val="clear" w:color="auto" w:fill="FFFFFF"/>
            <w:vAlign w:val="center"/>
          </w:tcPr>
          <w:p w14:paraId="11EF8399" w14:textId="77777777" w:rsidR="00452A97" w:rsidRDefault="00452A97" w:rsidP="001769CA">
            <w:pPr>
              <w:keepNext/>
              <w:widowControl w:val="0"/>
              <w:tabs>
                <w:tab w:val="left" w:pos="1080"/>
                <w:tab w:val="left" w:pos="3544"/>
              </w:tabs>
              <w:spacing w:before="120" w:after="120"/>
              <w:jc w:val="center"/>
              <w:outlineLvl w:val="3"/>
              <w:rPr>
                <w:b/>
                <w:i/>
                <w:sz w:val="18"/>
              </w:rPr>
            </w:pPr>
            <w:r>
              <w:rPr>
                <w:b/>
                <w:i/>
                <w:sz w:val="18"/>
              </w:rPr>
              <w:t>CONS</w:t>
            </w:r>
          </w:p>
        </w:tc>
        <w:tc>
          <w:tcPr>
            <w:tcW w:w="2671" w:type="dxa"/>
            <w:shd w:val="clear" w:color="auto" w:fill="FFFFFF"/>
            <w:vAlign w:val="center"/>
          </w:tcPr>
          <w:p w14:paraId="2C983CEE" w14:textId="77777777" w:rsidR="00452A97" w:rsidRDefault="00452A97" w:rsidP="001769CA">
            <w:pPr>
              <w:keepNext/>
              <w:widowControl w:val="0"/>
              <w:tabs>
                <w:tab w:val="left" w:pos="1080"/>
                <w:tab w:val="left" w:pos="3544"/>
              </w:tabs>
              <w:spacing w:before="120" w:after="120"/>
              <w:jc w:val="center"/>
              <w:outlineLvl w:val="3"/>
              <w:rPr>
                <w:b/>
                <w:i/>
                <w:sz w:val="18"/>
              </w:rPr>
            </w:pPr>
            <w:r>
              <w:rPr>
                <w:b/>
                <w:i/>
                <w:sz w:val="18"/>
              </w:rPr>
              <w:t>COMMENTS</w:t>
            </w:r>
          </w:p>
        </w:tc>
      </w:tr>
      <w:tr w:rsidR="00452A97" w14:paraId="5FAF6912" w14:textId="77777777" w:rsidTr="00123C7D">
        <w:trPr>
          <w:cantSplit/>
        </w:trPr>
        <w:tc>
          <w:tcPr>
            <w:tcW w:w="9214" w:type="dxa"/>
            <w:gridSpan w:val="4"/>
            <w:shd w:val="clear" w:color="auto" w:fill="C0C0C0"/>
            <w:vAlign w:val="center"/>
          </w:tcPr>
          <w:p w14:paraId="58CD868B" w14:textId="77777777" w:rsidR="00452A97" w:rsidRDefault="00452A97" w:rsidP="001769CA">
            <w:pPr>
              <w:rPr>
                <w:b/>
                <w:i/>
              </w:rPr>
            </w:pPr>
            <w:r>
              <w:rPr>
                <w:b/>
                <w:i/>
              </w:rPr>
              <w:t>Integral skin foams</w:t>
            </w:r>
          </w:p>
        </w:tc>
      </w:tr>
      <w:tr w:rsidR="00452A97" w14:paraId="66E006B7" w14:textId="77777777" w:rsidTr="00123C7D">
        <w:trPr>
          <w:cantSplit/>
        </w:trPr>
        <w:tc>
          <w:tcPr>
            <w:tcW w:w="2585" w:type="dxa"/>
            <w:vMerge w:val="restart"/>
            <w:vAlign w:val="center"/>
          </w:tcPr>
          <w:p w14:paraId="675ECAED" w14:textId="77777777" w:rsidR="00452A97" w:rsidRDefault="00452A97" w:rsidP="001769CA">
            <w:pPr>
              <w:tabs>
                <w:tab w:val="left" w:pos="3544"/>
              </w:tabs>
              <w:rPr>
                <w:sz w:val="18"/>
              </w:rPr>
            </w:pPr>
            <w:r>
              <w:rPr>
                <w:sz w:val="18"/>
              </w:rPr>
              <w:t xml:space="preserve">Methyl </w:t>
            </w:r>
            <w:proofErr w:type="spellStart"/>
            <w:r>
              <w:rPr>
                <w:sz w:val="18"/>
              </w:rPr>
              <w:t>formate</w:t>
            </w:r>
            <w:proofErr w:type="spellEnd"/>
          </w:p>
        </w:tc>
        <w:tc>
          <w:tcPr>
            <w:tcW w:w="1979" w:type="dxa"/>
            <w:vAlign w:val="center"/>
          </w:tcPr>
          <w:p w14:paraId="3A9BDBD0" w14:textId="77777777" w:rsidR="00452A97" w:rsidRDefault="00452A97" w:rsidP="001769CA">
            <w:pPr>
              <w:keepNext/>
              <w:widowControl w:val="0"/>
              <w:tabs>
                <w:tab w:val="left" w:pos="1080"/>
                <w:tab w:val="left" w:pos="3544"/>
              </w:tabs>
              <w:outlineLvl w:val="3"/>
              <w:rPr>
                <w:i/>
                <w:sz w:val="18"/>
              </w:rPr>
            </w:pPr>
            <w:r>
              <w:rPr>
                <w:i/>
                <w:sz w:val="18"/>
              </w:rPr>
              <w:t>Low GWP</w:t>
            </w:r>
          </w:p>
        </w:tc>
        <w:tc>
          <w:tcPr>
            <w:tcW w:w="1979" w:type="dxa"/>
            <w:vAlign w:val="center"/>
          </w:tcPr>
          <w:p w14:paraId="084C7BC1" w14:textId="77777777" w:rsidR="00452A97" w:rsidRDefault="00452A97" w:rsidP="001769CA">
            <w:pPr>
              <w:keepNext/>
              <w:widowControl w:val="0"/>
              <w:tabs>
                <w:tab w:val="left" w:pos="1080"/>
                <w:tab w:val="left" w:pos="3544"/>
              </w:tabs>
              <w:ind w:right="-86"/>
              <w:outlineLvl w:val="3"/>
              <w:rPr>
                <w:i/>
                <w:sz w:val="18"/>
              </w:rPr>
            </w:pPr>
            <w:r>
              <w:rPr>
                <w:i/>
                <w:sz w:val="18"/>
              </w:rPr>
              <w:t xml:space="preserve">Flammable although blends with </w:t>
            </w:r>
            <w:proofErr w:type="spellStart"/>
            <w:r>
              <w:rPr>
                <w:i/>
                <w:sz w:val="18"/>
              </w:rPr>
              <w:t>polyols</w:t>
            </w:r>
            <w:proofErr w:type="spellEnd"/>
            <w:r>
              <w:rPr>
                <w:i/>
                <w:sz w:val="18"/>
              </w:rPr>
              <w:t xml:space="preserve"> may not be flammable</w:t>
            </w:r>
          </w:p>
        </w:tc>
        <w:tc>
          <w:tcPr>
            <w:tcW w:w="2671" w:type="dxa"/>
            <w:vAlign w:val="center"/>
          </w:tcPr>
          <w:p w14:paraId="79344FA3" w14:textId="77777777" w:rsidR="00452A97" w:rsidRDefault="00452A97" w:rsidP="001769CA">
            <w:pPr>
              <w:keepNext/>
              <w:widowControl w:val="0"/>
              <w:tabs>
                <w:tab w:val="left" w:pos="1080"/>
                <w:tab w:val="left" w:pos="3544"/>
              </w:tabs>
              <w:ind w:right="-108"/>
              <w:outlineLvl w:val="3"/>
              <w:rPr>
                <w:i/>
                <w:sz w:val="18"/>
              </w:rPr>
            </w:pPr>
            <w:r>
              <w:rPr>
                <w:i/>
                <w:sz w:val="18"/>
              </w:rPr>
              <w:t xml:space="preserve">Moderate conversion costs </w:t>
            </w:r>
          </w:p>
        </w:tc>
      </w:tr>
      <w:tr w:rsidR="00452A97" w14:paraId="655EE727" w14:textId="77777777" w:rsidTr="00123C7D">
        <w:trPr>
          <w:cantSplit/>
          <w:trHeight w:val="490"/>
        </w:trPr>
        <w:tc>
          <w:tcPr>
            <w:tcW w:w="2585" w:type="dxa"/>
            <w:vMerge/>
            <w:vAlign w:val="center"/>
          </w:tcPr>
          <w:p w14:paraId="3B6E86E7" w14:textId="77777777" w:rsidR="00452A97" w:rsidRDefault="00452A97" w:rsidP="001769CA">
            <w:pPr>
              <w:tabs>
                <w:tab w:val="left" w:pos="720"/>
                <w:tab w:val="left" w:pos="1440"/>
                <w:tab w:val="left" w:pos="3544"/>
                <w:tab w:val="left" w:pos="5760"/>
              </w:tabs>
              <w:ind w:right="-75"/>
              <w:jc w:val="both"/>
              <w:rPr>
                <w:sz w:val="18"/>
              </w:rPr>
            </w:pPr>
          </w:p>
        </w:tc>
        <w:tc>
          <w:tcPr>
            <w:tcW w:w="1979" w:type="dxa"/>
            <w:vAlign w:val="center"/>
          </w:tcPr>
          <w:p w14:paraId="1A3A1F64" w14:textId="77777777" w:rsidR="00452A97" w:rsidRDefault="00452A97" w:rsidP="001769CA">
            <w:pPr>
              <w:keepNext/>
              <w:widowControl w:val="0"/>
              <w:tabs>
                <w:tab w:val="left" w:pos="1080"/>
                <w:tab w:val="left" w:pos="3544"/>
              </w:tabs>
              <w:outlineLvl w:val="3"/>
              <w:rPr>
                <w:i/>
                <w:sz w:val="18"/>
              </w:rPr>
            </w:pPr>
            <w:r>
              <w:rPr>
                <w:i/>
                <w:sz w:val="18"/>
              </w:rPr>
              <w:t xml:space="preserve">Good skin quality </w:t>
            </w:r>
          </w:p>
        </w:tc>
        <w:tc>
          <w:tcPr>
            <w:tcW w:w="1979" w:type="dxa"/>
            <w:vAlign w:val="center"/>
          </w:tcPr>
          <w:p w14:paraId="42D30024" w14:textId="77777777" w:rsidR="00452A97" w:rsidRDefault="00452A97" w:rsidP="001769CA">
            <w:pPr>
              <w:keepNext/>
              <w:widowControl w:val="0"/>
              <w:tabs>
                <w:tab w:val="left" w:pos="1080"/>
                <w:tab w:val="left" w:pos="3544"/>
              </w:tabs>
              <w:outlineLvl w:val="3"/>
              <w:rPr>
                <w:i/>
                <w:sz w:val="18"/>
              </w:rPr>
            </w:pPr>
            <w:r>
              <w:rPr>
                <w:i/>
                <w:sz w:val="18"/>
              </w:rPr>
              <w:t>Moderate operating costs</w:t>
            </w:r>
          </w:p>
        </w:tc>
        <w:tc>
          <w:tcPr>
            <w:tcW w:w="2671" w:type="dxa"/>
            <w:vAlign w:val="center"/>
          </w:tcPr>
          <w:p w14:paraId="33B9437D" w14:textId="77777777" w:rsidR="00452A97" w:rsidRDefault="00452A97" w:rsidP="001769CA">
            <w:pPr>
              <w:keepNext/>
              <w:widowControl w:val="0"/>
              <w:tabs>
                <w:tab w:val="left" w:pos="1080"/>
                <w:tab w:val="left" w:pos="3544"/>
              </w:tabs>
              <w:ind w:right="-108"/>
              <w:outlineLvl w:val="3"/>
              <w:rPr>
                <w:i/>
                <w:sz w:val="18"/>
              </w:rPr>
            </w:pPr>
            <w:r>
              <w:rPr>
                <w:i/>
                <w:sz w:val="18"/>
              </w:rPr>
              <w:t xml:space="preserve">Newly proven in application </w:t>
            </w:r>
          </w:p>
        </w:tc>
      </w:tr>
      <w:tr w:rsidR="00452A97" w14:paraId="0411E69F" w14:textId="77777777" w:rsidTr="00123C7D">
        <w:trPr>
          <w:cantSplit/>
        </w:trPr>
        <w:tc>
          <w:tcPr>
            <w:tcW w:w="2585" w:type="dxa"/>
            <w:vMerge w:val="restart"/>
            <w:vAlign w:val="center"/>
          </w:tcPr>
          <w:p w14:paraId="04D6ADB8" w14:textId="77777777" w:rsidR="00452A97" w:rsidRDefault="00452A97" w:rsidP="001769CA">
            <w:pPr>
              <w:tabs>
                <w:tab w:val="left" w:pos="720"/>
                <w:tab w:val="left" w:pos="1440"/>
                <w:tab w:val="left" w:pos="3544"/>
                <w:tab w:val="left" w:pos="5760"/>
              </w:tabs>
              <w:ind w:right="-75"/>
              <w:jc w:val="both"/>
              <w:rPr>
                <w:sz w:val="18"/>
              </w:rPr>
            </w:pPr>
            <w:proofErr w:type="spellStart"/>
            <w:r>
              <w:rPr>
                <w:sz w:val="18"/>
              </w:rPr>
              <w:t>Methylal</w:t>
            </w:r>
            <w:proofErr w:type="spellEnd"/>
          </w:p>
        </w:tc>
        <w:tc>
          <w:tcPr>
            <w:tcW w:w="1979" w:type="dxa"/>
            <w:vAlign w:val="center"/>
          </w:tcPr>
          <w:p w14:paraId="3AD32A8F" w14:textId="77777777" w:rsidR="00452A97" w:rsidRDefault="00452A97" w:rsidP="001769CA">
            <w:pPr>
              <w:keepNext/>
              <w:widowControl w:val="0"/>
              <w:tabs>
                <w:tab w:val="left" w:pos="1080"/>
                <w:tab w:val="left" w:pos="3544"/>
              </w:tabs>
              <w:jc w:val="both"/>
              <w:outlineLvl w:val="3"/>
              <w:rPr>
                <w:i/>
                <w:sz w:val="18"/>
              </w:rPr>
            </w:pPr>
            <w:r>
              <w:rPr>
                <w:i/>
                <w:sz w:val="18"/>
              </w:rPr>
              <w:t>Low GWP</w:t>
            </w:r>
          </w:p>
        </w:tc>
        <w:tc>
          <w:tcPr>
            <w:tcW w:w="1979" w:type="dxa"/>
            <w:vAlign w:val="center"/>
          </w:tcPr>
          <w:p w14:paraId="52148B10" w14:textId="77777777" w:rsidR="00452A97" w:rsidRDefault="00452A97" w:rsidP="001769CA">
            <w:pPr>
              <w:keepNext/>
              <w:widowControl w:val="0"/>
              <w:tabs>
                <w:tab w:val="left" w:pos="1080"/>
                <w:tab w:val="left" w:pos="3544"/>
              </w:tabs>
              <w:ind w:right="-86"/>
              <w:outlineLvl w:val="3"/>
              <w:rPr>
                <w:i/>
                <w:sz w:val="18"/>
              </w:rPr>
            </w:pPr>
            <w:r>
              <w:rPr>
                <w:i/>
                <w:sz w:val="18"/>
              </w:rPr>
              <w:t xml:space="preserve">Flammable although blends with </w:t>
            </w:r>
            <w:proofErr w:type="spellStart"/>
            <w:r>
              <w:rPr>
                <w:i/>
                <w:sz w:val="18"/>
              </w:rPr>
              <w:t>polyols</w:t>
            </w:r>
            <w:proofErr w:type="spellEnd"/>
            <w:r>
              <w:rPr>
                <w:i/>
                <w:sz w:val="18"/>
              </w:rPr>
              <w:t xml:space="preserve"> may not be flammable</w:t>
            </w:r>
          </w:p>
        </w:tc>
        <w:tc>
          <w:tcPr>
            <w:tcW w:w="2671" w:type="dxa"/>
            <w:vAlign w:val="center"/>
          </w:tcPr>
          <w:p w14:paraId="7927B9DA" w14:textId="77777777" w:rsidR="00452A97" w:rsidRDefault="00452A97" w:rsidP="001769CA">
            <w:pPr>
              <w:keepNext/>
              <w:widowControl w:val="0"/>
              <w:tabs>
                <w:tab w:val="left" w:pos="1080"/>
                <w:tab w:val="left" w:pos="3544"/>
              </w:tabs>
              <w:ind w:right="-108"/>
              <w:outlineLvl w:val="3"/>
              <w:rPr>
                <w:i/>
                <w:sz w:val="18"/>
              </w:rPr>
            </w:pPr>
            <w:r>
              <w:rPr>
                <w:i/>
                <w:sz w:val="18"/>
              </w:rPr>
              <w:t>High conversion costs, may be uneconomic for SMEs</w:t>
            </w:r>
          </w:p>
        </w:tc>
      </w:tr>
      <w:tr w:rsidR="00452A97" w14:paraId="3470FB68" w14:textId="77777777" w:rsidTr="00123C7D">
        <w:trPr>
          <w:cantSplit/>
          <w:trHeight w:val="370"/>
        </w:trPr>
        <w:tc>
          <w:tcPr>
            <w:tcW w:w="2585" w:type="dxa"/>
            <w:vMerge/>
            <w:tcBorders>
              <w:bottom w:val="single" w:sz="4" w:space="0" w:color="auto"/>
            </w:tcBorders>
            <w:vAlign w:val="center"/>
          </w:tcPr>
          <w:p w14:paraId="3DC91025" w14:textId="77777777" w:rsidR="00452A97" w:rsidRDefault="00452A97" w:rsidP="001769CA">
            <w:pPr>
              <w:tabs>
                <w:tab w:val="left" w:pos="720"/>
                <w:tab w:val="left" w:pos="1440"/>
                <w:tab w:val="left" w:pos="3544"/>
                <w:tab w:val="left" w:pos="5760"/>
              </w:tabs>
              <w:ind w:right="-75"/>
              <w:jc w:val="both"/>
              <w:rPr>
                <w:sz w:val="18"/>
              </w:rPr>
            </w:pPr>
          </w:p>
        </w:tc>
        <w:tc>
          <w:tcPr>
            <w:tcW w:w="1979" w:type="dxa"/>
            <w:tcBorders>
              <w:bottom w:val="single" w:sz="4" w:space="0" w:color="auto"/>
            </w:tcBorders>
            <w:vAlign w:val="center"/>
          </w:tcPr>
          <w:p w14:paraId="657D1FA0" w14:textId="77777777" w:rsidR="00452A97" w:rsidRDefault="00452A97" w:rsidP="001769CA">
            <w:pPr>
              <w:keepNext/>
              <w:widowControl w:val="0"/>
              <w:tabs>
                <w:tab w:val="left" w:pos="1080"/>
                <w:tab w:val="left" w:pos="3544"/>
              </w:tabs>
              <w:jc w:val="both"/>
              <w:outlineLvl w:val="3"/>
              <w:rPr>
                <w:i/>
                <w:sz w:val="18"/>
              </w:rPr>
            </w:pPr>
            <w:r>
              <w:rPr>
                <w:i/>
                <w:sz w:val="18"/>
              </w:rPr>
              <w:t xml:space="preserve">Good skin quality </w:t>
            </w:r>
          </w:p>
        </w:tc>
        <w:tc>
          <w:tcPr>
            <w:tcW w:w="1979" w:type="dxa"/>
            <w:tcBorders>
              <w:bottom w:val="single" w:sz="4" w:space="0" w:color="auto"/>
            </w:tcBorders>
            <w:vAlign w:val="center"/>
          </w:tcPr>
          <w:p w14:paraId="0C332235" w14:textId="77777777" w:rsidR="00452A97" w:rsidRDefault="00452A97" w:rsidP="001769CA">
            <w:pPr>
              <w:keepNext/>
              <w:widowControl w:val="0"/>
              <w:tabs>
                <w:tab w:val="left" w:pos="1080"/>
                <w:tab w:val="left" w:pos="3544"/>
              </w:tabs>
              <w:ind w:right="-86"/>
              <w:outlineLvl w:val="3"/>
              <w:rPr>
                <w:i/>
                <w:sz w:val="18"/>
              </w:rPr>
            </w:pPr>
            <w:r>
              <w:rPr>
                <w:i/>
                <w:sz w:val="18"/>
              </w:rPr>
              <w:t>Moderate operating costs</w:t>
            </w:r>
          </w:p>
        </w:tc>
        <w:tc>
          <w:tcPr>
            <w:tcW w:w="2671" w:type="dxa"/>
            <w:tcBorders>
              <w:bottom w:val="single" w:sz="4" w:space="0" w:color="auto"/>
            </w:tcBorders>
            <w:vAlign w:val="center"/>
          </w:tcPr>
          <w:p w14:paraId="20B40001" w14:textId="77777777" w:rsidR="00452A97" w:rsidRDefault="00452A97" w:rsidP="001769CA">
            <w:pPr>
              <w:keepNext/>
              <w:widowControl w:val="0"/>
              <w:tabs>
                <w:tab w:val="left" w:pos="1080"/>
                <w:tab w:val="left" w:pos="3544"/>
              </w:tabs>
              <w:ind w:right="-108"/>
              <w:outlineLvl w:val="3"/>
              <w:rPr>
                <w:i/>
                <w:sz w:val="18"/>
              </w:rPr>
            </w:pPr>
            <w:r>
              <w:rPr>
                <w:i/>
                <w:sz w:val="18"/>
              </w:rPr>
              <w:t>Newly proven in application</w:t>
            </w:r>
          </w:p>
        </w:tc>
      </w:tr>
      <w:tr w:rsidR="00452A97" w14:paraId="08E5A0B4" w14:textId="77777777" w:rsidTr="00123C7D">
        <w:trPr>
          <w:cantSplit/>
        </w:trPr>
        <w:tc>
          <w:tcPr>
            <w:tcW w:w="9214" w:type="dxa"/>
            <w:gridSpan w:val="4"/>
            <w:shd w:val="clear" w:color="auto" w:fill="C0C0C0"/>
            <w:vAlign w:val="center"/>
          </w:tcPr>
          <w:p w14:paraId="6D69A4D6" w14:textId="77777777" w:rsidR="00452A97" w:rsidRDefault="00452A97" w:rsidP="001769CA">
            <w:pPr>
              <w:rPr>
                <w:b/>
                <w:i/>
              </w:rPr>
            </w:pPr>
            <w:r>
              <w:rPr>
                <w:b/>
                <w:i/>
              </w:rPr>
              <w:lastRenderedPageBreak/>
              <w:t>Shoe-soles</w:t>
            </w:r>
          </w:p>
        </w:tc>
      </w:tr>
      <w:tr w:rsidR="00452A97" w14:paraId="36FAD9F6" w14:textId="77777777" w:rsidTr="00123C7D">
        <w:trPr>
          <w:cantSplit/>
        </w:trPr>
        <w:tc>
          <w:tcPr>
            <w:tcW w:w="2585" w:type="dxa"/>
            <w:vMerge w:val="restart"/>
            <w:vAlign w:val="center"/>
          </w:tcPr>
          <w:p w14:paraId="6C52CFB6" w14:textId="77777777" w:rsidR="00452A97" w:rsidRDefault="00452A97" w:rsidP="001769CA">
            <w:pPr>
              <w:tabs>
                <w:tab w:val="left" w:pos="3544"/>
              </w:tabs>
              <w:rPr>
                <w:sz w:val="18"/>
              </w:rPr>
            </w:pPr>
            <w:r>
              <w:rPr>
                <w:sz w:val="18"/>
              </w:rPr>
              <w:t xml:space="preserve">Methyl </w:t>
            </w:r>
            <w:proofErr w:type="spellStart"/>
            <w:r>
              <w:rPr>
                <w:sz w:val="18"/>
              </w:rPr>
              <w:t>formate</w:t>
            </w:r>
            <w:proofErr w:type="spellEnd"/>
          </w:p>
        </w:tc>
        <w:tc>
          <w:tcPr>
            <w:tcW w:w="1979" w:type="dxa"/>
            <w:vAlign w:val="center"/>
          </w:tcPr>
          <w:p w14:paraId="3FF76D68" w14:textId="77777777" w:rsidR="00452A97" w:rsidRDefault="00452A97" w:rsidP="001769CA">
            <w:pPr>
              <w:keepNext/>
              <w:widowControl w:val="0"/>
              <w:tabs>
                <w:tab w:val="left" w:pos="1080"/>
                <w:tab w:val="left" w:pos="3544"/>
              </w:tabs>
              <w:outlineLvl w:val="3"/>
              <w:rPr>
                <w:i/>
                <w:sz w:val="18"/>
              </w:rPr>
            </w:pPr>
            <w:r>
              <w:rPr>
                <w:i/>
                <w:sz w:val="18"/>
              </w:rPr>
              <w:t>Low GWP</w:t>
            </w:r>
          </w:p>
        </w:tc>
        <w:tc>
          <w:tcPr>
            <w:tcW w:w="1979" w:type="dxa"/>
            <w:vAlign w:val="center"/>
          </w:tcPr>
          <w:p w14:paraId="122D0507" w14:textId="77777777" w:rsidR="00452A97" w:rsidRDefault="00452A97" w:rsidP="001769CA">
            <w:pPr>
              <w:keepNext/>
              <w:widowControl w:val="0"/>
              <w:tabs>
                <w:tab w:val="left" w:pos="1080"/>
                <w:tab w:val="left" w:pos="3544"/>
              </w:tabs>
              <w:ind w:right="-86"/>
              <w:outlineLvl w:val="3"/>
              <w:rPr>
                <w:i/>
                <w:sz w:val="18"/>
              </w:rPr>
            </w:pPr>
            <w:r>
              <w:rPr>
                <w:i/>
                <w:sz w:val="18"/>
              </w:rPr>
              <w:t xml:space="preserve">Flammable although blends with </w:t>
            </w:r>
            <w:proofErr w:type="spellStart"/>
            <w:r>
              <w:rPr>
                <w:i/>
                <w:sz w:val="18"/>
              </w:rPr>
              <w:t>polyols</w:t>
            </w:r>
            <w:proofErr w:type="spellEnd"/>
            <w:r>
              <w:rPr>
                <w:i/>
                <w:sz w:val="18"/>
              </w:rPr>
              <w:t xml:space="preserve"> may not be flammable</w:t>
            </w:r>
          </w:p>
        </w:tc>
        <w:tc>
          <w:tcPr>
            <w:tcW w:w="2671" w:type="dxa"/>
            <w:vAlign w:val="center"/>
          </w:tcPr>
          <w:p w14:paraId="642693A4" w14:textId="77777777" w:rsidR="00452A97" w:rsidRDefault="00452A97" w:rsidP="001769CA">
            <w:pPr>
              <w:keepNext/>
              <w:widowControl w:val="0"/>
              <w:tabs>
                <w:tab w:val="left" w:pos="1080"/>
                <w:tab w:val="left" w:pos="3544"/>
              </w:tabs>
              <w:ind w:right="-108"/>
              <w:outlineLvl w:val="3"/>
              <w:rPr>
                <w:i/>
                <w:sz w:val="18"/>
              </w:rPr>
            </w:pPr>
            <w:r>
              <w:rPr>
                <w:i/>
                <w:sz w:val="18"/>
              </w:rPr>
              <w:t xml:space="preserve">Moderate conversion costs </w:t>
            </w:r>
          </w:p>
        </w:tc>
      </w:tr>
      <w:tr w:rsidR="00452A97" w14:paraId="70DA8736" w14:textId="77777777" w:rsidTr="00123C7D">
        <w:trPr>
          <w:cantSplit/>
          <w:trHeight w:val="290"/>
        </w:trPr>
        <w:tc>
          <w:tcPr>
            <w:tcW w:w="2585" w:type="dxa"/>
            <w:vMerge/>
            <w:tcBorders>
              <w:bottom w:val="nil"/>
            </w:tcBorders>
            <w:vAlign w:val="center"/>
          </w:tcPr>
          <w:p w14:paraId="508894F9" w14:textId="77777777" w:rsidR="00452A97" w:rsidRDefault="00452A97" w:rsidP="001769CA">
            <w:pPr>
              <w:tabs>
                <w:tab w:val="left" w:pos="720"/>
                <w:tab w:val="left" w:pos="1440"/>
                <w:tab w:val="left" w:pos="3544"/>
                <w:tab w:val="left" w:pos="5760"/>
              </w:tabs>
              <w:ind w:right="-75"/>
              <w:jc w:val="both"/>
              <w:rPr>
                <w:sz w:val="18"/>
              </w:rPr>
            </w:pPr>
          </w:p>
        </w:tc>
        <w:tc>
          <w:tcPr>
            <w:tcW w:w="1979" w:type="dxa"/>
            <w:tcBorders>
              <w:bottom w:val="nil"/>
            </w:tcBorders>
            <w:vAlign w:val="center"/>
          </w:tcPr>
          <w:p w14:paraId="22C7EFCC" w14:textId="77777777" w:rsidR="00452A97" w:rsidRDefault="00452A97" w:rsidP="001769CA">
            <w:pPr>
              <w:keepNext/>
              <w:widowControl w:val="0"/>
              <w:tabs>
                <w:tab w:val="left" w:pos="1080"/>
                <w:tab w:val="left" w:pos="3544"/>
              </w:tabs>
              <w:jc w:val="both"/>
              <w:outlineLvl w:val="3"/>
              <w:rPr>
                <w:i/>
                <w:sz w:val="18"/>
              </w:rPr>
            </w:pPr>
            <w:r>
              <w:rPr>
                <w:i/>
                <w:sz w:val="18"/>
              </w:rPr>
              <w:t xml:space="preserve">Good skin quality </w:t>
            </w:r>
          </w:p>
        </w:tc>
        <w:tc>
          <w:tcPr>
            <w:tcW w:w="1979" w:type="dxa"/>
            <w:tcBorders>
              <w:bottom w:val="nil"/>
            </w:tcBorders>
            <w:vAlign w:val="center"/>
          </w:tcPr>
          <w:p w14:paraId="6B4728B1" w14:textId="77777777" w:rsidR="00452A97" w:rsidRDefault="00452A97" w:rsidP="001769CA">
            <w:pPr>
              <w:keepNext/>
              <w:widowControl w:val="0"/>
              <w:tabs>
                <w:tab w:val="left" w:pos="1080"/>
                <w:tab w:val="left" w:pos="3544"/>
              </w:tabs>
              <w:outlineLvl w:val="3"/>
              <w:rPr>
                <w:i/>
                <w:sz w:val="18"/>
              </w:rPr>
            </w:pPr>
            <w:r>
              <w:rPr>
                <w:i/>
                <w:sz w:val="18"/>
              </w:rPr>
              <w:t>Moderate operating costs</w:t>
            </w:r>
          </w:p>
        </w:tc>
        <w:tc>
          <w:tcPr>
            <w:tcW w:w="2671" w:type="dxa"/>
            <w:tcBorders>
              <w:bottom w:val="nil"/>
            </w:tcBorders>
            <w:vAlign w:val="center"/>
          </w:tcPr>
          <w:p w14:paraId="23F1085C" w14:textId="77777777" w:rsidR="00452A97" w:rsidRDefault="00452A97" w:rsidP="001769CA">
            <w:pPr>
              <w:keepNext/>
              <w:widowControl w:val="0"/>
              <w:tabs>
                <w:tab w:val="left" w:pos="1080"/>
                <w:tab w:val="left" w:pos="3544"/>
              </w:tabs>
              <w:ind w:right="-108"/>
              <w:outlineLvl w:val="3"/>
              <w:rPr>
                <w:i/>
                <w:sz w:val="18"/>
              </w:rPr>
            </w:pPr>
            <w:r>
              <w:rPr>
                <w:i/>
                <w:sz w:val="18"/>
              </w:rPr>
              <w:t xml:space="preserve">Newly proven in application </w:t>
            </w:r>
          </w:p>
        </w:tc>
      </w:tr>
      <w:tr w:rsidR="00452A97" w14:paraId="3AEBF916" w14:textId="77777777" w:rsidTr="00123C7D">
        <w:trPr>
          <w:cantSplit/>
        </w:trPr>
        <w:tc>
          <w:tcPr>
            <w:tcW w:w="2585" w:type="dxa"/>
            <w:vMerge w:val="restart"/>
            <w:vAlign w:val="center"/>
          </w:tcPr>
          <w:p w14:paraId="0A822200" w14:textId="77777777" w:rsidR="00452A97" w:rsidRDefault="00452A97" w:rsidP="001769CA">
            <w:pPr>
              <w:tabs>
                <w:tab w:val="left" w:pos="720"/>
                <w:tab w:val="left" w:pos="1440"/>
                <w:tab w:val="left" w:pos="3544"/>
                <w:tab w:val="left" w:pos="5760"/>
              </w:tabs>
              <w:ind w:right="-75"/>
              <w:jc w:val="both"/>
              <w:rPr>
                <w:sz w:val="18"/>
              </w:rPr>
            </w:pPr>
            <w:proofErr w:type="spellStart"/>
            <w:r>
              <w:rPr>
                <w:sz w:val="18"/>
              </w:rPr>
              <w:t>Methylal</w:t>
            </w:r>
            <w:proofErr w:type="spellEnd"/>
          </w:p>
        </w:tc>
        <w:tc>
          <w:tcPr>
            <w:tcW w:w="1979" w:type="dxa"/>
            <w:vAlign w:val="center"/>
          </w:tcPr>
          <w:p w14:paraId="3D5F0562" w14:textId="77777777" w:rsidR="00452A97" w:rsidRDefault="00452A97" w:rsidP="001769CA">
            <w:pPr>
              <w:keepNext/>
              <w:widowControl w:val="0"/>
              <w:tabs>
                <w:tab w:val="left" w:pos="1080"/>
                <w:tab w:val="left" w:pos="3544"/>
              </w:tabs>
              <w:jc w:val="both"/>
              <w:outlineLvl w:val="3"/>
              <w:rPr>
                <w:i/>
                <w:sz w:val="18"/>
              </w:rPr>
            </w:pPr>
            <w:r>
              <w:rPr>
                <w:i/>
                <w:sz w:val="18"/>
              </w:rPr>
              <w:t>Low GWP</w:t>
            </w:r>
          </w:p>
        </w:tc>
        <w:tc>
          <w:tcPr>
            <w:tcW w:w="1979" w:type="dxa"/>
            <w:vAlign w:val="center"/>
          </w:tcPr>
          <w:p w14:paraId="015E60F7" w14:textId="77777777" w:rsidR="00452A97" w:rsidRDefault="00452A97" w:rsidP="001769CA">
            <w:pPr>
              <w:keepNext/>
              <w:widowControl w:val="0"/>
              <w:tabs>
                <w:tab w:val="left" w:pos="1080"/>
                <w:tab w:val="left" w:pos="3544"/>
              </w:tabs>
              <w:ind w:right="-86"/>
              <w:outlineLvl w:val="3"/>
              <w:rPr>
                <w:i/>
                <w:sz w:val="18"/>
              </w:rPr>
            </w:pPr>
            <w:r>
              <w:rPr>
                <w:i/>
                <w:sz w:val="18"/>
              </w:rPr>
              <w:t xml:space="preserve">Flammable although blends with </w:t>
            </w:r>
            <w:proofErr w:type="spellStart"/>
            <w:r>
              <w:rPr>
                <w:i/>
                <w:sz w:val="18"/>
              </w:rPr>
              <w:t>polyols</w:t>
            </w:r>
            <w:proofErr w:type="spellEnd"/>
            <w:r>
              <w:rPr>
                <w:i/>
                <w:sz w:val="18"/>
              </w:rPr>
              <w:t xml:space="preserve"> may not be flammable</w:t>
            </w:r>
          </w:p>
        </w:tc>
        <w:tc>
          <w:tcPr>
            <w:tcW w:w="2671" w:type="dxa"/>
            <w:vAlign w:val="center"/>
          </w:tcPr>
          <w:p w14:paraId="1CBA8779" w14:textId="77777777" w:rsidR="00452A97" w:rsidRDefault="00452A97" w:rsidP="001769CA">
            <w:pPr>
              <w:keepNext/>
              <w:widowControl w:val="0"/>
              <w:tabs>
                <w:tab w:val="left" w:pos="1080"/>
                <w:tab w:val="left" w:pos="3544"/>
              </w:tabs>
              <w:ind w:right="-108"/>
              <w:outlineLvl w:val="3"/>
              <w:rPr>
                <w:i/>
                <w:sz w:val="18"/>
              </w:rPr>
            </w:pPr>
            <w:r>
              <w:rPr>
                <w:i/>
                <w:sz w:val="18"/>
              </w:rPr>
              <w:t>High conversion costs, may be uneconomic for SMEs</w:t>
            </w:r>
          </w:p>
        </w:tc>
      </w:tr>
      <w:tr w:rsidR="00452A97" w14:paraId="2381873B" w14:textId="77777777" w:rsidTr="00123C7D">
        <w:trPr>
          <w:cantSplit/>
          <w:trHeight w:val="435"/>
        </w:trPr>
        <w:tc>
          <w:tcPr>
            <w:tcW w:w="2585" w:type="dxa"/>
            <w:vMerge/>
            <w:tcBorders>
              <w:bottom w:val="single" w:sz="4" w:space="0" w:color="auto"/>
            </w:tcBorders>
            <w:vAlign w:val="center"/>
          </w:tcPr>
          <w:p w14:paraId="09BF94F4" w14:textId="77777777" w:rsidR="00452A97" w:rsidRDefault="00452A97" w:rsidP="001769CA">
            <w:pPr>
              <w:tabs>
                <w:tab w:val="left" w:pos="720"/>
                <w:tab w:val="left" w:pos="1440"/>
                <w:tab w:val="left" w:pos="3544"/>
                <w:tab w:val="left" w:pos="5760"/>
              </w:tabs>
              <w:ind w:right="-75"/>
              <w:jc w:val="both"/>
              <w:rPr>
                <w:sz w:val="18"/>
              </w:rPr>
            </w:pPr>
          </w:p>
        </w:tc>
        <w:tc>
          <w:tcPr>
            <w:tcW w:w="1979" w:type="dxa"/>
            <w:tcBorders>
              <w:bottom w:val="single" w:sz="4" w:space="0" w:color="auto"/>
            </w:tcBorders>
            <w:vAlign w:val="center"/>
          </w:tcPr>
          <w:p w14:paraId="15C2093E" w14:textId="77777777" w:rsidR="00452A97" w:rsidRDefault="00452A97" w:rsidP="001769CA">
            <w:pPr>
              <w:keepNext/>
              <w:widowControl w:val="0"/>
              <w:tabs>
                <w:tab w:val="left" w:pos="1080"/>
                <w:tab w:val="left" w:pos="3544"/>
              </w:tabs>
              <w:jc w:val="both"/>
              <w:outlineLvl w:val="3"/>
              <w:rPr>
                <w:i/>
                <w:sz w:val="18"/>
              </w:rPr>
            </w:pPr>
            <w:r>
              <w:rPr>
                <w:i/>
                <w:sz w:val="18"/>
              </w:rPr>
              <w:t>Good skin quality</w:t>
            </w:r>
          </w:p>
        </w:tc>
        <w:tc>
          <w:tcPr>
            <w:tcW w:w="1979" w:type="dxa"/>
            <w:tcBorders>
              <w:bottom w:val="single" w:sz="4" w:space="0" w:color="auto"/>
            </w:tcBorders>
            <w:vAlign w:val="center"/>
          </w:tcPr>
          <w:p w14:paraId="4FE956A1" w14:textId="77777777" w:rsidR="00452A97" w:rsidRDefault="00452A97" w:rsidP="001769CA">
            <w:pPr>
              <w:keepNext/>
              <w:widowControl w:val="0"/>
              <w:tabs>
                <w:tab w:val="left" w:pos="1080"/>
                <w:tab w:val="left" w:pos="3544"/>
              </w:tabs>
              <w:outlineLvl w:val="3"/>
              <w:rPr>
                <w:i/>
                <w:sz w:val="18"/>
              </w:rPr>
            </w:pPr>
            <w:r>
              <w:rPr>
                <w:i/>
                <w:sz w:val="18"/>
              </w:rPr>
              <w:t>Moderate operating costs</w:t>
            </w:r>
          </w:p>
        </w:tc>
        <w:tc>
          <w:tcPr>
            <w:tcW w:w="2671" w:type="dxa"/>
            <w:tcBorders>
              <w:bottom w:val="single" w:sz="4" w:space="0" w:color="auto"/>
            </w:tcBorders>
            <w:vAlign w:val="center"/>
          </w:tcPr>
          <w:p w14:paraId="45AD46CA" w14:textId="77777777" w:rsidR="00452A97" w:rsidRDefault="00452A97" w:rsidP="001769CA">
            <w:pPr>
              <w:keepNext/>
              <w:widowControl w:val="0"/>
              <w:tabs>
                <w:tab w:val="left" w:pos="1080"/>
                <w:tab w:val="left" w:pos="3544"/>
              </w:tabs>
              <w:ind w:right="-108"/>
              <w:outlineLvl w:val="3"/>
              <w:rPr>
                <w:i/>
                <w:sz w:val="18"/>
              </w:rPr>
            </w:pPr>
            <w:r>
              <w:rPr>
                <w:i/>
                <w:sz w:val="18"/>
              </w:rPr>
              <w:t>Newly proven in application</w:t>
            </w:r>
          </w:p>
        </w:tc>
      </w:tr>
    </w:tbl>
    <w:p w14:paraId="3B2D9FBA" w14:textId="77777777" w:rsidR="00123C7D" w:rsidRPr="00123C7D" w:rsidRDefault="00123C7D" w:rsidP="00123C7D">
      <w:pPr>
        <w:jc w:val="center"/>
        <w:rPr>
          <w:b/>
          <w:i/>
          <w:sz w:val="8"/>
          <w:szCs w:val="8"/>
        </w:rPr>
      </w:pPr>
    </w:p>
    <w:p w14:paraId="60556C5F" w14:textId="77777777" w:rsidR="00123C7D" w:rsidRPr="00123C7D" w:rsidRDefault="00123C7D" w:rsidP="00123C7D">
      <w:pPr>
        <w:jc w:val="center"/>
        <w:rPr>
          <w:b/>
          <w:lang w:eastAsia="ja-JP"/>
        </w:rPr>
      </w:pPr>
      <w:r w:rsidRPr="00123C7D">
        <w:rPr>
          <w:b/>
          <w:i/>
        </w:rPr>
        <w:t>T</w:t>
      </w:r>
      <w:r>
        <w:rPr>
          <w:b/>
          <w:i/>
        </w:rPr>
        <w:t>able 24</w:t>
      </w:r>
      <w:r w:rsidRPr="00123C7D">
        <w:rPr>
          <w:b/>
          <w:i/>
        </w:rPr>
        <w:t>: Emerging alternatives to ODS in the</w:t>
      </w:r>
      <w:r>
        <w:rPr>
          <w:b/>
          <w:i/>
        </w:rPr>
        <w:t xml:space="preserve"> PU Integral Skin</w:t>
      </w:r>
      <w:r w:rsidRPr="00123C7D">
        <w:rPr>
          <w:b/>
          <w:i/>
        </w:rPr>
        <w:t xml:space="preserve"> Sector</w:t>
      </w:r>
    </w:p>
    <w:p w14:paraId="482B757E" w14:textId="77777777" w:rsidR="00123C7D" w:rsidRDefault="00123C7D" w:rsidP="00452A97">
      <w:pPr>
        <w:jc w:val="both"/>
        <w:rPr>
          <w:lang w:eastAsia="ja-JP"/>
        </w:rPr>
      </w:pPr>
    </w:p>
    <w:p w14:paraId="46473BB7" w14:textId="77777777" w:rsidR="00452A97" w:rsidRDefault="00452A97" w:rsidP="00452A97">
      <w:pPr>
        <w:jc w:val="both"/>
        <w:rPr>
          <w:lang w:eastAsia="ja-JP"/>
        </w:rPr>
      </w:pPr>
      <w:r>
        <w:rPr>
          <w:lang w:eastAsia="ja-JP"/>
        </w:rPr>
        <w:t xml:space="preserve">Again, the specific performance ranking of the blowing agents is shown in the table below: </w:t>
      </w:r>
    </w:p>
    <w:p w14:paraId="35CAA643" w14:textId="77777777" w:rsidR="00452A97" w:rsidRDefault="00452A97" w:rsidP="00452A97">
      <w:pPr>
        <w:jc w:val="both"/>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76"/>
        <w:gridCol w:w="1660"/>
      </w:tblGrid>
      <w:tr w:rsidR="00452A97" w14:paraId="68BD3B79" w14:textId="77777777" w:rsidTr="001769CA">
        <w:trPr>
          <w:jc w:val="center"/>
        </w:trPr>
        <w:tc>
          <w:tcPr>
            <w:tcW w:w="2127" w:type="dxa"/>
          </w:tcPr>
          <w:p w14:paraId="3A591675" w14:textId="77777777" w:rsidR="00452A97" w:rsidRDefault="00452A97" w:rsidP="001769CA">
            <w:pPr>
              <w:rPr>
                <w:lang w:eastAsia="ja-JP"/>
              </w:rPr>
            </w:pPr>
          </w:p>
        </w:tc>
        <w:tc>
          <w:tcPr>
            <w:tcW w:w="1176" w:type="dxa"/>
            <w:vAlign w:val="center"/>
          </w:tcPr>
          <w:p w14:paraId="06BF503D" w14:textId="77777777" w:rsidR="00452A97" w:rsidRDefault="00452A97" w:rsidP="001769CA">
            <w:pPr>
              <w:jc w:val="center"/>
              <w:rPr>
                <w:rFonts w:ascii="Calibri" w:hAnsi="Calibri"/>
                <w:b/>
                <w:i/>
                <w:sz w:val="20"/>
                <w:lang w:eastAsia="ja-JP"/>
              </w:rPr>
            </w:pPr>
            <w:proofErr w:type="spellStart"/>
            <w:r>
              <w:rPr>
                <w:rFonts w:ascii="Calibri" w:hAnsi="Calibri"/>
                <w:b/>
                <w:i/>
                <w:sz w:val="20"/>
                <w:lang w:eastAsia="ja-JP"/>
              </w:rPr>
              <w:t>Methylal</w:t>
            </w:r>
            <w:proofErr w:type="spellEnd"/>
          </w:p>
        </w:tc>
        <w:tc>
          <w:tcPr>
            <w:tcW w:w="1660" w:type="dxa"/>
            <w:vAlign w:val="center"/>
          </w:tcPr>
          <w:p w14:paraId="7475DD71" w14:textId="77777777" w:rsidR="00452A97" w:rsidRDefault="00452A97" w:rsidP="001769CA">
            <w:pPr>
              <w:jc w:val="center"/>
              <w:rPr>
                <w:rFonts w:ascii="Calibri" w:hAnsi="Calibri"/>
                <w:b/>
                <w:i/>
                <w:sz w:val="20"/>
                <w:lang w:eastAsia="ja-JP"/>
              </w:rPr>
            </w:pPr>
            <w:r>
              <w:rPr>
                <w:rFonts w:ascii="Calibri" w:hAnsi="Calibri"/>
                <w:b/>
                <w:i/>
                <w:sz w:val="20"/>
                <w:lang w:eastAsia="ja-JP"/>
              </w:rPr>
              <w:t xml:space="preserve">Methyl </w:t>
            </w:r>
            <w:proofErr w:type="spellStart"/>
            <w:r>
              <w:rPr>
                <w:rFonts w:ascii="Calibri" w:hAnsi="Calibri"/>
                <w:b/>
                <w:i/>
                <w:sz w:val="20"/>
                <w:lang w:eastAsia="ja-JP"/>
              </w:rPr>
              <w:t>Formate</w:t>
            </w:r>
            <w:proofErr w:type="spellEnd"/>
          </w:p>
        </w:tc>
      </w:tr>
      <w:tr w:rsidR="00452A97" w14:paraId="28AE300A" w14:textId="77777777" w:rsidTr="001769CA">
        <w:trPr>
          <w:trHeight w:hRule="exact" w:val="113"/>
          <w:jc w:val="center"/>
        </w:trPr>
        <w:tc>
          <w:tcPr>
            <w:tcW w:w="2127" w:type="dxa"/>
          </w:tcPr>
          <w:p w14:paraId="3E9F81E0" w14:textId="77777777" w:rsidR="00452A97" w:rsidRDefault="00452A97" w:rsidP="001769CA">
            <w:pPr>
              <w:rPr>
                <w:rFonts w:ascii="Calibri" w:hAnsi="Calibri"/>
                <w:sz w:val="20"/>
                <w:lang w:eastAsia="ja-JP"/>
              </w:rPr>
            </w:pPr>
          </w:p>
        </w:tc>
        <w:tc>
          <w:tcPr>
            <w:tcW w:w="1176" w:type="dxa"/>
          </w:tcPr>
          <w:p w14:paraId="08463DF4" w14:textId="77777777" w:rsidR="00452A97" w:rsidRDefault="00452A97" w:rsidP="001769CA">
            <w:pPr>
              <w:rPr>
                <w:rFonts w:ascii="Calibri" w:hAnsi="Calibri"/>
                <w:sz w:val="20"/>
                <w:lang w:eastAsia="ja-JP"/>
              </w:rPr>
            </w:pPr>
          </w:p>
        </w:tc>
        <w:tc>
          <w:tcPr>
            <w:tcW w:w="1660" w:type="dxa"/>
          </w:tcPr>
          <w:p w14:paraId="09C36960" w14:textId="77777777" w:rsidR="00452A97" w:rsidRDefault="00452A97" w:rsidP="001769CA">
            <w:pPr>
              <w:rPr>
                <w:rFonts w:ascii="Calibri" w:hAnsi="Calibri"/>
                <w:sz w:val="20"/>
                <w:lang w:eastAsia="ja-JP"/>
              </w:rPr>
            </w:pPr>
          </w:p>
        </w:tc>
      </w:tr>
      <w:tr w:rsidR="00452A97" w14:paraId="0FD4F076" w14:textId="77777777" w:rsidTr="001769CA">
        <w:trPr>
          <w:jc w:val="center"/>
        </w:trPr>
        <w:tc>
          <w:tcPr>
            <w:tcW w:w="2127" w:type="dxa"/>
          </w:tcPr>
          <w:p w14:paraId="3D75B0E5" w14:textId="77777777" w:rsidR="00452A97" w:rsidRDefault="00452A97" w:rsidP="001769CA">
            <w:pPr>
              <w:rPr>
                <w:rFonts w:ascii="Calibri" w:hAnsi="Calibri"/>
                <w:sz w:val="20"/>
                <w:lang w:eastAsia="ja-JP"/>
              </w:rPr>
            </w:pPr>
            <w:r>
              <w:rPr>
                <w:rFonts w:ascii="Calibri" w:hAnsi="Calibri"/>
                <w:sz w:val="20"/>
                <w:lang w:eastAsia="ja-JP"/>
              </w:rPr>
              <w:t>Proof of performance</w:t>
            </w:r>
          </w:p>
        </w:tc>
        <w:tc>
          <w:tcPr>
            <w:tcW w:w="1176" w:type="dxa"/>
          </w:tcPr>
          <w:p w14:paraId="6710230C"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711D65BD" w14:textId="77777777" w:rsidR="00452A97" w:rsidRDefault="00452A97" w:rsidP="001769CA">
            <w:pPr>
              <w:jc w:val="center"/>
              <w:rPr>
                <w:rFonts w:ascii="Calibri" w:hAnsi="Calibri"/>
                <w:sz w:val="20"/>
                <w:lang w:eastAsia="ja-JP"/>
              </w:rPr>
            </w:pPr>
            <w:r>
              <w:rPr>
                <w:rFonts w:ascii="Calibri" w:hAnsi="Calibri"/>
                <w:sz w:val="20"/>
                <w:lang w:eastAsia="ja-JP"/>
              </w:rPr>
              <w:t>++</w:t>
            </w:r>
          </w:p>
        </w:tc>
      </w:tr>
      <w:tr w:rsidR="00452A97" w14:paraId="2F363C4C" w14:textId="77777777" w:rsidTr="001769CA">
        <w:trPr>
          <w:jc w:val="center"/>
        </w:trPr>
        <w:tc>
          <w:tcPr>
            <w:tcW w:w="2127" w:type="dxa"/>
          </w:tcPr>
          <w:p w14:paraId="77198873" w14:textId="77777777" w:rsidR="00452A97" w:rsidRDefault="00452A97" w:rsidP="001769CA">
            <w:pPr>
              <w:rPr>
                <w:rFonts w:ascii="Calibri" w:hAnsi="Calibri"/>
                <w:sz w:val="20"/>
                <w:lang w:eastAsia="ja-JP"/>
              </w:rPr>
            </w:pPr>
            <w:r>
              <w:rPr>
                <w:rFonts w:ascii="Calibri" w:hAnsi="Calibri"/>
                <w:sz w:val="20"/>
                <w:lang w:eastAsia="ja-JP"/>
              </w:rPr>
              <w:t>Flammability</w:t>
            </w:r>
          </w:p>
        </w:tc>
        <w:tc>
          <w:tcPr>
            <w:tcW w:w="1176" w:type="dxa"/>
          </w:tcPr>
          <w:p w14:paraId="29949CB7"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454CD28D" w14:textId="77777777" w:rsidR="00452A97" w:rsidRDefault="00452A97" w:rsidP="001769CA">
            <w:pPr>
              <w:jc w:val="center"/>
              <w:rPr>
                <w:rFonts w:ascii="Calibri" w:hAnsi="Calibri"/>
                <w:sz w:val="20"/>
                <w:lang w:eastAsia="ja-JP"/>
              </w:rPr>
            </w:pPr>
            <w:r>
              <w:rPr>
                <w:rFonts w:ascii="Calibri" w:hAnsi="Calibri"/>
                <w:sz w:val="20"/>
                <w:lang w:eastAsia="ja-JP"/>
              </w:rPr>
              <w:t>--</w:t>
            </w:r>
          </w:p>
        </w:tc>
      </w:tr>
      <w:tr w:rsidR="00452A97" w14:paraId="23E9B297" w14:textId="77777777" w:rsidTr="001769CA">
        <w:trPr>
          <w:jc w:val="center"/>
        </w:trPr>
        <w:tc>
          <w:tcPr>
            <w:tcW w:w="2127" w:type="dxa"/>
          </w:tcPr>
          <w:p w14:paraId="4EB3F79D" w14:textId="77777777" w:rsidR="00452A97" w:rsidRDefault="00452A97" w:rsidP="001769CA">
            <w:pPr>
              <w:rPr>
                <w:rFonts w:ascii="Calibri" w:hAnsi="Calibri"/>
                <w:sz w:val="20"/>
                <w:lang w:eastAsia="ja-JP"/>
              </w:rPr>
            </w:pPr>
            <w:r>
              <w:rPr>
                <w:rFonts w:ascii="Calibri" w:hAnsi="Calibri"/>
                <w:sz w:val="20"/>
                <w:lang w:eastAsia="ja-JP"/>
              </w:rPr>
              <w:t>Other Health &amp; Safety</w:t>
            </w:r>
          </w:p>
        </w:tc>
        <w:tc>
          <w:tcPr>
            <w:tcW w:w="1176" w:type="dxa"/>
          </w:tcPr>
          <w:p w14:paraId="692F313A" w14:textId="77777777" w:rsidR="00452A97" w:rsidRDefault="00452A97" w:rsidP="001769CA">
            <w:pPr>
              <w:jc w:val="center"/>
              <w:rPr>
                <w:rFonts w:ascii="Calibri" w:hAnsi="Calibri"/>
                <w:sz w:val="20"/>
                <w:lang w:eastAsia="ja-JP"/>
              </w:rPr>
            </w:pPr>
            <w:r>
              <w:rPr>
                <w:rFonts w:ascii="Calibri" w:hAnsi="Calibri"/>
                <w:sz w:val="20"/>
                <w:lang w:eastAsia="ja-JP"/>
              </w:rPr>
              <w:t>0</w:t>
            </w:r>
          </w:p>
        </w:tc>
        <w:tc>
          <w:tcPr>
            <w:tcW w:w="1660" w:type="dxa"/>
          </w:tcPr>
          <w:p w14:paraId="52806D30" w14:textId="77777777" w:rsidR="00452A97" w:rsidRDefault="00452A97" w:rsidP="001769CA">
            <w:pPr>
              <w:jc w:val="center"/>
              <w:rPr>
                <w:rFonts w:ascii="Calibri" w:hAnsi="Calibri"/>
                <w:sz w:val="20"/>
                <w:lang w:eastAsia="ja-JP"/>
              </w:rPr>
            </w:pPr>
            <w:r>
              <w:rPr>
                <w:rFonts w:ascii="Calibri" w:hAnsi="Calibri"/>
                <w:sz w:val="20"/>
                <w:lang w:eastAsia="ja-JP"/>
              </w:rPr>
              <w:t>0</w:t>
            </w:r>
          </w:p>
        </w:tc>
      </w:tr>
      <w:tr w:rsidR="00452A97" w14:paraId="398CAD24" w14:textId="77777777" w:rsidTr="001769CA">
        <w:trPr>
          <w:jc w:val="center"/>
        </w:trPr>
        <w:tc>
          <w:tcPr>
            <w:tcW w:w="2127" w:type="dxa"/>
          </w:tcPr>
          <w:p w14:paraId="577510C3" w14:textId="77777777" w:rsidR="00452A97" w:rsidRDefault="00452A97" w:rsidP="001769CA">
            <w:pPr>
              <w:rPr>
                <w:rFonts w:ascii="Calibri" w:hAnsi="Calibri"/>
                <w:sz w:val="20"/>
                <w:lang w:eastAsia="ja-JP"/>
              </w:rPr>
            </w:pPr>
            <w:r>
              <w:rPr>
                <w:rFonts w:ascii="Calibri" w:hAnsi="Calibri"/>
                <w:sz w:val="20"/>
                <w:lang w:eastAsia="ja-JP"/>
              </w:rPr>
              <w:t>Global Warming</w:t>
            </w:r>
          </w:p>
        </w:tc>
        <w:tc>
          <w:tcPr>
            <w:tcW w:w="1176" w:type="dxa"/>
          </w:tcPr>
          <w:p w14:paraId="4110F4BD"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4289BFB7" w14:textId="77777777" w:rsidR="00452A97" w:rsidRDefault="00452A97" w:rsidP="001769CA">
            <w:pPr>
              <w:jc w:val="center"/>
              <w:rPr>
                <w:rFonts w:ascii="Calibri" w:hAnsi="Calibri"/>
                <w:sz w:val="20"/>
                <w:lang w:eastAsia="ja-JP"/>
              </w:rPr>
            </w:pPr>
            <w:r>
              <w:rPr>
                <w:rFonts w:ascii="Calibri" w:hAnsi="Calibri"/>
                <w:sz w:val="20"/>
                <w:lang w:eastAsia="ja-JP"/>
              </w:rPr>
              <w:t>++</w:t>
            </w:r>
          </w:p>
        </w:tc>
      </w:tr>
      <w:tr w:rsidR="00452A97" w14:paraId="09957077" w14:textId="77777777" w:rsidTr="001769CA">
        <w:trPr>
          <w:jc w:val="center"/>
        </w:trPr>
        <w:tc>
          <w:tcPr>
            <w:tcW w:w="2127" w:type="dxa"/>
          </w:tcPr>
          <w:p w14:paraId="64DB19DD" w14:textId="77777777" w:rsidR="00452A97" w:rsidRDefault="00452A97" w:rsidP="001769CA">
            <w:pPr>
              <w:rPr>
                <w:rFonts w:ascii="Calibri" w:hAnsi="Calibri"/>
                <w:sz w:val="20"/>
                <w:lang w:eastAsia="ja-JP"/>
              </w:rPr>
            </w:pPr>
            <w:r>
              <w:rPr>
                <w:rFonts w:ascii="Calibri" w:hAnsi="Calibri"/>
                <w:sz w:val="20"/>
                <w:lang w:eastAsia="ja-JP"/>
              </w:rPr>
              <w:t>Other Environmental</w:t>
            </w:r>
          </w:p>
        </w:tc>
        <w:tc>
          <w:tcPr>
            <w:tcW w:w="1176" w:type="dxa"/>
          </w:tcPr>
          <w:p w14:paraId="447C20AE"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68FE948A" w14:textId="77777777" w:rsidR="00452A97" w:rsidRDefault="00452A97" w:rsidP="001769CA">
            <w:pPr>
              <w:jc w:val="center"/>
              <w:rPr>
                <w:rFonts w:ascii="Calibri" w:hAnsi="Calibri"/>
                <w:sz w:val="20"/>
                <w:lang w:eastAsia="ja-JP"/>
              </w:rPr>
            </w:pPr>
            <w:r>
              <w:rPr>
                <w:rFonts w:ascii="Calibri" w:hAnsi="Calibri"/>
                <w:sz w:val="20"/>
                <w:lang w:eastAsia="ja-JP"/>
              </w:rPr>
              <w:t>-</w:t>
            </w:r>
          </w:p>
        </w:tc>
      </w:tr>
      <w:tr w:rsidR="00452A97" w14:paraId="746238AE" w14:textId="77777777" w:rsidTr="001769CA">
        <w:trPr>
          <w:jc w:val="center"/>
        </w:trPr>
        <w:tc>
          <w:tcPr>
            <w:tcW w:w="2127" w:type="dxa"/>
          </w:tcPr>
          <w:p w14:paraId="45084226" w14:textId="77777777" w:rsidR="00452A97" w:rsidRDefault="00452A97" w:rsidP="001769CA">
            <w:pPr>
              <w:rPr>
                <w:rFonts w:ascii="Calibri" w:hAnsi="Calibri"/>
                <w:sz w:val="20"/>
                <w:lang w:eastAsia="ja-JP"/>
              </w:rPr>
            </w:pPr>
            <w:r>
              <w:rPr>
                <w:rFonts w:ascii="Calibri" w:hAnsi="Calibri"/>
                <w:sz w:val="20"/>
                <w:lang w:eastAsia="ja-JP"/>
              </w:rPr>
              <w:t>Cost Effectiveness (C)</w:t>
            </w:r>
          </w:p>
        </w:tc>
        <w:tc>
          <w:tcPr>
            <w:tcW w:w="1176" w:type="dxa"/>
          </w:tcPr>
          <w:p w14:paraId="68DE7921"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39D9D236" w14:textId="77777777" w:rsidR="00452A97" w:rsidRDefault="00452A97" w:rsidP="001769CA">
            <w:pPr>
              <w:jc w:val="center"/>
              <w:rPr>
                <w:rFonts w:ascii="Calibri" w:hAnsi="Calibri"/>
                <w:sz w:val="20"/>
                <w:lang w:eastAsia="ja-JP"/>
              </w:rPr>
            </w:pPr>
            <w:r>
              <w:rPr>
                <w:rFonts w:ascii="Calibri" w:hAnsi="Calibri"/>
                <w:sz w:val="20"/>
                <w:lang w:eastAsia="ja-JP"/>
              </w:rPr>
              <w:t>0</w:t>
            </w:r>
          </w:p>
        </w:tc>
      </w:tr>
      <w:tr w:rsidR="00452A97" w14:paraId="449D1567" w14:textId="77777777" w:rsidTr="001769CA">
        <w:trPr>
          <w:jc w:val="center"/>
        </w:trPr>
        <w:tc>
          <w:tcPr>
            <w:tcW w:w="2127" w:type="dxa"/>
          </w:tcPr>
          <w:p w14:paraId="77256DF5" w14:textId="77777777" w:rsidR="00452A97" w:rsidRDefault="00452A97" w:rsidP="001769CA">
            <w:pPr>
              <w:rPr>
                <w:rFonts w:ascii="Calibri" w:hAnsi="Calibri"/>
                <w:sz w:val="20"/>
                <w:lang w:eastAsia="ja-JP"/>
              </w:rPr>
            </w:pPr>
            <w:r>
              <w:rPr>
                <w:rFonts w:ascii="Calibri" w:hAnsi="Calibri"/>
                <w:sz w:val="20"/>
                <w:lang w:eastAsia="ja-JP"/>
              </w:rPr>
              <w:t>Cost Effectiveness (O)</w:t>
            </w:r>
          </w:p>
        </w:tc>
        <w:tc>
          <w:tcPr>
            <w:tcW w:w="1176" w:type="dxa"/>
          </w:tcPr>
          <w:p w14:paraId="71F84EDB"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5DF61554" w14:textId="77777777" w:rsidR="00452A97" w:rsidRDefault="00452A97" w:rsidP="001769CA">
            <w:pPr>
              <w:jc w:val="center"/>
              <w:rPr>
                <w:rFonts w:ascii="Calibri" w:hAnsi="Calibri"/>
                <w:sz w:val="20"/>
                <w:lang w:eastAsia="ja-JP"/>
              </w:rPr>
            </w:pPr>
            <w:r>
              <w:rPr>
                <w:rFonts w:ascii="Calibri" w:hAnsi="Calibri"/>
                <w:sz w:val="20"/>
                <w:lang w:eastAsia="ja-JP"/>
              </w:rPr>
              <w:t>++</w:t>
            </w:r>
          </w:p>
        </w:tc>
      </w:tr>
      <w:tr w:rsidR="00452A97" w14:paraId="1D5884EB" w14:textId="77777777" w:rsidTr="001769CA">
        <w:trPr>
          <w:jc w:val="center"/>
        </w:trPr>
        <w:tc>
          <w:tcPr>
            <w:tcW w:w="2127" w:type="dxa"/>
          </w:tcPr>
          <w:p w14:paraId="594ADABF" w14:textId="77777777" w:rsidR="00452A97" w:rsidRDefault="00452A97" w:rsidP="001769CA">
            <w:pPr>
              <w:rPr>
                <w:rFonts w:ascii="Calibri" w:hAnsi="Calibri"/>
                <w:sz w:val="20"/>
                <w:lang w:eastAsia="ja-JP"/>
              </w:rPr>
            </w:pPr>
            <w:r>
              <w:rPr>
                <w:rFonts w:ascii="Calibri" w:hAnsi="Calibri"/>
                <w:sz w:val="20"/>
                <w:lang w:eastAsia="ja-JP"/>
              </w:rPr>
              <w:t>Process Versatility</w:t>
            </w:r>
          </w:p>
        </w:tc>
        <w:tc>
          <w:tcPr>
            <w:tcW w:w="1176" w:type="dxa"/>
          </w:tcPr>
          <w:p w14:paraId="27B6B26C" w14:textId="77777777" w:rsidR="00452A97" w:rsidRDefault="00452A97" w:rsidP="001769CA">
            <w:pPr>
              <w:jc w:val="center"/>
              <w:rPr>
                <w:rFonts w:ascii="Calibri" w:hAnsi="Calibri"/>
                <w:sz w:val="20"/>
                <w:lang w:eastAsia="ja-JP"/>
              </w:rPr>
            </w:pPr>
            <w:r>
              <w:rPr>
                <w:rFonts w:ascii="Calibri" w:hAnsi="Calibri"/>
                <w:sz w:val="20"/>
                <w:lang w:eastAsia="ja-JP"/>
              </w:rPr>
              <w:t>+(+)</w:t>
            </w:r>
          </w:p>
        </w:tc>
        <w:tc>
          <w:tcPr>
            <w:tcW w:w="1660" w:type="dxa"/>
          </w:tcPr>
          <w:p w14:paraId="26E79554" w14:textId="77777777" w:rsidR="00452A97" w:rsidRDefault="00452A97" w:rsidP="001769CA">
            <w:pPr>
              <w:jc w:val="center"/>
              <w:rPr>
                <w:rFonts w:ascii="Calibri" w:hAnsi="Calibri"/>
                <w:sz w:val="20"/>
                <w:lang w:eastAsia="ja-JP"/>
              </w:rPr>
            </w:pPr>
            <w:r>
              <w:rPr>
                <w:rFonts w:ascii="Calibri" w:hAnsi="Calibri"/>
                <w:sz w:val="20"/>
                <w:lang w:eastAsia="ja-JP"/>
              </w:rPr>
              <w:t>+(+)</w:t>
            </w:r>
          </w:p>
        </w:tc>
      </w:tr>
    </w:tbl>
    <w:p w14:paraId="67EFF732" w14:textId="77777777" w:rsidR="00452A97" w:rsidRPr="00123C7D" w:rsidRDefault="00452A97" w:rsidP="00123C7D">
      <w:pPr>
        <w:rPr>
          <w:sz w:val="8"/>
          <w:szCs w:val="8"/>
          <w:lang w:eastAsia="ja-JP"/>
        </w:rPr>
      </w:pPr>
    </w:p>
    <w:p w14:paraId="7BEB3278" w14:textId="77777777" w:rsidR="00123C7D" w:rsidRPr="00123C7D" w:rsidRDefault="00123C7D" w:rsidP="00123C7D">
      <w:pPr>
        <w:jc w:val="center"/>
        <w:rPr>
          <w:b/>
          <w:i/>
        </w:rPr>
      </w:pPr>
      <w:r>
        <w:rPr>
          <w:b/>
          <w:i/>
        </w:rPr>
        <w:t>Table 25</w:t>
      </w:r>
      <w:r w:rsidRPr="00123C7D">
        <w:rPr>
          <w:b/>
          <w:i/>
        </w:rPr>
        <w:t>: Indicative assessment of criteria for emerging alternatives in the PU In</w:t>
      </w:r>
      <w:r>
        <w:rPr>
          <w:b/>
          <w:i/>
        </w:rPr>
        <w:t>tegral Skin</w:t>
      </w:r>
      <w:r w:rsidRPr="00123C7D">
        <w:rPr>
          <w:b/>
          <w:i/>
        </w:rPr>
        <w:t xml:space="preserve"> Sector</w:t>
      </w:r>
    </w:p>
    <w:p w14:paraId="08FC28B9" w14:textId="77777777" w:rsidR="00123C7D" w:rsidRDefault="00123C7D" w:rsidP="00452A97">
      <w:pPr>
        <w:rPr>
          <w:lang w:eastAsia="ja-JP"/>
        </w:rPr>
      </w:pPr>
    </w:p>
    <w:p w14:paraId="4CB2EFE3" w14:textId="77777777" w:rsidR="00123C7D" w:rsidRDefault="00123C7D" w:rsidP="00123C7D">
      <w:pPr>
        <w:jc w:val="both"/>
        <w:rPr>
          <w:lang w:eastAsia="ja-JP"/>
        </w:rPr>
      </w:pPr>
      <w:r>
        <w:rPr>
          <w:lang w:eastAsia="ja-JP"/>
        </w:rPr>
        <w:t xml:space="preserve">There are no fundamental barriers to the introduction of the emerging technologies, although pilot projects on the pre-blending of HCOs in </w:t>
      </w:r>
      <w:proofErr w:type="spellStart"/>
      <w:r>
        <w:rPr>
          <w:lang w:eastAsia="ja-JP"/>
        </w:rPr>
        <w:t>polyols</w:t>
      </w:r>
      <w:proofErr w:type="spellEnd"/>
      <w:r>
        <w:rPr>
          <w:lang w:eastAsia="ja-JP"/>
        </w:rPr>
        <w:t xml:space="preserve"> will be necessary. There have been some concerns in the past about the implications of the limited supplier base and access to intellectual property, although these have been largely addressed. However, the biggest challenge to the replacement of any remaining use of ozone depleting substances will be the roll-out of these technologies on a sufficiently widespread basis. If the widespread introduction of HCOs can be successful, there is likely to be the gradual replacement of both saturated HFCs (HFC-134a and HFC-245fa) and </w:t>
      </w:r>
      <w:proofErr w:type="gramStart"/>
      <w:r>
        <w:rPr>
          <w:lang w:eastAsia="ja-JP"/>
        </w:rPr>
        <w:t>CO</w:t>
      </w:r>
      <w:r>
        <w:rPr>
          <w:vertAlign w:val="subscript"/>
          <w:lang w:eastAsia="ja-JP"/>
        </w:rPr>
        <w:t>2</w:t>
      </w:r>
      <w:r>
        <w:rPr>
          <w:lang w:eastAsia="ja-JP"/>
        </w:rPr>
        <w:t>(</w:t>
      </w:r>
      <w:proofErr w:type="gramEnd"/>
      <w:r>
        <w:rPr>
          <w:lang w:eastAsia="ja-JP"/>
        </w:rPr>
        <w:t xml:space="preserve">water) blown technologies. The replacement of saturated HFCs, will certain deliver some additional climate benefits.   </w:t>
      </w:r>
    </w:p>
    <w:p w14:paraId="07A9B787" w14:textId="77777777" w:rsidR="00C341A5" w:rsidRPr="00C341A5" w:rsidRDefault="00C341A5" w:rsidP="00C341A5"/>
    <w:p w14:paraId="14F26447" w14:textId="77777777" w:rsidR="00CD4215" w:rsidRPr="00164DBE" w:rsidRDefault="00CD4215" w:rsidP="00CD4215">
      <w:pPr>
        <w:pStyle w:val="Heading4"/>
      </w:pPr>
      <w:r>
        <w:t>Non-Article 5 Parties</w:t>
      </w:r>
    </w:p>
    <w:p w14:paraId="31FDAE0B" w14:textId="77777777" w:rsidR="00CD4215" w:rsidRPr="00050445" w:rsidRDefault="00CD4215" w:rsidP="00CD4215">
      <w:pPr>
        <w:jc w:val="both"/>
        <w:rPr>
          <w:sz w:val="8"/>
          <w:szCs w:val="8"/>
          <w:lang w:eastAsia="ja-JP"/>
        </w:rPr>
      </w:pPr>
    </w:p>
    <w:p w14:paraId="6C0AA2F3" w14:textId="77777777" w:rsidR="00CD4215" w:rsidRDefault="00CD4215" w:rsidP="00CD4215">
      <w:pPr>
        <w:jc w:val="both"/>
        <w:rPr>
          <w:lang w:eastAsia="ja-JP"/>
        </w:rPr>
      </w:pPr>
      <w:r>
        <w:rPr>
          <w:lang w:eastAsia="ja-JP"/>
        </w:rPr>
        <w:t xml:space="preserve">In this non-insulating sector, </w:t>
      </w:r>
      <w:proofErr w:type="gramStart"/>
      <w:r>
        <w:rPr>
          <w:lang w:eastAsia="ja-JP"/>
        </w:rPr>
        <w:t>CO</w:t>
      </w:r>
      <w:r>
        <w:rPr>
          <w:vertAlign w:val="subscript"/>
          <w:lang w:eastAsia="ja-JP"/>
        </w:rPr>
        <w:t>2</w:t>
      </w:r>
      <w:r>
        <w:rPr>
          <w:lang w:eastAsia="ja-JP"/>
        </w:rPr>
        <w:t>(</w:t>
      </w:r>
      <w:proofErr w:type="gramEnd"/>
      <w:r>
        <w:rPr>
          <w:lang w:eastAsia="ja-JP"/>
        </w:rPr>
        <w:t xml:space="preserve">water) technologies play a significant role, particularly where skinning properties are not critical. However, in non-Article 5 regions, hydrocarbons have become increasingly accepted as reliable replacements for HCFCs that were used previously. There has been some small use of HFCs (typically HFC-134a or HFC-245fa), but this has been limited to specialist applications.   </w:t>
      </w:r>
    </w:p>
    <w:p w14:paraId="6F1A4500" w14:textId="77777777" w:rsidR="00CD4215" w:rsidRDefault="00CD4215" w:rsidP="00CD4215">
      <w:pPr>
        <w:pStyle w:val="Heading4"/>
      </w:pPr>
    </w:p>
    <w:p w14:paraId="5DD61399" w14:textId="77777777" w:rsidR="00CD4215" w:rsidRPr="00164DBE" w:rsidRDefault="00CD4215" w:rsidP="00CD4215">
      <w:pPr>
        <w:pStyle w:val="Heading4"/>
      </w:pPr>
      <w:r>
        <w:t>Article 5 Parties</w:t>
      </w:r>
    </w:p>
    <w:p w14:paraId="78BAC57F" w14:textId="77777777" w:rsidR="00CD4215" w:rsidRPr="00050445" w:rsidRDefault="00CD4215" w:rsidP="00CD4215">
      <w:pPr>
        <w:rPr>
          <w:sz w:val="8"/>
          <w:szCs w:val="8"/>
        </w:rPr>
      </w:pPr>
    </w:p>
    <w:p w14:paraId="30378F13" w14:textId="77777777" w:rsidR="00905A2F" w:rsidRDefault="00905A2F" w:rsidP="00905A2F">
      <w:pPr>
        <w:jc w:val="both"/>
      </w:pPr>
      <w:r>
        <w:t xml:space="preserve">Since the focus on technology optimisation has not been so prevalent in Article 5 regions except where multi-national clients (e.g. the automotive sector) have been involved, there has been a tendency to remain with HCFC technology while awaiting further developments. Transitions to high-GWP HFC alternatives remain the easiest technology option, although methyl </w:t>
      </w:r>
      <w:proofErr w:type="spellStart"/>
      <w:r>
        <w:t>formate</w:t>
      </w:r>
      <w:proofErr w:type="spellEnd"/>
      <w:r>
        <w:t xml:space="preserve"> and </w:t>
      </w:r>
      <w:proofErr w:type="spellStart"/>
      <w:r>
        <w:t>methylal</w:t>
      </w:r>
      <w:proofErr w:type="spellEnd"/>
      <w:r>
        <w:t xml:space="preserve"> are also appropriate options, which mitigate at least some of the flammability risks associated with other hydrocarbons. The Business-As-Usual scenario follows the path and timing of most current HPMPs in predicting the transition paths and timing. </w:t>
      </w:r>
    </w:p>
    <w:p w14:paraId="5E78A225" w14:textId="77777777" w:rsidR="00905A2F" w:rsidRDefault="00905A2F" w:rsidP="00905A2F">
      <w:pPr>
        <w:pStyle w:val="Heading3"/>
      </w:pPr>
      <w:bookmarkStart w:id="35" w:name="_Toc415441536"/>
      <w:r>
        <w:lastRenderedPageBreak/>
        <w:t>Extruded Polystyrene Foam</w:t>
      </w:r>
      <w:bookmarkEnd w:id="35"/>
      <w:r>
        <w:t xml:space="preserve">  </w:t>
      </w:r>
    </w:p>
    <w:p w14:paraId="54F141E7" w14:textId="77777777" w:rsidR="00905A2F" w:rsidRDefault="00905A2F" w:rsidP="00905A2F">
      <w:pPr>
        <w:rPr>
          <w:sz w:val="12"/>
          <w:szCs w:val="12"/>
        </w:rPr>
      </w:pPr>
    </w:p>
    <w:p w14:paraId="467A1A4D" w14:textId="36CEB1CE" w:rsidR="00F40ECE" w:rsidRDefault="00F40ECE" w:rsidP="00F40ECE">
      <w:pPr>
        <w:jc w:val="both"/>
      </w:pPr>
      <w:r>
        <w:t xml:space="preserve">Extruded polystyrene board is unique amongst the foam sectors considered in this report in that it is blown exclusively with gaseous blowing agents. This is a consequence of the extrusion process. Extruded polystyrene (XPS) should not be confused with expanded polystyrene (EPS – also sometimes called ‘bead foam’) which uses pre-expanded beads of polystyrene containing pentane. EPS has never used ozone depleting substances and is seldom addressed in UNEP Reports for the Montreal Protocol. XPS is used primarily as a building insulation and often competes with PU </w:t>
      </w:r>
      <w:proofErr w:type="spellStart"/>
      <w:r>
        <w:t>Boardstock</w:t>
      </w:r>
      <w:proofErr w:type="spellEnd"/>
      <w:r>
        <w:t>. Its particular competitive advantage is in relation to its moisture resistance, which makes it especially useful for under-floor insulation</w:t>
      </w:r>
      <w:r w:rsidR="009679AB">
        <w:t xml:space="preserve"> and cold storage</w:t>
      </w:r>
      <w:r>
        <w:t xml:space="preserve"> applications. There is another form of XPS known as ‘Sheet’ which is typically used for non-insulating applications such as leisure products (e.g. surf boards) and packaging materials. XPS sheet exited from CFC use early in the history of the Montreal Protocol and has used hydrocarbons almost exclusively ever since.    </w:t>
      </w:r>
    </w:p>
    <w:p w14:paraId="554FDE94" w14:textId="77777777" w:rsidR="00F40ECE" w:rsidRDefault="00F40ECE" w:rsidP="00F40ECE">
      <w:pPr>
        <w:jc w:val="both"/>
      </w:pPr>
    </w:p>
    <w:p w14:paraId="741AAF1A" w14:textId="77777777" w:rsidR="00F40ECE" w:rsidRDefault="00F40ECE" w:rsidP="00F40ECE">
      <w:pPr>
        <w:pStyle w:val="Heading4"/>
      </w:pPr>
      <w:r>
        <w:t>Commercially available alternatives to ODS</w:t>
      </w:r>
    </w:p>
    <w:p w14:paraId="3EBC6265" w14:textId="77777777" w:rsidR="00F40ECE" w:rsidRPr="00F40ECE" w:rsidRDefault="00F40ECE" w:rsidP="00F40ECE">
      <w:pPr>
        <w:jc w:val="both"/>
        <w:rPr>
          <w:sz w:val="12"/>
          <w:szCs w:val="12"/>
        </w:rPr>
      </w:pPr>
    </w:p>
    <w:p w14:paraId="5C179089" w14:textId="77777777" w:rsidR="00F40ECE" w:rsidRDefault="00F40ECE" w:rsidP="00F40ECE">
      <w:pPr>
        <w:rPr>
          <w:lang w:eastAsia="ja-JP"/>
        </w:rPr>
      </w:pPr>
      <w:r>
        <w:rPr>
          <w:lang w:eastAsia="ja-JP"/>
        </w:rPr>
        <w:t xml:space="preserve">Table 26 illustrates the commercially available alternatives in the extruded polystyrene sector: </w:t>
      </w:r>
    </w:p>
    <w:p w14:paraId="0F10BB6D" w14:textId="77777777" w:rsidR="00F40ECE" w:rsidRPr="00024AE5" w:rsidRDefault="00F40ECE" w:rsidP="00F40ECE">
      <w:pPr>
        <w:jc w:val="both"/>
        <w:rPr>
          <w:sz w:val="8"/>
          <w:szCs w:val="8"/>
          <w:lang w:eastAsia="ja-JP"/>
        </w:rPr>
      </w:pPr>
    </w:p>
    <w:tbl>
      <w:tblPr>
        <w:tblW w:w="9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151"/>
        <w:gridCol w:w="2693"/>
      </w:tblGrid>
      <w:tr w:rsidR="00F40ECE" w14:paraId="7A7C5C08" w14:textId="77777777" w:rsidTr="00024AE5">
        <w:trPr>
          <w:cantSplit/>
        </w:trPr>
        <w:tc>
          <w:tcPr>
            <w:tcW w:w="9408" w:type="dxa"/>
            <w:gridSpan w:val="4"/>
            <w:tcBorders>
              <w:top w:val="single" w:sz="4" w:space="0" w:color="auto"/>
            </w:tcBorders>
            <w:shd w:val="clear" w:color="auto" w:fill="FFFFFF"/>
            <w:vAlign w:val="center"/>
          </w:tcPr>
          <w:p w14:paraId="0FF30E68" w14:textId="77777777" w:rsidR="00F40ECE" w:rsidRDefault="00F40ECE" w:rsidP="001769CA">
            <w:pPr>
              <w:jc w:val="center"/>
              <w:rPr>
                <w:b/>
                <w:i/>
                <w:lang w:eastAsia="es-ES"/>
              </w:rPr>
            </w:pPr>
            <w:r>
              <w:rPr>
                <w:b/>
                <w:i/>
                <w:lang w:eastAsia="es-ES"/>
              </w:rPr>
              <w:t>HCFC REPLACEMENT OPTIONS FOR XPS FOAM</w:t>
            </w:r>
          </w:p>
        </w:tc>
      </w:tr>
      <w:tr w:rsidR="00F40ECE" w14:paraId="736FB067" w14:textId="77777777" w:rsidTr="00024AE5">
        <w:trPr>
          <w:cantSplit/>
        </w:trPr>
        <w:tc>
          <w:tcPr>
            <w:tcW w:w="2585" w:type="dxa"/>
            <w:shd w:val="clear" w:color="auto" w:fill="FFFFFF"/>
            <w:vAlign w:val="center"/>
          </w:tcPr>
          <w:p w14:paraId="0FE39E36" w14:textId="77777777" w:rsidR="00F40ECE" w:rsidRDefault="00F40ECE" w:rsidP="001769CA">
            <w:pPr>
              <w:tabs>
                <w:tab w:val="left" w:pos="3544"/>
              </w:tabs>
              <w:spacing w:before="120" w:after="120"/>
              <w:ind w:right="-75"/>
              <w:jc w:val="center"/>
              <w:rPr>
                <w:b/>
                <w:sz w:val="18"/>
              </w:rPr>
            </w:pPr>
            <w:r>
              <w:rPr>
                <w:b/>
                <w:sz w:val="18"/>
              </w:rPr>
              <w:t>SECTOR/OPTION</w:t>
            </w:r>
          </w:p>
        </w:tc>
        <w:tc>
          <w:tcPr>
            <w:tcW w:w="1979" w:type="dxa"/>
            <w:shd w:val="clear" w:color="auto" w:fill="FFFFFF"/>
            <w:vAlign w:val="center"/>
          </w:tcPr>
          <w:p w14:paraId="2A394879" w14:textId="77777777" w:rsidR="00F40ECE" w:rsidRDefault="00F40ECE" w:rsidP="001769CA">
            <w:pPr>
              <w:keepNext/>
              <w:widowControl w:val="0"/>
              <w:tabs>
                <w:tab w:val="left" w:pos="1080"/>
                <w:tab w:val="left" w:pos="3544"/>
              </w:tabs>
              <w:spacing w:before="120" w:after="120"/>
              <w:jc w:val="center"/>
              <w:outlineLvl w:val="3"/>
              <w:rPr>
                <w:b/>
                <w:i/>
                <w:sz w:val="18"/>
              </w:rPr>
            </w:pPr>
            <w:r>
              <w:rPr>
                <w:b/>
                <w:i/>
                <w:sz w:val="18"/>
              </w:rPr>
              <w:t>PROS</w:t>
            </w:r>
          </w:p>
        </w:tc>
        <w:tc>
          <w:tcPr>
            <w:tcW w:w="2151" w:type="dxa"/>
            <w:shd w:val="clear" w:color="auto" w:fill="FFFFFF"/>
            <w:vAlign w:val="center"/>
          </w:tcPr>
          <w:p w14:paraId="729E0F0A" w14:textId="77777777" w:rsidR="00F40ECE" w:rsidRDefault="00F40ECE" w:rsidP="001769CA">
            <w:pPr>
              <w:keepNext/>
              <w:widowControl w:val="0"/>
              <w:tabs>
                <w:tab w:val="left" w:pos="1080"/>
                <w:tab w:val="left" w:pos="3544"/>
              </w:tabs>
              <w:spacing w:before="120" w:after="120"/>
              <w:jc w:val="center"/>
              <w:outlineLvl w:val="3"/>
              <w:rPr>
                <w:b/>
                <w:i/>
                <w:sz w:val="18"/>
              </w:rPr>
            </w:pPr>
            <w:r>
              <w:rPr>
                <w:b/>
                <w:i/>
                <w:sz w:val="18"/>
              </w:rPr>
              <w:t>CONS</w:t>
            </w:r>
          </w:p>
        </w:tc>
        <w:tc>
          <w:tcPr>
            <w:tcW w:w="2693" w:type="dxa"/>
            <w:shd w:val="clear" w:color="auto" w:fill="FFFFFF"/>
            <w:vAlign w:val="center"/>
          </w:tcPr>
          <w:p w14:paraId="34B3DE9B" w14:textId="77777777" w:rsidR="00F40ECE" w:rsidRDefault="00F40ECE" w:rsidP="001769CA">
            <w:pPr>
              <w:keepNext/>
              <w:widowControl w:val="0"/>
              <w:tabs>
                <w:tab w:val="left" w:pos="1080"/>
                <w:tab w:val="left" w:pos="3544"/>
              </w:tabs>
              <w:spacing w:before="120" w:after="120"/>
              <w:jc w:val="center"/>
              <w:outlineLvl w:val="3"/>
              <w:rPr>
                <w:b/>
                <w:i/>
                <w:sz w:val="18"/>
              </w:rPr>
            </w:pPr>
            <w:r>
              <w:rPr>
                <w:b/>
                <w:i/>
                <w:sz w:val="18"/>
              </w:rPr>
              <w:t>COMMENTS</w:t>
            </w:r>
          </w:p>
        </w:tc>
      </w:tr>
      <w:tr w:rsidR="00F40ECE" w14:paraId="1593FCED" w14:textId="77777777" w:rsidTr="00024AE5">
        <w:trPr>
          <w:cantSplit/>
        </w:trPr>
        <w:tc>
          <w:tcPr>
            <w:tcW w:w="9408" w:type="dxa"/>
            <w:gridSpan w:val="4"/>
            <w:shd w:val="clear" w:color="auto" w:fill="C0C0C0"/>
            <w:vAlign w:val="center"/>
          </w:tcPr>
          <w:p w14:paraId="1ECF664B" w14:textId="77777777" w:rsidR="00F40ECE" w:rsidRDefault="00F40ECE" w:rsidP="001769CA">
            <w:pPr>
              <w:rPr>
                <w:b/>
                <w:i/>
              </w:rPr>
            </w:pPr>
            <w:r>
              <w:rPr>
                <w:b/>
                <w:i/>
              </w:rPr>
              <w:t xml:space="preserve">Extruded Polystyrene Foams </w:t>
            </w:r>
          </w:p>
        </w:tc>
      </w:tr>
      <w:tr w:rsidR="00F40ECE" w14:paraId="57965C85" w14:textId="77777777" w:rsidTr="00024AE5">
        <w:trPr>
          <w:cantSplit/>
        </w:trPr>
        <w:tc>
          <w:tcPr>
            <w:tcW w:w="2585" w:type="dxa"/>
            <w:vMerge w:val="restart"/>
            <w:vAlign w:val="center"/>
          </w:tcPr>
          <w:p w14:paraId="695AD3FB" w14:textId="77777777" w:rsidR="00F40ECE" w:rsidRDefault="00F40ECE" w:rsidP="001769CA">
            <w:pPr>
              <w:tabs>
                <w:tab w:val="left" w:pos="3544"/>
              </w:tabs>
              <w:rPr>
                <w:sz w:val="18"/>
              </w:rPr>
            </w:pPr>
            <w:r>
              <w:rPr>
                <w:sz w:val="18"/>
              </w:rPr>
              <w:t>Butane</w:t>
            </w:r>
          </w:p>
        </w:tc>
        <w:tc>
          <w:tcPr>
            <w:tcW w:w="1979" w:type="dxa"/>
            <w:vAlign w:val="center"/>
          </w:tcPr>
          <w:p w14:paraId="5C8333C0" w14:textId="77777777" w:rsidR="00F40ECE" w:rsidRDefault="00F40ECE" w:rsidP="001769CA">
            <w:pPr>
              <w:keepNext/>
              <w:widowControl w:val="0"/>
              <w:tabs>
                <w:tab w:val="left" w:pos="1080"/>
                <w:tab w:val="left" w:pos="3544"/>
              </w:tabs>
              <w:jc w:val="both"/>
              <w:outlineLvl w:val="3"/>
              <w:rPr>
                <w:i/>
                <w:sz w:val="18"/>
              </w:rPr>
            </w:pPr>
            <w:r>
              <w:rPr>
                <w:i/>
                <w:sz w:val="18"/>
              </w:rPr>
              <w:t>Low GWP</w:t>
            </w:r>
          </w:p>
        </w:tc>
        <w:tc>
          <w:tcPr>
            <w:tcW w:w="2151" w:type="dxa"/>
            <w:vAlign w:val="center"/>
          </w:tcPr>
          <w:p w14:paraId="30653859" w14:textId="77777777" w:rsidR="00F40ECE" w:rsidRPr="00024AE5" w:rsidRDefault="00F40ECE" w:rsidP="001769CA">
            <w:pPr>
              <w:tabs>
                <w:tab w:val="left" w:pos="3544"/>
              </w:tabs>
              <w:rPr>
                <w:i/>
                <w:sz w:val="18"/>
              </w:rPr>
            </w:pPr>
            <w:r w:rsidRPr="00024AE5">
              <w:rPr>
                <w:i/>
                <w:sz w:val="18"/>
              </w:rPr>
              <w:t>Highly flammable</w:t>
            </w:r>
          </w:p>
        </w:tc>
        <w:tc>
          <w:tcPr>
            <w:tcW w:w="2693" w:type="dxa"/>
            <w:vAlign w:val="center"/>
          </w:tcPr>
          <w:p w14:paraId="362F81E1" w14:textId="77777777" w:rsidR="00F40ECE" w:rsidRDefault="00F40ECE" w:rsidP="001769CA">
            <w:pPr>
              <w:keepNext/>
              <w:widowControl w:val="0"/>
              <w:tabs>
                <w:tab w:val="left" w:pos="1080"/>
                <w:tab w:val="left" w:pos="3544"/>
              </w:tabs>
              <w:jc w:val="both"/>
              <w:outlineLvl w:val="3"/>
              <w:rPr>
                <w:i/>
                <w:sz w:val="18"/>
              </w:rPr>
            </w:pPr>
          </w:p>
        </w:tc>
      </w:tr>
      <w:tr w:rsidR="00F40ECE" w14:paraId="01280792" w14:textId="77777777" w:rsidTr="00024AE5">
        <w:trPr>
          <w:cantSplit/>
        </w:trPr>
        <w:tc>
          <w:tcPr>
            <w:tcW w:w="2585" w:type="dxa"/>
            <w:vMerge/>
            <w:vAlign w:val="center"/>
          </w:tcPr>
          <w:p w14:paraId="3E68349B" w14:textId="77777777" w:rsidR="00F40ECE" w:rsidRDefault="00F40ECE" w:rsidP="001769CA">
            <w:pPr>
              <w:keepNext/>
              <w:widowControl w:val="0"/>
              <w:tabs>
                <w:tab w:val="left" w:pos="1080"/>
                <w:tab w:val="left" w:pos="3544"/>
              </w:tabs>
              <w:jc w:val="both"/>
              <w:outlineLvl w:val="3"/>
              <w:rPr>
                <w:i/>
                <w:sz w:val="18"/>
              </w:rPr>
            </w:pPr>
          </w:p>
        </w:tc>
        <w:tc>
          <w:tcPr>
            <w:tcW w:w="1979" w:type="dxa"/>
            <w:vAlign w:val="center"/>
          </w:tcPr>
          <w:p w14:paraId="3EB6F36D" w14:textId="77777777" w:rsidR="00F40ECE" w:rsidRDefault="00F40ECE" w:rsidP="001769CA">
            <w:pPr>
              <w:keepNext/>
              <w:widowControl w:val="0"/>
              <w:tabs>
                <w:tab w:val="left" w:pos="1080"/>
                <w:tab w:val="left" w:pos="3544"/>
              </w:tabs>
              <w:outlineLvl w:val="3"/>
              <w:rPr>
                <w:i/>
                <w:sz w:val="18"/>
              </w:rPr>
            </w:pPr>
            <w:r>
              <w:rPr>
                <w:i/>
                <w:sz w:val="18"/>
              </w:rPr>
              <w:t>Low operating costs</w:t>
            </w:r>
          </w:p>
        </w:tc>
        <w:tc>
          <w:tcPr>
            <w:tcW w:w="2151" w:type="dxa"/>
            <w:vAlign w:val="center"/>
          </w:tcPr>
          <w:p w14:paraId="0BA583A1" w14:textId="1A2F33D7" w:rsidR="00F40ECE" w:rsidRDefault="009679AB" w:rsidP="001769CA">
            <w:pPr>
              <w:keepNext/>
              <w:widowControl w:val="0"/>
              <w:tabs>
                <w:tab w:val="left" w:pos="1080"/>
                <w:tab w:val="left" w:pos="3544"/>
              </w:tabs>
              <w:ind w:right="-86"/>
              <w:outlineLvl w:val="3"/>
              <w:rPr>
                <w:i/>
                <w:sz w:val="18"/>
              </w:rPr>
            </w:pPr>
            <w:r>
              <w:rPr>
                <w:i/>
                <w:sz w:val="18"/>
              </w:rPr>
              <w:t>Low thermal performance</w:t>
            </w:r>
          </w:p>
        </w:tc>
        <w:tc>
          <w:tcPr>
            <w:tcW w:w="2693" w:type="dxa"/>
            <w:vAlign w:val="center"/>
          </w:tcPr>
          <w:p w14:paraId="67B76199" w14:textId="77777777" w:rsidR="00F40ECE" w:rsidRDefault="00F40ECE" w:rsidP="001769CA">
            <w:pPr>
              <w:keepNext/>
              <w:widowControl w:val="0"/>
              <w:tabs>
                <w:tab w:val="left" w:pos="1080"/>
                <w:tab w:val="left" w:pos="3544"/>
              </w:tabs>
              <w:ind w:right="-108"/>
              <w:outlineLvl w:val="3"/>
              <w:rPr>
                <w:i/>
                <w:sz w:val="18"/>
              </w:rPr>
            </w:pPr>
          </w:p>
        </w:tc>
      </w:tr>
      <w:tr w:rsidR="00F40ECE" w14:paraId="6578741C" w14:textId="77777777" w:rsidTr="00024AE5">
        <w:trPr>
          <w:cantSplit/>
        </w:trPr>
        <w:tc>
          <w:tcPr>
            <w:tcW w:w="2585" w:type="dxa"/>
            <w:vMerge w:val="restart"/>
            <w:vAlign w:val="center"/>
          </w:tcPr>
          <w:p w14:paraId="77B72F79" w14:textId="77777777" w:rsidR="00F40ECE" w:rsidRDefault="00F40ECE" w:rsidP="001769CA">
            <w:pPr>
              <w:tabs>
                <w:tab w:val="left" w:pos="3544"/>
              </w:tabs>
              <w:rPr>
                <w:sz w:val="18"/>
              </w:rPr>
            </w:pPr>
            <w:r>
              <w:rPr>
                <w:sz w:val="18"/>
              </w:rPr>
              <w:t>HFC-134a/HFC-152a</w:t>
            </w:r>
          </w:p>
        </w:tc>
        <w:tc>
          <w:tcPr>
            <w:tcW w:w="1979" w:type="dxa"/>
            <w:vAlign w:val="center"/>
          </w:tcPr>
          <w:p w14:paraId="49A52114" w14:textId="77777777" w:rsidR="00F40ECE" w:rsidRDefault="00F40ECE" w:rsidP="001769CA">
            <w:pPr>
              <w:keepNext/>
              <w:widowControl w:val="0"/>
              <w:tabs>
                <w:tab w:val="left" w:pos="1080"/>
                <w:tab w:val="left" w:pos="3544"/>
              </w:tabs>
              <w:jc w:val="both"/>
              <w:outlineLvl w:val="3"/>
              <w:rPr>
                <w:i/>
                <w:sz w:val="18"/>
              </w:rPr>
            </w:pPr>
            <w:r>
              <w:rPr>
                <w:i/>
                <w:sz w:val="18"/>
              </w:rPr>
              <w:t>Non-flammable</w:t>
            </w:r>
          </w:p>
        </w:tc>
        <w:tc>
          <w:tcPr>
            <w:tcW w:w="2151" w:type="dxa"/>
            <w:vAlign w:val="center"/>
          </w:tcPr>
          <w:p w14:paraId="5EF2E5D7" w14:textId="0DF940DC" w:rsidR="00F40ECE" w:rsidRDefault="00F40ECE" w:rsidP="001769CA">
            <w:pPr>
              <w:keepNext/>
              <w:widowControl w:val="0"/>
              <w:tabs>
                <w:tab w:val="left" w:pos="1080"/>
                <w:tab w:val="left" w:pos="3544"/>
              </w:tabs>
              <w:jc w:val="both"/>
              <w:outlineLvl w:val="3"/>
              <w:rPr>
                <w:i/>
                <w:sz w:val="18"/>
              </w:rPr>
            </w:pPr>
            <w:r>
              <w:rPr>
                <w:i/>
                <w:sz w:val="18"/>
              </w:rPr>
              <w:t>High GWP</w:t>
            </w:r>
            <w:r w:rsidR="009679AB">
              <w:rPr>
                <w:i/>
                <w:sz w:val="18"/>
              </w:rPr>
              <w:t xml:space="preserve"> (but lower than HCFCs replaced)</w:t>
            </w:r>
          </w:p>
        </w:tc>
        <w:tc>
          <w:tcPr>
            <w:tcW w:w="2693" w:type="dxa"/>
            <w:vAlign w:val="center"/>
          </w:tcPr>
          <w:p w14:paraId="27684053" w14:textId="77777777" w:rsidR="00F40ECE" w:rsidRDefault="00F40ECE" w:rsidP="001769CA">
            <w:pPr>
              <w:keepNext/>
              <w:widowControl w:val="0"/>
              <w:tabs>
                <w:tab w:val="left" w:pos="1080"/>
                <w:tab w:val="left" w:pos="3544"/>
              </w:tabs>
              <w:jc w:val="both"/>
              <w:outlineLvl w:val="3"/>
              <w:rPr>
                <w:i/>
                <w:sz w:val="18"/>
              </w:rPr>
            </w:pPr>
          </w:p>
        </w:tc>
      </w:tr>
      <w:tr w:rsidR="00F40ECE" w14:paraId="0749EC7A" w14:textId="77777777" w:rsidTr="00024AE5">
        <w:trPr>
          <w:cantSplit/>
        </w:trPr>
        <w:tc>
          <w:tcPr>
            <w:tcW w:w="2585" w:type="dxa"/>
            <w:vMerge/>
            <w:vAlign w:val="center"/>
          </w:tcPr>
          <w:p w14:paraId="590B4CB5" w14:textId="77777777" w:rsidR="00F40ECE" w:rsidRDefault="00F40ECE" w:rsidP="001769CA">
            <w:pPr>
              <w:keepNext/>
              <w:widowControl w:val="0"/>
              <w:tabs>
                <w:tab w:val="left" w:pos="1080"/>
                <w:tab w:val="left" w:pos="3544"/>
              </w:tabs>
              <w:jc w:val="both"/>
              <w:outlineLvl w:val="3"/>
              <w:rPr>
                <w:i/>
                <w:sz w:val="18"/>
              </w:rPr>
            </w:pPr>
          </w:p>
        </w:tc>
        <w:tc>
          <w:tcPr>
            <w:tcW w:w="1979" w:type="dxa"/>
            <w:vAlign w:val="center"/>
          </w:tcPr>
          <w:p w14:paraId="218AA33B" w14:textId="77777777" w:rsidR="00F40ECE" w:rsidRDefault="00F40ECE" w:rsidP="001769CA">
            <w:pPr>
              <w:keepNext/>
              <w:widowControl w:val="0"/>
              <w:tabs>
                <w:tab w:val="left" w:pos="1080"/>
                <w:tab w:val="left" w:pos="3544"/>
              </w:tabs>
              <w:ind w:right="-80"/>
              <w:outlineLvl w:val="3"/>
              <w:rPr>
                <w:i/>
                <w:sz w:val="18"/>
              </w:rPr>
            </w:pPr>
            <w:r>
              <w:rPr>
                <w:i/>
                <w:sz w:val="18"/>
              </w:rPr>
              <w:t>Good foam properties, especially thermal performance</w:t>
            </w:r>
          </w:p>
        </w:tc>
        <w:tc>
          <w:tcPr>
            <w:tcW w:w="2151" w:type="dxa"/>
            <w:vAlign w:val="center"/>
          </w:tcPr>
          <w:p w14:paraId="5EA4E25A" w14:textId="77777777" w:rsidR="00F40ECE" w:rsidRDefault="00F40ECE" w:rsidP="001769CA">
            <w:pPr>
              <w:keepNext/>
              <w:widowControl w:val="0"/>
              <w:tabs>
                <w:tab w:val="left" w:pos="1080"/>
                <w:tab w:val="left" w:pos="3544"/>
              </w:tabs>
              <w:ind w:right="-86"/>
              <w:outlineLvl w:val="3"/>
              <w:rPr>
                <w:i/>
                <w:sz w:val="18"/>
              </w:rPr>
            </w:pPr>
            <w:r>
              <w:rPr>
                <w:i/>
                <w:sz w:val="18"/>
              </w:rPr>
              <w:t>Medium/high operating costs</w:t>
            </w:r>
          </w:p>
        </w:tc>
        <w:tc>
          <w:tcPr>
            <w:tcW w:w="2693" w:type="dxa"/>
            <w:vAlign w:val="center"/>
          </w:tcPr>
          <w:p w14:paraId="768C8151" w14:textId="77777777" w:rsidR="00F40ECE" w:rsidRDefault="00F40ECE" w:rsidP="001769CA">
            <w:pPr>
              <w:keepNext/>
              <w:widowControl w:val="0"/>
              <w:tabs>
                <w:tab w:val="left" w:pos="1080"/>
                <w:tab w:val="left" w:pos="3544"/>
              </w:tabs>
              <w:ind w:right="-108"/>
              <w:outlineLvl w:val="3"/>
              <w:rPr>
                <w:i/>
                <w:sz w:val="18"/>
              </w:rPr>
            </w:pPr>
          </w:p>
        </w:tc>
      </w:tr>
      <w:tr w:rsidR="00F40ECE" w14:paraId="3D9306D5" w14:textId="77777777" w:rsidTr="00024AE5">
        <w:trPr>
          <w:cantSplit/>
        </w:trPr>
        <w:tc>
          <w:tcPr>
            <w:tcW w:w="2585" w:type="dxa"/>
            <w:vMerge w:val="restart"/>
            <w:vAlign w:val="center"/>
          </w:tcPr>
          <w:p w14:paraId="3A01B519" w14:textId="77777777" w:rsidR="00F40ECE" w:rsidRDefault="00F40ECE" w:rsidP="001769CA">
            <w:pPr>
              <w:tabs>
                <w:tab w:val="left" w:pos="3544"/>
              </w:tabs>
              <w:rPr>
                <w:sz w:val="18"/>
              </w:rPr>
            </w:pPr>
            <w:r>
              <w:rPr>
                <w:sz w:val="18"/>
              </w:rPr>
              <w:t>CO</w:t>
            </w:r>
            <w:r>
              <w:rPr>
                <w:sz w:val="18"/>
                <w:vertAlign w:val="subscript"/>
              </w:rPr>
              <w:t xml:space="preserve">2 </w:t>
            </w:r>
            <w:r>
              <w:rPr>
                <w:sz w:val="18"/>
              </w:rPr>
              <w:t>/Eth</w:t>
            </w:r>
            <w:r>
              <w:rPr>
                <w:rFonts w:hint="eastAsia"/>
                <w:sz w:val="18"/>
                <w:lang w:eastAsia="zh-CN"/>
              </w:rPr>
              <w:t>a</w:t>
            </w:r>
            <w:r>
              <w:rPr>
                <w:sz w:val="18"/>
              </w:rPr>
              <w:t>nol/DME</w:t>
            </w:r>
          </w:p>
        </w:tc>
        <w:tc>
          <w:tcPr>
            <w:tcW w:w="1979" w:type="dxa"/>
            <w:vAlign w:val="center"/>
          </w:tcPr>
          <w:p w14:paraId="6E8D636F" w14:textId="77777777" w:rsidR="00F40ECE" w:rsidRDefault="00F40ECE" w:rsidP="001769CA">
            <w:pPr>
              <w:keepNext/>
              <w:widowControl w:val="0"/>
              <w:tabs>
                <w:tab w:val="left" w:pos="1080"/>
                <w:tab w:val="left" w:pos="3544"/>
              </w:tabs>
              <w:ind w:right="-80"/>
              <w:jc w:val="both"/>
              <w:outlineLvl w:val="3"/>
              <w:rPr>
                <w:i/>
                <w:sz w:val="18"/>
              </w:rPr>
            </w:pPr>
            <w:r>
              <w:rPr>
                <w:i/>
                <w:sz w:val="18"/>
              </w:rPr>
              <w:t>Low GWP</w:t>
            </w:r>
            <w:r>
              <w:rPr>
                <w:rFonts w:hint="eastAsia"/>
                <w:i/>
                <w:sz w:val="18"/>
                <w:lang w:eastAsia="zh-CN"/>
              </w:rPr>
              <w:t>, low unit cost</w:t>
            </w:r>
          </w:p>
        </w:tc>
        <w:tc>
          <w:tcPr>
            <w:tcW w:w="2151" w:type="dxa"/>
            <w:vAlign w:val="center"/>
          </w:tcPr>
          <w:p w14:paraId="412C93FB" w14:textId="77777777" w:rsidR="00F40ECE" w:rsidRDefault="00F40ECE" w:rsidP="001769CA">
            <w:pPr>
              <w:keepNext/>
              <w:widowControl w:val="0"/>
              <w:tabs>
                <w:tab w:val="left" w:pos="1080"/>
                <w:tab w:val="left" w:pos="3544"/>
              </w:tabs>
              <w:outlineLvl w:val="3"/>
              <w:rPr>
                <w:i/>
                <w:sz w:val="18"/>
              </w:rPr>
            </w:pPr>
            <w:r>
              <w:rPr>
                <w:i/>
                <w:sz w:val="18"/>
                <w:lang w:eastAsia="zh-CN"/>
              </w:rPr>
              <w:t>S</w:t>
            </w:r>
            <w:r>
              <w:rPr>
                <w:rFonts w:hint="eastAsia"/>
                <w:i/>
                <w:sz w:val="18"/>
                <w:lang w:eastAsia="zh-CN"/>
              </w:rPr>
              <w:t>mall operation window</w:t>
            </w:r>
          </w:p>
        </w:tc>
        <w:tc>
          <w:tcPr>
            <w:tcW w:w="2693" w:type="dxa"/>
            <w:vAlign w:val="center"/>
          </w:tcPr>
          <w:p w14:paraId="6635EB5C" w14:textId="77777777" w:rsidR="00F40ECE" w:rsidRDefault="00F40ECE" w:rsidP="001769CA">
            <w:pPr>
              <w:keepNext/>
              <w:widowControl w:val="0"/>
              <w:tabs>
                <w:tab w:val="left" w:pos="1080"/>
                <w:tab w:val="left" w:pos="3544"/>
              </w:tabs>
              <w:ind w:right="-108"/>
              <w:outlineLvl w:val="3"/>
              <w:rPr>
                <w:i/>
                <w:sz w:val="18"/>
              </w:rPr>
            </w:pPr>
            <w:r>
              <w:rPr>
                <w:i/>
                <w:sz w:val="18"/>
                <w:lang w:eastAsia="zh-CN"/>
              </w:rPr>
              <w:t>D</w:t>
            </w:r>
            <w:r>
              <w:rPr>
                <w:rFonts w:hint="eastAsia"/>
                <w:i/>
                <w:sz w:val="18"/>
                <w:lang w:eastAsia="zh-CN"/>
              </w:rPr>
              <w:t xml:space="preserve">ifficult to process especially for more than 50mm thickness board </w:t>
            </w:r>
          </w:p>
        </w:tc>
      </w:tr>
      <w:tr w:rsidR="00F40ECE" w14:paraId="21091233" w14:textId="77777777" w:rsidTr="00024AE5">
        <w:trPr>
          <w:cantSplit/>
        </w:trPr>
        <w:tc>
          <w:tcPr>
            <w:tcW w:w="2585" w:type="dxa"/>
            <w:vMerge/>
            <w:vAlign w:val="center"/>
          </w:tcPr>
          <w:p w14:paraId="4C79EE1F" w14:textId="77777777" w:rsidR="00F40ECE" w:rsidRDefault="00F40ECE" w:rsidP="001769CA">
            <w:pPr>
              <w:tabs>
                <w:tab w:val="left" w:pos="3544"/>
              </w:tabs>
              <w:rPr>
                <w:sz w:val="18"/>
              </w:rPr>
            </w:pPr>
          </w:p>
        </w:tc>
        <w:tc>
          <w:tcPr>
            <w:tcW w:w="1979" w:type="dxa"/>
            <w:vAlign w:val="center"/>
          </w:tcPr>
          <w:p w14:paraId="7CB105CE" w14:textId="77777777" w:rsidR="00F40ECE" w:rsidRDefault="00F40ECE" w:rsidP="001769CA">
            <w:pPr>
              <w:keepNext/>
              <w:widowControl w:val="0"/>
              <w:tabs>
                <w:tab w:val="left" w:pos="1080"/>
                <w:tab w:val="left" w:pos="3544"/>
              </w:tabs>
              <w:jc w:val="both"/>
              <w:outlineLvl w:val="3"/>
              <w:rPr>
                <w:i/>
                <w:sz w:val="18"/>
              </w:rPr>
            </w:pPr>
            <w:r>
              <w:rPr>
                <w:i/>
                <w:sz w:val="18"/>
              </w:rPr>
              <w:t>Non-flammable</w:t>
            </w:r>
          </w:p>
        </w:tc>
        <w:tc>
          <w:tcPr>
            <w:tcW w:w="2151" w:type="dxa"/>
            <w:vAlign w:val="center"/>
          </w:tcPr>
          <w:p w14:paraId="2E38BB47" w14:textId="77777777" w:rsidR="00F40ECE" w:rsidRDefault="00F40ECE" w:rsidP="001769CA">
            <w:pPr>
              <w:keepNext/>
              <w:widowControl w:val="0"/>
              <w:tabs>
                <w:tab w:val="left" w:pos="1080"/>
                <w:tab w:val="left" w:pos="3544"/>
              </w:tabs>
              <w:ind w:right="-86"/>
              <w:outlineLvl w:val="3"/>
              <w:rPr>
                <w:i/>
                <w:sz w:val="18"/>
              </w:rPr>
            </w:pPr>
            <w:r>
              <w:rPr>
                <w:i/>
                <w:sz w:val="18"/>
                <w:lang w:eastAsia="zh-CN"/>
              </w:rPr>
              <w:t>F</w:t>
            </w:r>
            <w:r>
              <w:rPr>
                <w:rFonts w:hint="eastAsia"/>
                <w:i/>
                <w:sz w:val="18"/>
                <w:lang w:eastAsia="zh-CN"/>
              </w:rPr>
              <w:t>lammable co-blowing agent</w:t>
            </w:r>
          </w:p>
        </w:tc>
        <w:tc>
          <w:tcPr>
            <w:tcW w:w="2693" w:type="dxa"/>
            <w:vAlign w:val="center"/>
          </w:tcPr>
          <w:p w14:paraId="51756DFB" w14:textId="77777777" w:rsidR="00F40ECE" w:rsidRDefault="00F40ECE" w:rsidP="001769CA">
            <w:pPr>
              <w:keepNext/>
              <w:widowControl w:val="0"/>
              <w:tabs>
                <w:tab w:val="left" w:pos="1080"/>
                <w:tab w:val="left" w:pos="3544"/>
              </w:tabs>
              <w:ind w:right="-108"/>
              <w:outlineLvl w:val="3"/>
              <w:rPr>
                <w:i/>
                <w:sz w:val="18"/>
              </w:rPr>
            </w:pPr>
            <w:r>
              <w:rPr>
                <w:i/>
                <w:sz w:val="18"/>
                <w:lang w:eastAsia="zh-CN"/>
              </w:rPr>
              <w:t>N</w:t>
            </w:r>
            <w:r>
              <w:rPr>
                <w:rFonts w:hint="eastAsia"/>
                <w:i/>
                <w:sz w:val="18"/>
                <w:lang w:eastAsia="zh-CN"/>
              </w:rPr>
              <w:t xml:space="preserve">eed </w:t>
            </w:r>
            <w:r>
              <w:rPr>
                <w:i/>
                <w:sz w:val="18"/>
                <w:lang w:eastAsia="zh-CN"/>
              </w:rPr>
              <w:t>ethanol</w:t>
            </w:r>
            <w:r>
              <w:rPr>
                <w:rFonts w:hint="eastAsia"/>
                <w:i/>
                <w:sz w:val="18"/>
                <w:lang w:eastAsia="zh-CN"/>
              </w:rPr>
              <w:t xml:space="preserve"> and DME as co-blowing agent </w:t>
            </w:r>
          </w:p>
        </w:tc>
      </w:tr>
    </w:tbl>
    <w:p w14:paraId="740BE419" w14:textId="77777777" w:rsidR="00F40ECE" w:rsidRPr="00024AE5" w:rsidRDefault="00F40ECE" w:rsidP="00F40ECE">
      <w:pPr>
        <w:jc w:val="both"/>
        <w:rPr>
          <w:sz w:val="8"/>
          <w:szCs w:val="8"/>
          <w:lang w:eastAsia="ja-JP"/>
        </w:rPr>
      </w:pPr>
    </w:p>
    <w:p w14:paraId="073A8E6B" w14:textId="77777777" w:rsidR="00F40ECE" w:rsidRPr="00123C7D" w:rsidRDefault="00F40ECE" w:rsidP="00F40ECE">
      <w:pPr>
        <w:jc w:val="center"/>
        <w:rPr>
          <w:b/>
        </w:rPr>
      </w:pPr>
      <w:r>
        <w:rPr>
          <w:b/>
          <w:i/>
        </w:rPr>
        <w:t>Table 26</w:t>
      </w:r>
      <w:r w:rsidRPr="00123C7D">
        <w:rPr>
          <w:b/>
          <w:i/>
        </w:rPr>
        <w:t>: Assessment of selection criteria for ODS alte</w:t>
      </w:r>
      <w:r>
        <w:rPr>
          <w:b/>
          <w:i/>
        </w:rPr>
        <w:t>rnatives in the XPS Foam</w:t>
      </w:r>
      <w:r w:rsidRPr="00123C7D">
        <w:rPr>
          <w:b/>
          <w:i/>
        </w:rPr>
        <w:t xml:space="preserve"> Sector</w:t>
      </w:r>
    </w:p>
    <w:p w14:paraId="6C7651BF" w14:textId="77777777" w:rsidR="00F40ECE" w:rsidRPr="00024AE5" w:rsidRDefault="00F40ECE" w:rsidP="00F40ECE">
      <w:pPr>
        <w:jc w:val="both"/>
        <w:rPr>
          <w:sz w:val="12"/>
          <w:szCs w:val="12"/>
          <w:lang w:eastAsia="ja-JP"/>
        </w:rPr>
      </w:pPr>
    </w:p>
    <w:p w14:paraId="122AF30B" w14:textId="77777777" w:rsidR="00F40ECE" w:rsidRDefault="00F40ECE" w:rsidP="00F40ECE">
      <w:pPr>
        <w:jc w:val="both"/>
        <w:rPr>
          <w:lang w:eastAsia="ja-JP"/>
        </w:rPr>
      </w:pPr>
      <w:r>
        <w:rPr>
          <w:lang w:eastAsia="ja-JP"/>
        </w:rPr>
        <w:t>As described earlier in this section, these three alternatives describe the primary options available in each of the three main non-Article 5 regions of the world. It should be noted that blends of saturated HFCs (HFC-134a/HFC-152a) are substantially used in North America and, to a lesser extent, in Europe, primarily by smaller producers who do not have the access to CO</w:t>
      </w:r>
      <w:r>
        <w:rPr>
          <w:vertAlign w:val="subscript"/>
          <w:lang w:eastAsia="ja-JP"/>
        </w:rPr>
        <w:t>2</w:t>
      </w:r>
      <w:r>
        <w:rPr>
          <w:lang w:eastAsia="ja-JP"/>
        </w:rPr>
        <w:t xml:space="preserve"> technology. Where they are used in Japan, they serve markets that cannot accept the flammability of hydrocarbon solutions. The assessment of these blowing agents via the criteria of this report is shown in Table 27: </w:t>
      </w:r>
    </w:p>
    <w:p w14:paraId="14BA9AC8" w14:textId="77777777" w:rsidR="00F40ECE" w:rsidRPr="009679AB" w:rsidRDefault="00F40ECE" w:rsidP="00F40ECE">
      <w:pPr>
        <w:ind w:left="360"/>
        <w:jc w:val="both"/>
        <w:rPr>
          <w:sz w:val="16"/>
          <w:szCs w:val="16"/>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092"/>
        <w:gridCol w:w="1176"/>
        <w:gridCol w:w="1743"/>
      </w:tblGrid>
      <w:tr w:rsidR="00F40ECE" w14:paraId="152306B6" w14:textId="77777777" w:rsidTr="00F40ECE">
        <w:trPr>
          <w:jc w:val="center"/>
        </w:trPr>
        <w:tc>
          <w:tcPr>
            <w:tcW w:w="2127" w:type="dxa"/>
            <w:shd w:val="clear" w:color="auto" w:fill="D9D9D9" w:themeFill="background1" w:themeFillShade="D9"/>
          </w:tcPr>
          <w:p w14:paraId="55D09D75" w14:textId="77777777" w:rsidR="00F40ECE" w:rsidRDefault="00F40ECE" w:rsidP="001769CA">
            <w:pPr>
              <w:keepNext/>
              <w:rPr>
                <w:lang w:eastAsia="ja-JP"/>
              </w:rPr>
            </w:pPr>
          </w:p>
        </w:tc>
        <w:tc>
          <w:tcPr>
            <w:tcW w:w="1092" w:type="dxa"/>
            <w:shd w:val="clear" w:color="auto" w:fill="D9D9D9" w:themeFill="background1" w:themeFillShade="D9"/>
            <w:vAlign w:val="center"/>
          </w:tcPr>
          <w:p w14:paraId="3F357130" w14:textId="77777777" w:rsidR="00F40ECE" w:rsidRDefault="00F40ECE" w:rsidP="001769CA">
            <w:pPr>
              <w:keepNext/>
              <w:ind w:hanging="108"/>
              <w:rPr>
                <w:rFonts w:ascii="Calibri" w:hAnsi="Calibri"/>
                <w:b/>
                <w:i/>
                <w:sz w:val="20"/>
                <w:lang w:eastAsia="ja-JP"/>
              </w:rPr>
            </w:pPr>
            <w:r>
              <w:rPr>
                <w:rFonts w:ascii="Calibri" w:hAnsi="Calibri"/>
                <w:b/>
                <w:i/>
                <w:sz w:val="20"/>
                <w:lang w:eastAsia="ja-JP"/>
              </w:rPr>
              <w:t xml:space="preserve">     butane</w:t>
            </w:r>
          </w:p>
        </w:tc>
        <w:tc>
          <w:tcPr>
            <w:tcW w:w="1176" w:type="dxa"/>
            <w:shd w:val="clear" w:color="auto" w:fill="D9D9D9" w:themeFill="background1" w:themeFillShade="D9"/>
            <w:vAlign w:val="center"/>
          </w:tcPr>
          <w:p w14:paraId="0044168F" w14:textId="77777777" w:rsidR="00F40ECE" w:rsidRDefault="00F40ECE" w:rsidP="001769CA">
            <w:pPr>
              <w:keepNext/>
              <w:jc w:val="center"/>
              <w:rPr>
                <w:rFonts w:ascii="Calibri" w:hAnsi="Calibri"/>
                <w:b/>
                <w:i/>
                <w:sz w:val="20"/>
                <w:lang w:eastAsia="ja-JP"/>
              </w:rPr>
            </w:pPr>
            <w:r>
              <w:rPr>
                <w:rFonts w:ascii="Calibri" w:hAnsi="Calibri"/>
                <w:b/>
                <w:i/>
                <w:sz w:val="20"/>
                <w:lang w:eastAsia="ja-JP"/>
              </w:rPr>
              <w:t>HFC-134a/</w:t>
            </w:r>
          </w:p>
          <w:p w14:paraId="4F221070" w14:textId="77777777" w:rsidR="00F40ECE" w:rsidRDefault="00F40ECE" w:rsidP="001769CA">
            <w:pPr>
              <w:keepNext/>
              <w:jc w:val="center"/>
              <w:rPr>
                <w:rFonts w:ascii="Calibri" w:hAnsi="Calibri"/>
                <w:b/>
                <w:i/>
                <w:sz w:val="20"/>
                <w:lang w:eastAsia="ja-JP"/>
              </w:rPr>
            </w:pPr>
            <w:r>
              <w:rPr>
                <w:rFonts w:ascii="Calibri" w:hAnsi="Calibri"/>
                <w:b/>
                <w:i/>
                <w:sz w:val="20"/>
                <w:lang w:eastAsia="ja-JP"/>
              </w:rPr>
              <w:t>HFC-152a</w:t>
            </w:r>
          </w:p>
        </w:tc>
        <w:tc>
          <w:tcPr>
            <w:tcW w:w="1743" w:type="dxa"/>
            <w:shd w:val="clear" w:color="auto" w:fill="D9D9D9" w:themeFill="background1" w:themeFillShade="D9"/>
            <w:vAlign w:val="center"/>
          </w:tcPr>
          <w:p w14:paraId="68DD8422" w14:textId="77777777" w:rsidR="00F40ECE" w:rsidRDefault="00F40ECE" w:rsidP="001769CA">
            <w:pPr>
              <w:keepNext/>
              <w:jc w:val="center"/>
              <w:rPr>
                <w:rFonts w:ascii="Calibri" w:hAnsi="Calibri"/>
                <w:b/>
                <w:i/>
                <w:sz w:val="20"/>
                <w:lang w:eastAsia="ja-JP"/>
              </w:rPr>
            </w:pPr>
            <w:r>
              <w:rPr>
                <w:rFonts w:ascii="Calibri" w:hAnsi="Calibri"/>
                <w:b/>
                <w:i/>
                <w:sz w:val="20"/>
                <w:lang w:eastAsia="ja-JP"/>
              </w:rPr>
              <w:t>CO</w:t>
            </w:r>
            <w:r>
              <w:rPr>
                <w:rFonts w:ascii="Calibri" w:hAnsi="Calibri"/>
                <w:b/>
                <w:i/>
                <w:sz w:val="20"/>
                <w:vertAlign w:val="subscript"/>
                <w:lang w:eastAsia="ja-JP"/>
              </w:rPr>
              <w:t xml:space="preserve">2 </w:t>
            </w:r>
            <w:r>
              <w:rPr>
                <w:rFonts w:ascii="Calibri" w:hAnsi="Calibri"/>
                <w:b/>
                <w:i/>
                <w:sz w:val="20"/>
                <w:lang w:eastAsia="ja-JP"/>
              </w:rPr>
              <w:t>with ethanol or DME</w:t>
            </w:r>
          </w:p>
        </w:tc>
      </w:tr>
      <w:tr w:rsidR="00F40ECE" w14:paraId="21A8E3A8" w14:textId="77777777" w:rsidTr="001769CA">
        <w:trPr>
          <w:trHeight w:hRule="exact" w:val="113"/>
          <w:jc w:val="center"/>
        </w:trPr>
        <w:tc>
          <w:tcPr>
            <w:tcW w:w="2127" w:type="dxa"/>
          </w:tcPr>
          <w:p w14:paraId="7BC53F58" w14:textId="77777777" w:rsidR="00F40ECE" w:rsidRDefault="00F40ECE" w:rsidP="001769CA">
            <w:pPr>
              <w:keepNext/>
              <w:rPr>
                <w:rFonts w:ascii="Calibri" w:hAnsi="Calibri"/>
                <w:sz w:val="20"/>
                <w:lang w:eastAsia="ja-JP"/>
              </w:rPr>
            </w:pPr>
          </w:p>
        </w:tc>
        <w:tc>
          <w:tcPr>
            <w:tcW w:w="1092" w:type="dxa"/>
          </w:tcPr>
          <w:p w14:paraId="591BFAE5" w14:textId="77777777" w:rsidR="00F40ECE" w:rsidRDefault="00F40ECE" w:rsidP="001769CA">
            <w:pPr>
              <w:keepNext/>
              <w:rPr>
                <w:rFonts w:ascii="Calibri" w:hAnsi="Calibri"/>
                <w:sz w:val="20"/>
                <w:lang w:eastAsia="ja-JP"/>
              </w:rPr>
            </w:pPr>
          </w:p>
        </w:tc>
        <w:tc>
          <w:tcPr>
            <w:tcW w:w="1176" w:type="dxa"/>
          </w:tcPr>
          <w:p w14:paraId="2174FAA3" w14:textId="77777777" w:rsidR="00F40ECE" w:rsidRDefault="00F40ECE" w:rsidP="001769CA">
            <w:pPr>
              <w:keepNext/>
              <w:rPr>
                <w:rFonts w:ascii="Calibri" w:hAnsi="Calibri"/>
                <w:sz w:val="20"/>
                <w:lang w:eastAsia="ja-JP"/>
              </w:rPr>
            </w:pPr>
          </w:p>
        </w:tc>
        <w:tc>
          <w:tcPr>
            <w:tcW w:w="1743" w:type="dxa"/>
          </w:tcPr>
          <w:p w14:paraId="1FBFF1B8" w14:textId="77777777" w:rsidR="00F40ECE" w:rsidRDefault="00F40ECE" w:rsidP="001769CA">
            <w:pPr>
              <w:keepNext/>
              <w:rPr>
                <w:rFonts w:ascii="Calibri" w:hAnsi="Calibri"/>
                <w:sz w:val="20"/>
                <w:lang w:eastAsia="ja-JP"/>
              </w:rPr>
            </w:pPr>
          </w:p>
        </w:tc>
      </w:tr>
      <w:tr w:rsidR="00F40ECE" w14:paraId="1CA8C986" w14:textId="77777777" w:rsidTr="001769CA">
        <w:trPr>
          <w:jc w:val="center"/>
        </w:trPr>
        <w:tc>
          <w:tcPr>
            <w:tcW w:w="2127" w:type="dxa"/>
          </w:tcPr>
          <w:p w14:paraId="67326644" w14:textId="77777777" w:rsidR="00F40ECE" w:rsidRDefault="00F40ECE" w:rsidP="001769CA">
            <w:pPr>
              <w:keepNext/>
              <w:rPr>
                <w:rFonts w:ascii="Calibri" w:hAnsi="Calibri"/>
                <w:sz w:val="20"/>
                <w:lang w:eastAsia="ja-JP"/>
              </w:rPr>
            </w:pPr>
            <w:r>
              <w:rPr>
                <w:rFonts w:ascii="Calibri" w:hAnsi="Calibri"/>
                <w:sz w:val="20"/>
                <w:lang w:eastAsia="ja-JP"/>
              </w:rPr>
              <w:t>Proof of performance</w:t>
            </w:r>
          </w:p>
        </w:tc>
        <w:tc>
          <w:tcPr>
            <w:tcW w:w="1092" w:type="dxa"/>
          </w:tcPr>
          <w:p w14:paraId="138A2E6D"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c>
          <w:tcPr>
            <w:tcW w:w="1176" w:type="dxa"/>
          </w:tcPr>
          <w:p w14:paraId="3723B868"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c>
          <w:tcPr>
            <w:tcW w:w="1743" w:type="dxa"/>
          </w:tcPr>
          <w:p w14:paraId="70663915"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r>
      <w:tr w:rsidR="00F40ECE" w14:paraId="63E578AD" w14:textId="77777777" w:rsidTr="001769CA">
        <w:trPr>
          <w:jc w:val="center"/>
        </w:trPr>
        <w:tc>
          <w:tcPr>
            <w:tcW w:w="2127" w:type="dxa"/>
          </w:tcPr>
          <w:p w14:paraId="1247ECEE" w14:textId="77777777" w:rsidR="00F40ECE" w:rsidRDefault="00F40ECE" w:rsidP="001769CA">
            <w:pPr>
              <w:keepNext/>
              <w:rPr>
                <w:rFonts w:ascii="Calibri" w:hAnsi="Calibri"/>
                <w:sz w:val="20"/>
                <w:lang w:eastAsia="ja-JP"/>
              </w:rPr>
            </w:pPr>
            <w:r>
              <w:rPr>
                <w:rFonts w:ascii="Calibri" w:hAnsi="Calibri"/>
                <w:sz w:val="20"/>
                <w:lang w:eastAsia="ja-JP"/>
              </w:rPr>
              <w:t>Flammability</w:t>
            </w:r>
          </w:p>
        </w:tc>
        <w:tc>
          <w:tcPr>
            <w:tcW w:w="1092" w:type="dxa"/>
          </w:tcPr>
          <w:p w14:paraId="6C59125E"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c>
          <w:tcPr>
            <w:tcW w:w="1176" w:type="dxa"/>
          </w:tcPr>
          <w:p w14:paraId="30228AEC"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c>
          <w:tcPr>
            <w:tcW w:w="1743" w:type="dxa"/>
          </w:tcPr>
          <w:p w14:paraId="3838536E"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r>
      <w:tr w:rsidR="00F40ECE" w14:paraId="0F617EB8" w14:textId="77777777" w:rsidTr="001769CA">
        <w:trPr>
          <w:jc w:val="center"/>
        </w:trPr>
        <w:tc>
          <w:tcPr>
            <w:tcW w:w="2127" w:type="dxa"/>
          </w:tcPr>
          <w:p w14:paraId="75537D41" w14:textId="77777777" w:rsidR="00F40ECE" w:rsidRDefault="00F40ECE" w:rsidP="001769CA">
            <w:pPr>
              <w:keepNext/>
              <w:rPr>
                <w:rFonts w:ascii="Calibri" w:hAnsi="Calibri"/>
                <w:sz w:val="20"/>
                <w:lang w:eastAsia="ja-JP"/>
              </w:rPr>
            </w:pPr>
            <w:r>
              <w:rPr>
                <w:rFonts w:ascii="Calibri" w:hAnsi="Calibri"/>
                <w:sz w:val="20"/>
                <w:lang w:eastAsia="ja-JP"/>
              </w:rPr>
              <w:t>Other Health &amp; Safety</w:t>
            </w:r>
          </w:p>
        </w:tc>
        <w:tc>
          <w:tcPr>
            <w:tcW w:w="1092" w:type="dxa"/>
          </w:tcPr>
          <w:p w14:paraId="1EF922D9" w14:textId="77777777" w:rsidR="00F40ECE" w:rsidRDefault="00F40ECE" w:rsidP="001769CA">
            <w:pPr>
              <w:keepNext/>
              <w:jc w:val="center"/>
              <w:rPr>
                <w:rFonts w:ascii="Calibri" w:hAnsi="Calibri"/>
                <w:sz w:val="20"/>
                <w:lang w:eastAsia="ja-JP"/>
              </w:rPr>
            </w:pPr>
            <w:r>
              <w:rPr>
                <w:rFonts w:ascii="Calibri" w:hAnsi="Calibri"/>
                <w:sz w:val="20"/>
                <w:lang w:eastAsia="ja-JP"/>
              </w:rPr>
              <w:t>0</w:t>
            </w:r>
          </w:p>
        </w:tc>
        <w:tc>
          <w:tcPr>
            <w:tcW w:w="1176" w:type="dxa"/>
          </w:tcPr>
          <w:p w14:paraId="56BA989A"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c>
          <w:tcPr>
            <w:tcW w:w="1743" w:type="dxa"/>
          </w:tcPr>
          <w:p w14:paraId="4F7D2782" w14:textId="77777777" w:rsidR="00F40ECE" w:rsidRDefault="00F40ECE" w:rsidP="001769CA">
            <w:pPr>
              <w:keepNext/>
              <w:jc w:val="center"/>
              <w:rPr>
                <w:rFonts w:ascii="Calibri" w:hAnsi="Calibri"/>
                <w:sz w:val="20"/>
                <w:lang w:eastAsia="ja-JP"/>
              </w:rPr>
            </w:pPr>
            <w:r>
              <w:rPr>
                <w:rFonts w:ascii="Calibri" w:hAnsi="Calibri"/>
                <w:sz w:val="20"/>
                <w:lang w:eastAsia="ja-JP"/>
              </w:rPr>
              <w:t>+</w:t>
            </w:r>
          </w:p>
        </w:tc>
      </w:tr>
      <w:tr w:rsidR="00F40ECE" w14:paraId="7A094C80" w14:textId="77777777" w:rsidTr="001769CA">
        <w:trPr>
          <w:jc w:val="center"/>
        </w:trPr>
        <w:tc>
          <w:tcPr>
            <w:tcW w:w="2127" w:type="dxa"/>
          </w:tcPr>
          <w:p w14:paraId="2A47202D" w14:textId="77777777" w:rsidR="00F40ECE" w:rsidRDefault="00F40ECE" w:rsidP="001769CA">
            <w:pPr>
              <w:rPr>
                <w:rFonts w:ascii="Calibri" w:hAnsi="Calibri"/>
                <w:sz w:val="20"/>
                <w:lang w:eastAsia="ja-JP"/>
              </w:rPr>
            </w:pPr>
            <w:r>
              <w:rPr>
                <w:rFonts w:ascii="Calibri" w:hAnsi="Calibri"/>
                <w:sz w:val="20"/>
                <w:lang w:eastAsia="ja-JP"/>
              </w:rPr>
              <w:t>Global Warming</w:t>
            </w:r>
          </w:p>
        </w:tc>
        <w:tc>
          <w:tcPr>
            <w:tcW w:w="1092" w:type="dxa"/>
          </w:tcPr>
          <w:p w14:paraId="05AA3532"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176" w:type="dxa"/>
          </w:tcPr>
          <w:p w14:paraId="6DC76048" w14:textId="6D7C8E6C" w:rsidR="00F40ECE" w:rsidRDefault="00F40ECE" w:rsidP="001769CA">
            <w:pPr>
              <w:jc w:val="center"/>
              <w:rPr>
                <w:rFonts w:ascii="Calibri" w:hAnsi="Calibri"/>
                <w:sz w:val="20"/>
                <w:lang w:eastAsia="ja-JP"/>
              </w:rPr>
            </w:pPr>
            <w:r>
              <w:rPr>
                <w:rFonts w:ascii="Calibri" w:hAnsi="Calibri"/>
                <w:sz w:val="20"/>
                <w:lang w:eastAsia="ja-JP"/>
              </w:rPr>
              <w:t>--</w:t>
            </w:r>
          </w:p>
        </w:tc>
        <w:tc>
          <w:tcPr>
            <w:tcW w:w="1743" w:type="dxa"/>
          </w:tcPr>
          <w:p w14:paraId="14C58EF0"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7012F59A" w14:textId="77777777" w:rsidTr="001769CA">
        <w:trPr>
          <w:jc w:val="center"/>
        </w:trPr>
        <w:tc>
          <w:tcPr>
            <w:tcW w:w="2127" w:type="dxa"/>
          </w:tcPr>
          <w:p w14:paraId="51C8B6FF" w14:textId="77777777" w:rsidR="00F40ECE" w:rsidRDefault="00F40ECE" w:rsidP="001769CA">
            <w:pPr>
              <w:rPr>
                <w:rFonts w:ascii="Calibri" w:hAnsi="Calibri"/>
                <w:sz w:val="20"/>
                <w:lang w:eastAsia="ja-JP"/>
              </w:rPr>
            </w:pPr>
            <w:r>
              <w:rPr>
                <w:rFonts w:ascii="Calibri" w:hAnsi="Calibri"/>
                <w:sz w:val="20"/>
                <w:lang w:eastAsia="ja-JP"/>
              </w:rPr>
              <w:t>Other Environmental</w:t>
            </w:r>
          </w:p>
        </w:tc>
        <w:tc>
          <w:tcPr>
            <w:tcW w:w="1092" w:type="dxa"/>
          </w:tcPr>
          <w:p w14:paraId="1C212F14"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176" w:type="dxa"/>
          </w:tcPr>
          <w:p w14:paraId="4017CEF5" w14:textId="77777777" w:rsidR="00F40ECE" w:rsidRDefault="00F40ECE" w:rsidP="001769CA">
            <w:pPr>
              <w:jc w:val="center"/>
              <w:rPr>
                <w:rFonts w:ascii="Calibri" w:hAnsi="Calibri"/>
                <w:sz w:val="20"/>
                <w:lang w:eastAsia="ja-JP"/>
              </w:rPr>
            </w:pPr>
            <w:r>
              <w:rPr>
                <w:rFonts w:ascii="Calibri" w:hAnsi="Calibri"/>
                <w:sz w:val="20"/>
                <w:lang w:eastAsia="ja-JP"/>
              </w:rPr>
              <w:t>0</w:t>
            </w:r>
          </w:p>
        </w:tc>
        <w:tc>
          <w:tcPr>
            <w:tcW w:w="1743" w:type="dxa"/>
          </w:tcPr>
          <w:p w14:paraId="6C6B6BC9" w14:textId="77777777" w:rsidR="00F40ECE" w:rsidRDefault="00F40ECE" w:rsidP="001769CA">
            <w:pPr>
              <w:jc w:val="center"/>
              <w:rPr>
                <w:rFonts w:ascii="Calibri" w:hAnsi="Calibri"/>
                <w:sz w:val="20"/>
                <w:lang w:eastAsia="ja-JP"/>
              </w:rPr>
            </w:pPr>
            <w:r>
              <w:rPr>
                <w:rFonts w:ascii="Calibri" w:hAnsi="Calibri"/>
                <w:sz w:val="20"/>
                <w:lang w:eastAsia="ja-JP"/>
              </w:rPr>
              <w:t>0</w:t>
            </w:r>
          </w:p>
        </w:tc>
      </w:tr>
      <w:tr w:rsidR="00F40ECE" w14:paraId="52BD6DBC" w14:textId="77777777" w:rsidTr="001769CA">
        <w:trPr>
          <w:jc w:val="center"/>
        </w:trPr>
        <w:tc>
          <w:tcPr>
            <w:tcW w:w="2127" w:type="dxa"/>
          </w:tcPr>
          <w:p w14:paraId="22651141" w14:textId="77777777" w:rsidR="00F40ECE" w:rsidRDefault="00F40ECE" w:rsidP="001769CA">
            <w:pPr>
              <w:rPr>
                <w:rFonts w:ascii="Calibri" w:hAnsi="Calibri"/>
                <w:sz w:val="20"/>
                <w:lang w:eastAsia="ja-JP"/>
              </w:rPr>
            </w:pPr>
            <w:r>
              <w:rPr>
                <w:rFonts w:ascii="Calibri" w:hAnsi="Calibri"/>
                <w:sz w:val="20"/>
                <w:lang w:eastAsia="ja-JP"/>
              </w:rPr>
              <w:t>Cost Effectiveness (C)</w:t>
            </w:r>
          </w:p>
        </w:tc>
        <w:tc>
          <w:tcPr>
            <w:tcW w:w="1092" w:type="dxa"/>
          </w:tcPr>
          <w:p w14:paraId="1A53AB47"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176" w:type="dxa"/>
          </w:tcPr>
          <w:p w14:paraId="16DE9345"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743" w:type="dxa"/>
          </w:tcPr>
          <w:p w14:paraId="73C474B0"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08E19550" w14:textId="77777777" w:rsidTr="001769CA">
        <w:trPr>
          <w:jc w:val="center"/>
        </w:trPr>
        <w:tc>
          <w:tcPr>
            <w:tcW w:w="2127" w:type="dxa"/>
          </w:tcPr>
          <w:p w14:paraId="4827B16B" w14:textId="77777777" w:rsidR="00F40ECE" w:rsidRDefault="00F40ECE" w:rsidP="001769CA">
            <w:pPr>
              <w:rPr>
                <w:rFonts w:ascii="Calibri" w:hAnsi="Calibri"/>
                <w:sz w:val="20"/>
                <w:lang w:eastAsia="ja-JP"/>
              </w:rPr>
            </w:pPr>
            <w:r>
              <w:rPr>
                <w:rFonts w:ascii="Calibri" w:hAnsi="Calibri"/>
                <w:sz w:val="20"/>
                <w:lang w:eastAsia="ja-JP"/>
              </w:rPr>
              <w:t>Cost Effectiveness (O)</w:t>
            </w:r>
          </w:p>
        </w:tc>
        <w:tc>
          <w:tcPr>
            <w:tcW w:w="1092" w:type="dxa"/>
          </w:tcPr>
          <w:p w14:paraId="35CE33D5"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176" w:type="dxa"/>
          </w:tcPr>
          <w:p w14:paraId="42A743AD"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743" w:type="dxa"/>
          </w:tcPr>
          <w:p w14:paraId="25DC20C3"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1933B4C5" w14:textId="77777777" w:rsidTr="001769CA">
        <w:trPr>
          <w:jc w:val="center"/>
        </w:trPr>
        <w:tc>
          <w:tcPr>
            <w:tcW w:w="2127" w:type="dxa"/>
          </w:tcPr>
          <w:p w14:paraId="5129C194" w14:textId="77777777" w:rsidR="00F40ECE" w:rsidRDefault="00F40ECE" w:rsidP="001769CA">
            <w:pPr>
              <w:rPr>
                <w:rFonts w:ascii="Calibri" w:hAnsi="Calibri"/>
                <w:sz w:val="20"/>
                <w:lang w:eastAsia="ja-JP"/>
              </w:rPr>
            </w:pPr>
            <w:r>
              <w:rPr>
                <w:rFonts w:ascii="Calibri" w:hAnsi="Calibri"/>
                <w:sz w:val="20"/>
                <w:lang w:eastAsia="ja-JP"/>
              </w:rPr>
              <w:t>Process Versatility</w:t>
            </w:r>
          </w:p>
        </w:tc>
        <w:tc>
          <w:tcPr>
            <w:tcW w:w="1092" w:type="dxa"/>
          </w:tcPr>
          <w:p w14:paraId="49F4285A"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176" w:type="dxa"/>
          </w:tcPr>
          <w:p w14:paraId="36BCD984" w14:textId="77777777" w:rsidR="00F40ECE" w:rsidRDefault="00F40ECE" w:rsidP="001769CA">
            <w:pPr>
              <w:jc w:val="center"/>
              <w:rPr>
                <w:rFonts w:ascii="Calibri" w:hAnsi="Calibri"/>
                <w:sz w:val="20"/>
                <w:lang w:eastAsia="ja-JP"/>
              </w:rPr>
            </w:pPr>
            <w:r>
              <w:rPr>
                <w:rFonts w:ascii="Calibri" w:hAnsi="Calibri"/>
                <w:sz w:val="20"/>
                <w:lang w:eastAsia="ja-JP"/>
              </w:rPr>
              <w:t>++</w:t>
            </w:r>
          </w:p>
        </w:tc>
        <w:tc>
          <w:tcPr>
            <w:tcW w:w="1743" w:type="dxa"/>
          </w:tcPr>
          <w:p w14:paraId="05F1681C" w14:textId="77777777" w:rsidR="00F40ECE" w:rsidRDefault="00F40ECE" w:rsidP="001769CA">
            <w:pPr>
              <w:jc w:val="center"/>
              <w:rPr>
                <w:rFonts w:ascii="Calibri" w:hAnsi="Calibri"/>
                <w:sz w:val="20"/>
                <w:lang w:eastAsia="ja-JP"/>
              </w:rPr>
            </w:pPr>
            <w:r>
              <w:rPr>
                <w:rFonts w:ascii="Calibri" w:hAnsi="Calibri"/>
                <w:sz w:val="20"/>
                <w:lang w:eastAsia="ja-JP"/>
              </w:rPr>
              <w:t>+</w:t>
            </w:r>
          </w:p>
        </w:tc>
      </w:tr>
    </w:tbl>
    <w:p w14:paraId="6FAA9EB0" w14:textId="77777777" w:rsidR="00123C7D" w:rsidRPr="00024AE5" w:rsidRDefault="00F40ECE" w:rsidP="00F40ECE">
      <w:pPr>
        <w:jc w:val="both"/>
        <w:rPr>
          <w:sz w:val="8"/>
          <w:szCs w:val="8"/>
        </w:rPr>
      </w:pPr>
      <w:r>
        <w:t xml:space="preserve">   </w:t>
      </w:r>
    </w:p>
    <w:p w14:paraId="7F96BDD2" w14:textId="77777777" w:rsidR="00F40ECE" w:rsidRPr="00123C7D" w:rsidRDefault="00F40ECE" w:rsidP="00F40ECE">
      <w:pPr>
        <w:spacing w:line="259" w:lineRule="auto"/>
        <w:jc w:val="center"/>
        <w:rPr>
          <w:b/>
          <w:i/>
        </w:rPr>
      </w:pPr>
      <w:r>
        <w:rPr>
          <w:b/>
          <w:i/>
        </w:rPr>
        <w:t>Table 27</w:t>
      </w:r>
      <w:r w:rsidRPr="00123C7D">
        <w:rPr>
          <w:b/>
          <w:i/>
        </w:rPr>
        <w:t>: Indicative assessment of criteria for emerging alte</w:t>
      </w:r>
      <w:r>
        <w:rPr>
          <w:b/>
          <w:i/>
        </w:rPr>
        <w:t>rnatives in the XPS Foam</w:t>
      </w:r>
      <w:r w:rsidRPr="00123C7D">
        <w:rPr>
          <w:b/>
          <w:i/>
        </w:rPr>
        <w:t xml:space="preserve"> Sector</w:t>
      </w:r>
    </w:p>
    <w:p w14:paraId="54FD131B" w14:textId="77777777" w:rsidR="00F40ECE" w:rsidRDefault="00F40ECE" w:rsidP="00F40ECE">
      <w:pPr>
        <w:pStyle w:val="Heading4"/>
      </w:pPr>
      <w:r>
        <w:lastRenderedPageBreak/>
        <w:t>Emerging Alternatives</w:t>
      </w:r>
    </w:p>
    <w:p w14:paraId="0BD2C95B" w14:textId="77777777" w:rsidR="00F40ECE" w:rsidRDefault="00F40ECE" w:rsidP="00F40ECE">
      <w:pPr>
        <w:pStyle w:val="Heading4"/>
        <w:rPr>
          <w:sz w:val="8"/>
          <w:szCs w:val="8"/>
        </w:rPr>
      </w:pPr>
    </w:p>
    <w:p w14:paraId="308353AB" w14:textId="77777777" w:rsidR="00F40ECE" w:rsidRDefault="00F40ECE" w:rsidP="00F40ECE">
      <w:r>
        <w:t xml:space="preserve">Table 28 sets out the most commonly cited emerging alternative for XPS Foam </w:t>
      </w:r>
    </w:p>
    <w:p w14:paraId="392D9605" w14:textId="77777777" w:rsidR="00F40ECE" w:rsidRPr="00F40ECE" w:rsidRDefault="00F40ECE" w:rsidP="00F40EC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1979"/>
        <w:gridCol w:w="2671"/>
      </w:tblGrid>
      <w:tr w:rsidR="00F40ECE" w14:paraId="6BDF27FC" w14:textId="77777777" w:rsidTr="001769CA">
        <w:trPr>
          <w:cantSplit/>
        </w:trPr>
        <w:tc>
          <w:tcPr>
            <w:tcW w:w="9214" w:type="dxa"/>
            <w:gridSpan w:val="4"/>
            <w:tcBorders>
              <w:top w:val="single" w:sz="4" w:space="0" w:color="auto"/>
            </w:tcBorders>
            <w:shd w:val="clear" w:color="auto" w:fill="FFFFFF"/>
            <w:vAlign w:val="center"/>
          </w:tcPr>
          <w:p w14:paraId="24E121EC" w14:textId="77777777" w:rsidR="00F40ECE" w:rsidRDefault="00F40ECE" w:rsidP="00F40ECE">
            <w:pPr>
              <w:numPr>
                <w:ilvl w:val="0"/>
                <w:numId w:val="6"/>
              </w:numPr>
              <w:jc w:val="center"/>
              <w:rPr>
                <w:b/>
                <w:i/>
                <w:lang w:eastAsia="es-ES"/>
              </w:rPr>
            </w:pPr>
            <w:r>
              <w:rPr>
                <w:b/>
                <w:i/>
                <w:lang w:eastAsia="es-ES"/>
              </w:rPr>
              <w:t>HCFC REPLACEMENT OPTIONS FOR XPS FOAM</w:t>
            </w:r>
          </w:p>
        </w:tc>
      </w:tr>
      <w:tr w:rsidR="00F40ECE" w14:paraId="2648B71C" w14:textId="77777777" w:rsidTr="001769CA">
        <w:trPr>
          <w:cantSplit/>
        </w:trPr>
        <w:tc>
          <w:tcPr>
            <w:tcW w:w="2585" w:type="dxa"/>
            <w:shd w:val="clear" w:color="auto" w:fill="FFFFFF"/>
            <w:vAlign w:val="center"/>
          </w:tcPr>
          <w:p w14:paraId="6B0DD2CC" w14:textId="77777777" w:rsidR="00F40ECE" w:rsidRDefault="00F40ECE" w:rsidP="001769CA">
            <w:pPr>
              <w:tabs>
                <w:tab w:val="left" w:pos="3544"/>
              </w:tabs>
              <w:spacing w:before="120" w:after="120"/>
              <w:ind w:right="-75"/>
              <w:jc w:val="center"/>
              <w:rPr>
                <w:b/>
                <w:sz w:val="18"/>
              </w:rPr>
            </w:pPr>
            <w:r>
              <w:rPr>
                <w:b/>
                <w:sz w:val="18"/>
              </w:rPr>
              <w:t>SECTOR/OPTION</w:t>
            </w:r>
          </w:p>
        </w:tc>
        <w:tc>
          <w:tcPr>
            <w:tcW w:w="1979" w:type="dxa"/>
            <w:shd w:val="clear" w:color="auto" w:fill="FFFFFF"/>
            <w:vAlign w:val="center"/>
          </w:tcPr>
          <w:p w14:paraId="0C5CDDD0" w14:textId="77777777" w:rsidR="00F40ECE" w:rsidRDefault="00F40ECE" w:rsidP="001769CA">
            <w:pPr>
              <w:keepNext/>
              <w:widowControl w:val="0"/>
              <w:tabs>
                <w:tab w:val="left" w:pos="1080"/>
                <w:tab w:val="left" w:pos="3544"/>
              </w:tabs>
              <w:spacing w:before="120" w:after="120"/>
              <w:jc w:val="center"/>
              <w:outlineLvl w:val="3"/>
              <w:rPr>
                <w:b/>
                <w:i/>
                <w:sz w:val="18"/>
              </w:rPr>
            </w:pPr>
            <w:r>
              <w:rPr>
                <w:b/>
                <w:i/>
                <w:sz w:val="18"/>
              </w:rPr>
              <w:t>PROS</w:t>
            </w:r>
          </w:p>
        </w:tc>
        <w:tc>
          <w:tcPr>
            <w:tcW w:w="1979" w:type="dxa"/>
            <w:shd w:val="clear" w:color="auto" w:fill="FFFFFF"/>
            <w:vAlign w:val="center"/>
          </w:tcPr>
          <w:p w14:paraId="61B63839" w14:textId="77777777" w:rsidR="00F40ECE" w:rsidRDefault="00F40ECE" w:rsidP="001769CA">
            <w:pPr>
              <w:keepNext/>
              <w:widowControl w:val="0"/>
              <w:tabs>
                <w:tab w:val="left" w:pos="1080"/>
                <w:tab w:val="left" w:pos="3544"/>
              </w:tabs>
              <w:spacing w:before="120" w:after="120"/>
              <w:jc w:val="center"/>
              <w:outlineLvl w:val="3"/>
              <w:rPr>
                <w:b/>
                <w:i/>
                <w:sz w:val="18"/>
              </w:rPr>
            </w:pPr>
            <w:r>
              <w:rPr>
                <w:b/>
                <w:i/>
                <w:sz w:val="18"/>
              </w:rPr>
              <w:t>CONS</w:t>
            </w:r>
          </w:p>
        </w:tc>
        <w:tc>
          <w:tcPr>
            <w:tcW w:w="2671" w:type="dxa"/>
            <w:shd w:val="clear" w:color="auto" w:fill="FFFFFF"/>
            <w:vAlign w:val="center"/>
          </w:tcPr>
          <w:p w14:paraId="2697BD5F" w14:textId="77777777" w:rsidR="00F40ECE" w:rsidRDefault="00F40ECE" w:rsidP="001769CA">
            <w:pPr>
              <w:keepNext/>
              <w:widowControl w:val="0"/>
              <w:tabs>
                <w:tab w:val="left" w:pos="1080"/>
                <w:tab w:val="left" w:pos="3544"/>
              </w:tabs>
              <w:spacing w:before="120" w:after="120"/>
              <w:jc w:val="center"/>
              <w:outlineLvl w:val="3"/>
              <w:rPr>
                <w:b/>
                <w:i/>
                <w:sz w:val="18"/>
              </w:rPr>
            </w:pPr>
            <w:r>
              <w:rPr>
                <w:b/>
                <w:i/>
                <w:sz w:val="18"/>
              </w:rPr>
              <w:t>COMMENTS</w:t>
            </w:r>
          </w:p>
        </w:tc>
      </w:tr>
      <w:tr w:rsidR="00F40ECE" w14:paraId="3E1CBC91" w14:textId="77777777" w:rsidTr="001769CA">
        <w:trPr>
          <w:cantSplit/>
        </w:trPr>
        <w:tc>
          <w:tcPr>
            <w:tcW w:w="9214" w:type="dxa"/>
            <w:gridSpan w:val="4"/>
            <w:shd w:val="clear" w:color="auto" w:fill="C0C0C0"/>
            <w:vAlign w:val="center"/>
          </w:tcPr>
          <w:p w14:paraId="4EA57F98" w14:textId="77777777" w:rsidR="00F40ECE" w:rsidRDefault="00F40ECE" w:rsidP="001769CA">
            <w:pPr>
              <w:rPr>
                <w:b/>
                <w:i/>
              </w:rPr>
            </w:pPr>
            <w:r>
              <w:rPr>
                <w:b/>
                <w:i/>
              </w:rPr>
              <w:t xml:space="preserve">Extruded Polystyrene Foams </w:t>
            </w:r>
          </w:p>
        </w:tc>
      </w:tr>
      <w:tr w:rsidR="00F40ECE" w14:paraId="357EC224" w14:textId="77777777" w:rsidTr="001769CA">
        <w:trPr>
          <w:cantSplit/>
        </w:trPr>
        <w:tc>
          <w:tcPr>
            <w:tcW w:w="2585" w:type="dxa"/>
            <w:vAlign w:val="center"/>
          </w:tcPr>
          <w:p w14:paraId="6F7AD20D" w14:textId="77777777" w:rsidR="00F40ECE" w:rsidRDefault="00F40ECE" w:rsidP="001769CA">
            <w:pPr>
              <w:tabs>
                <w:tab w:val="left" w:pos="3544"/>
              </w:tabs>
              <w:ind w:right="-75"/>
              <w:rPr>
                <w:sz w:val="18"/>
              </w:rPr>
            </w:pPr>
          </w:p>
        </w:tc>
        <w:tc>
          <w:tcPr>
            <w:tcW w:w="1979" w:type="dxa"/>
            <w:vAlign w:val="center"/>
          </w:tcPr>
          <w:p w14:paraId="55D93295" w14:textId="77777777" w:rsidR="00F40ECE" w:rsidRDefault="00F40ECE" w:rsidP="001769CA">
            <w:pPr>
              <w:keepNext/>
              <w:widowControl w:val="0"/>
              <w:tabs>
                <w:tab w:val="left" w:pos="1080"/>
                <w:tab w:val="left" w:pos="3544"/>
              </w:tabs>
              <w:jc w:val="both"/>
              <w:outlineLvl w:val="3"/>
              <w:rPr>
                <w:i/>
                <w:sz w:val="18"/>
              </w:rPr>
            </w:pPr>
          </w:p>
        </w:tc>
        <w:tc>
          <w:tcPr>
            <w:tcW w:w="1979" w:type="dxa"/>
            <w:vAlign w:val="center"/>
          </w:tcPr>
          <w:p w14:paraId="087673B2" w14:textId="77777777" w:rsidR="00F40ECE" w:rsidRDefault="00F40ECE" w:rsidP="001769CA">
            <w:pPr>
              <w:keepNext/>
              <w:widowControl w:val="0"/>
              <w:tabs>
                <w:tab w:val="left" w:pos="1080"/>
                <w:tab w:val="left" w:pos="3544"/>
              </w:tabs>
              <w:outlineLvl w:val="3"/>
              <w:rPr>
                <w:i/>
                <w:sz w:val="18"/>
              </w:rPr>
            </w:pPr>
          </w:p>
        </w:tc>
        <w:tc>
          <w:tcPr>
            <w:tcW w:w="2671" w:type="dxa"/>
            <w:vAlign w:val="center"/>
          </w:tcPr>
          <w:p w14:paraId="434126EA" w14:textId="77777777" w:rsidR="00F40ECE" w:rsidRDefault="00F40ECE" w:rsidP="001769CA">
            <w:pPr>
              <w:keepNext/>
              <w:widowControl w:val="0"/>
              <w:tabs>
                <w:tab w:val="left" w:pos="1080"/>
                <w:tab w:val="left" w:pos="3544"/>
              </w:tabs>
              <w:ind w:right="-108"/>
              <w:outlineLvl w:val="3"/>
              <w:rPr>
                <w:i/>
                <w:sz w:val="18"/>
              </w:rPr>
            </w:pPr>
          </w:p>
        </w:tc>
      </w:tr>
      <w:tr w:rsidR="00F40ECE" w14:paraId="4172DA4D" w14:textId="77777777" w:rsidTr="001769CA">
        <w:trPr>
          <w:cantSplit/>
        </w:trPr>
        <w:tc>
          <w:tcPr>
            <w:tcW w:w="2585" w:type="dxa"/>
            <w:vAlign w:val="center"/>
          </w:tcPr>
          <w:p w14:paraId="5AEA9E77" w14:textId="77777777" w:rsidR="00F40ECE" w:rsidRDefault="00F40ECE" w:rsidP="001769CA">
            <w:pPr>
              <w:tabs>
                <w:tab w:val="left" w:pos="3544"/>
              </w:tabs>
              <w:ind w:right="-75"/>
              <w:rPr>
                <w:sz w:val="18"/>
              </w:rPr>
            </w:pPr>
            <w:r>
              <w:rPr>
                <w:sz w:val="18"/>
              </w:rPr>
              <w:t>Gaseous unsaturated HFCs (HFOs)</w:t>
            </w:r>
          </w:p>
        </w:tc>
        <w:tc>
          <w:tcPr>
            <w:tcW w:w="1979" w:type="dxa"/>
            <w:vAlign w:val="center"/>
          </w:tcPr>
          <w:p w14:paraId="75CE2EB1" w14:textId="77777777" w:rsidR="00F40ECE" w:rsidRDefault="00F40ECE" w:rsidP="001769CA">
            <w:pPr>
              <w:keepNext/>
              <w:widowControl w:val="0"/>
              <w:tabs>
                <w:tab w:val="left" w:pos="1080"/>
                <w:tab w:val="left" w:pos="3544"/>
              </w:tabs>
              <w:jc w:val="both"/>
              <w:outlineLvl w:val="3"/>
              <w:rPr>
                <w:i/>
                <w:sz w:val="18"/>
              </w:rPr>
            </w:pPr>
            <w:r>
              <w:rPr>
                <w:i/>
                <w:sz w:val="18"/>
              </w:rPr>
              <w:t>Low GWP</w:t>
            </w:r>
          </w:p>
        </w:tc>
        <w:tc>
          <w:tcPr>
            <w:tcW w:w="1979" w:type="dxa"/>
            <w:vAlign w:val="center"/>
          </w:tcPr>
          <w:p w14:paraId="01E238FC" w14:textId="77777777" w:rsidR="00F40ECE" w:rsidRDefault="00F40ECE" w:rsidP="001769CA">
            <w:pPr>
              <w:keepNext/>
              <w:widowControl w:val="0"/>
              <w:tabs>
                <w:tab w:val="left" w:pos="1080"/>
                <w:tab w:val="left" w:pos="3544"/>
              </w:tabs>
              <w:outlineLvl w:val="3"/>
              <w:rPr>
                <w:i/>
                <w:sz w:val="18"/>
              </w:rPr>
            </w:pPr>
            <w:r>
              <w:rPr>
                <w:i/>
                <w:sz w:val="18"/>
              </w:rPr>
              <w:t>High unit cost</w:t>
            </w:r>
          </w:p>
        </w:tc>
        <w:tc>
          <w:tcPr>
            <w:tcW w:w="2671" w:type="dxa"/>
            <w:vAlign w:val="center"/>
          </w:tcPr>
          <w:p w14:paraId="5EB0D89D" w14:textId="2C1D245C" w:rsidR="00F40ECE" w:rsidRDefault="00710522" w:rsidP="001769CA">
            <w:pPr>
              <w:keepNext/>
              <w:widowControl w:val="0"/>
              <w:tabs>
                <w:tab w:val="left" w:pos="1080"/>
                <w:tab w:val="left" w:pos="3544"/>
              </w:tabs>
              <w:ind w:right="-108"/>
              <w:outlineLvl w:val="3"/>
              <w:rPr>
                <w:i/>
                <w:sz w:val="18"/>
              </w:rPr>
            </w:pPr>
            <w:r>
              <w:rPr>
                <w:i/>
                <w:sz w:val="18"/>
              </w:rPr>
              <w:t>At least three manufacturers (all in Europe)have now adopted this technology</w:t>
            </w:r>
          </w:p>
        </w:tc>
      </w:tr>
    </w:tbl>
    <w:p w14:paraId="6E2D8F97" w14:textId="77777777" w:rsidR="00F40ECE" w:rsidRPr="00F40ECE" w:rsidRDefault="00F40ECE" w:rsidP="00F40ECE">
      <w:pPr>
        <w:jc w:val="both"/>
        <w:rPr>
          <w:sz w:val="8"/>
          <w:szCs w:val="8"/>
          <w:lang w:eastAsia="ja-JP"/>
        </w:rPr>
      </w:pPr>
    </w:p>
    <w:p w14:paraId="64EA88F7" w14:textId="77777777" w:rsidR="00F40ECE" w:rsidRPr="00123C7D" w:rsidRDefault="00F40ECE" w:rsidP="00F40ECE">
      <w:pPr>
        <w:jc w:val="center"/>
        <w:rPr>
          <w:b/>
          <w:lang w:eastAsia="ja-JP"/>
        </w:rPr>
      </w:pPr>
      <w:r w:rsidRPr="00123C7D">
        <w:rPr>
          <w:b/>
          <w:i/>
        </w:rPr>
        <w:t>T</w:t>
      </w:r>
      <w:r>
        <w:rPr>
          <w:b/>
          <w:i/>
        </w:rPr>
        <w:t>able 28</w:t>
      </w:r>
      <w:r w:rsidRPr="00123C7D">
        <w:rPr>
          <w:b/>
          <w:i/>
        </w:rPr>
        <w:t>: Emerging alternatives to ODS in the</w:t>
      </w:r>
      <w:r>
        <w:rPr>
          <w:b/>
          <w:i/>
        </w:rPr>
        <w:t xml:space="preserve"> XPS Foam</w:t>
      </w:r>
      <w:r w:rsidRPr="00123C7D">
        <w:rPr>
          <w:b/>
          <w:i/>
        </w:rPr>
        <w:t xml:space="preserve"> Sector</w:t>
      </w:r>
    </w:p>
    <w:p w14:paraId="14956857" w14:textId="77777777" w:rsidR="00F40ECE" w:rsidRDefault="00F40ECE" w:rsidP="00F40ECE">
      <w:pPr>
        <w:jc w:val="both"/>
        <w:rPr>
          <w:lang w:eastAsia="ja-JP"/>
        </w:rPr>
      </w:pPr>
    </w:p>
    <w:p w14:paraId="42D087B4" w14:textId="77777777" w:rsidR="00F40ECE" w:rsidRDefault="00F40ECE" w:rsidP="00F40ECE">
      <w:pPr>
        <w:jc w:val="both"/>
        <w:rPr>
          <w:lang w:eastAsia="ja-JP"/>
        </w:rPr>
      </w:pPr>
      <w:r>
        <w:rPr>
          <w:lang w:eastAsia="ja-JP"/>
        </w:rPr>
        <w:t xml:space="preserve">For all the reasons expressed in this section, there is considerable interest in the potential of unsaturated gaseous HCFCs/HFCs as either blowing agents or co-blowing agents with HCOs such as ethanol or dimethyl ether (DME). The technological solution has the potential of becoming a relative standard in the industry, but the key deciding factor in that respect will be the cost. This aspect is reflected in the criteria assessment below:  </w:t>
      </w:r>
    </w:p>
    <w:p w14:paraId="54F2E3C6" w14:textId="77777777" w:rsidR="00F40ECE" w:rsidRPr="00A720E0" w:rsidRDefault="00F40ECE" w:rsidP="00F40ECE">
      <w:pPr>
        <w:rPr>
          <w:sz w:val="16"/>
          <w:szCs w:val="16"/>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514"/>
      </w:tblGrid>
      <w:tr w:rsidR="00F40ECE" w14:paraId="1F39D9C2" w14:textId="77777777" w:rsidTr="00F40ECE">
        <w:trPr>
          <w:jc w:val="center"/>
        </w:trPr>
        <w:tc>
          <w:tcPr>
            <w:tcW w:w="2067" w:type="dxa"/>
            <w:shd w:val="clear" w:color="auto" w:fill="D9D9D9" w:themeFill="background1" w:themeFillShade="D9"/>
          </w:tcPr>
          <w:p w14:paraId="0519058A" w14:textId="77777777" w:rsidR="00F40ECE" w:rsidRDefault="00F40ECE" w:rsidP="001769CA">
            <w:pPr>
              <w:rPr>
                <w:lang w:eastAsia="ja-JP"/>
              </w:rPr>
            </w:pPr>
          </w:p>
        </w:tc>
        <w:tc>
          <w:tcPr>
            <w:tcW w:w="1514" w:type="dxa"/>
            <w:shd w:val="clear" w:color="auto" w:fill="D9D9D9" w:themeFill="background1" w:themeFillShade="D9"/>
            <w:vAlign w:val="center"/>
          </w:tcPr>
          <w:p w14:paraId="2BF6341C" w14:textId="77777777" w:rsidR="00F40ECE" w:rsidRDefault="00F40ECE" w:rsidP="001769CA">
            <w:pPr>
              <w:jc w:val="center"/>
              <w:rPr>
                <w:rFonts w:ascii="Calibri" w:hAnsi="Calibri"/>
                <w:b/>
                <w:i/>
                <w:sz w:val="20"/>
                <w:lang w:eastAsia="ja-JP"/>
              </w:rPr>
            </w:pPr>
            <w:r>
              <w:rPr>
                <w:rFonts w:ascii="Calibri" w:hAnsi="Calibri"/>
                <w:b/>
                <w:i/>
                <w:sz w:val="20"/>
                <w:lang w:eastAsia="ja-JP"/>
              </w:rPr>
              <w:t>HFO-1234ze(E)</w:t>
            </w:r>
          </w:p>
        </w:tc>
      </w:tr>
      <w:tr w:rsidR="00F40ECE" w14:paraId="58C13770" w14:textId="77777777" w:rsidTr="001769CA">
        <w:trPr>
          <w:trHeight w:hRule="exact" w:val="295"/>
          <w:jc w:val="center"/>
        </w:trPr>
        <w:tc>
          <w:tcPr>
            <w:tcW w:w="2067" w:type="dxa"/>
          </w:tcPr>
          <w:p w14:paraId="0963BB2D" w14:textId="77777777" w:rsidR="00F40ECE" w:rsidRDefault="00F40ECE" w:rsidP="001769CA">
            <w:pPr>
              <w:rPr>
                <w:rFonts w:ascii="Calibri" w:hAnsi="Calibri"/>
                <w:sz w:val="20"/>
                <w:lang w:eastAsia="ja-JP"/>
              </w:rPr>
            </w:pPr>
          </w:p>
        </w:tc>
        <w:tc>
          <w:tcPr>
            <w:tcW w:w="1514" w:type="dxa"/>
            <w:vAlign w:val="center"/>
          </w:tcPr>
          <w:p w14:paraId="52105CB4" w14:textId="77777777" w:rsidR="00F40ECE" w:rsidRDefault="00F40ECE" w:rsidP="001769CA">
            <w:pPr>
              <w:jc w:val="center"/>
              <w:rPr>
                <w:rFonts w:ascii="Calibri" w:hAnsi="Calibri"/>
                <w:i/>
                <w:sz w:val="20"/>
                <w:lang w:eastAsia="ja-JP"/>
              </w:rPr>
            </w:pPr>
            <w:r>
              <w:rPr>
                <w:rFonts w:ascii="Calibri" w:hAnsi="Calibri"/>
                <w:i/>
                <w:sz w:val="20"/>
                <w:lang w:eastAsia="ja-JP"/>
              </w:rPr>
              <w:t>Gaseous</w:t>
            </w:r>
          </w:p>
        </w:tc>
      </w:tr>
      <w:tr w:rsidR="00F40ECE" w14:paraId="15F9FAAB" w14:textId="77777777" w:rsidTr="001769CA">
        <w:trPr>
          <w:jc w:val="center"/>
        </w:trPr>
        <w:tc>
          <w:tcPr>
            <w:tcW w:w="2067" w:type="dxa"/>
          </w:tcPr>
          <w:p w14:paraId="0778998F" w14:textId="77777777" w:rsidR="00F40ECE" w:rsidRDefault="00F40ECE" w:rsidP="001769CA">
            <w:pPr>
              <w:rPr>
                <w:rFonts w:ascii="Calibri" w:hAnsi="Calibri"/>
                <w:sz w:val="20"/>
                <w:lang w:eastAsia="ja-JP"/>
              </w:rPr>
            </w:pPr>
            <w:r>
              <w:rPr>
                <w:rFonts w:ascii="Calibri" w:hAnsi="Calibri"/>
                <w:sz w:val="20"/>
                <w:lang w:eastAsia="ja-JP"/>
              </w:rPr>
              <w:t>Proof of performance</w:t>
            </w:r>
          </w:p>
        </w:tc>
        <w:tc>
          <w:tcPr>
            <w:tcW w:w="1514" w:type="dxa"/>
          </w:tcPr>
          <w:p w14:paraId="38A7BC92"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374B14F2" w14:textId="77777777" w:rsidTr="001769CA">
        <w:trPr>
          <w:jc w:val="center"/>
        </w:trPr>
        <w:tc>
          <w:tcPr>
            <w:tcW w:w="2067" w:type="dxa"/>
          </w:tcPr>
          <w:p w14:paraId="32122C7E" w14:textId="77777777" w:rsidR="00F40ECE" w:rsidRDefault="00F40ECE" w:rsidP="001769CA">
            <w:pPr>
              <w:rPr>
                <w:rFonts w:ascii="Calibri" w:hAnsi="Calibri"/>
                <w:sz w:val="20"/>
                <w:lang w:eastAsia="ja-JP"/>
              </w:rPr>
            </w:pPr>
            <w:r>
              <w:rPr>
                <w:rFonts w:ascii="Calibri" w:hAnsi="Calibri"/>
                <w:sz w:val="20"/>
                <w:lang w:eastAsia="ja-JP"/>
              </w:rPr>
              <w:t>Flammability</w:t>
            </w:r>
          </w:p>
        </w:tc>
        <w:tc>
          <w:tcPr>
            <w:tcW w:w="1514" w:type="dxa"/>
          </w:tcPr>
          <w:p w14:paraId="7E41A45A"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65C994EE" w14:textId="77777777" w:rsidTr="001769CA">
        <w:trPr>
          <w:jc w:val="center"/>
        </w:trPr>
        <w:tc>
          <w:tcPr>
            <w:tcW w:w="2067" w:type="dxa"/>
          </w:tcPr>
          <w:p w14:paraId="566F5251" w14:textId="77777777" w:rsidR="00F40ECE" w:rsidRDefault="00F40ECE" w:rsidP="001769CA">
            <w:pPr>
              <w:rPr>
                <w:rFonts w:ascii="Calibri" w:hAnsi="Calibri"/>
                <w:sz w:val="20"/>
                <w:lang w:eastAsia="ja-JP"/>
              </w:rPr>
            </w:pPr>
            <w:r>
              <w:rPr>
                <w:rFonts w:ascii="Calibri" w:hAnsi="Calibri"/>
                <w:sz w:val="20"/>
                <w:lang w:eastAsia="ja-JP"/>
              </w:rPr>
              <w:t>Other Health &amp; Safety</w:t>
            </w:r>
          </w:p>
        </w:tc>
        <w:tc>
          <w:tcPr>
            <w:tcW w:w="1514" w:type="dxa"/>
          </w:tcPr>
          <w:p w14:paraId="07B5D56E"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5E2759F4" w14:textId="77777777" w:rsidTr="001769CA">
        <w:trPr>
          <w:jc w:val="center"/>
        </w:trPr>
        <w:tc>
          <w:tcPr>
            <w:tcW w:w="2067" w:type="dxa"/>
          </w:tcPr>
          <w:p w14:paraId="0163629B" w14:textId="77777777" w:rsidR="00F40ECE" w:rsidRDefault="00F40ECE" w:rsidP="001769CA">
            <w:pPr>
              <w:rPr>
                <w:rFonts w:ascii="Calibri" w:hAnsi="Calibri"/>
                <w:sz w:val="20"/>
                <w:lang w:eastAsia="ja-JP"/>
              </w:rPr>
            </w:pPr>
            <w:r>
              <w:rPr>
                <w:rFonts w:ascii="Calibri" w:hAnsi="Calibri"/>
                <w:sz w:val="20"/>
                <w:lang w:eastAsia="ja-JP"/>
              </w:rPr>
              <w:t>Global Warming</w:t>
            </w:r>
          </w:p>
        </w:tc>
        <w:tc>
          <w:tcPr>
            <w:tcW w:w="1514" w:type="dxa"/>
          </w:tcPr>
          <w:p w14:paraId="5CCA7640"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6CFF75B8" w14:textId="77777777" w:rsidTr="001769CA">
        <w:trPr>
          <w:jc w:val="center"/>
        </w:trPr>
        <w:tc>
          <w:tcPr>
            <w:tcW w:w="2067" w:type="dxa"/>
          </w:tcPr>
          <w:p w14:paraId="26B2CFBE" w14:textId="77777777" w:rsidR="00F40ECE" w:rsidRDefault="00F40ECE" w:rsidP="001769CA">
            <w:pPr>
              <w:rPr>
                <w:rFonts w:ascii="Calibri" w:hAnsi="Calibri"/>
                <w:sz w:val="20"/>
                <w:lang w:eastAsia="ja-JP"/>
              </w:rPr>
            </w:pPr>
            <w:r>
              <w:rPr>
                <w:rFonts w:ascii="Calibri" w:hAnsi="Calibri"/>
                <w:sz w:val="20"/>
                <w:lang w:eastAsia="ja-JP"/>
              </w:rPr>
              <w:t>Other Environmental</w:t>
            </w:r>
          </w:p>
        </w:tc>
        <w:tc>
          <w:tcPr>
            <w:tcW w:w="1514" w:type="dxa"/>
          </w:tcPr>
          <w:p w14:paraId="34D8674B"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34C12472" w14:textId="77777777" w:rsidTr="001769CA">
        <w:trPr>
          <w:jc w:val="center"/>
        </w:trPr>
        <w:tc>
          <w:tcPr>
            <w:tcW w:w="2067" w:type="dxa"/>
          </w:tcPr>
          <w:p w14:paraId="1F540D01" w14:textId="77777777" w:rsidR="00F40ECE" w:rsidRDefault="00F40ECE" w:rsidP="001769CA">
            <w:pPr>
              <w:rPr>
                <w:rFonts w:ascii="Calibri" w:hAnsi="Calibri"/>
                <w:sz w:val="20"/>
                <w:lang w:eastAsia="ja-JP"/>
              </w:rPr>
            </w:pPr>
            <w:r>
              <w:rPr>
                <w:rFonts w:ascii="Calibri" w:hAnsi="Calibri"/>
                <w:sz w:val="20"/>
                <w:lang w:eastAsia="ja-JP"/>
              </w:rPr>
              <w:t>Cost Effectiveness (C)</w:t>
            </w:r>
          </w:p>
        </w:tc>
        <w:tc>
          <w:tcPr>
            <w:tcW w:w="1514" w:type="dxa"/>
          </w:tcPr>
          <w:p w14:paraId="7683AE43"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3A279A6E" w14:textId="77777777" w:rsidTr="001769CA">
        <w:trPr>
          <w:jc w:val="center"/>
        </w:trPr>
        <w:tc>
          <w:tcPr>
            <w:tcW w:w="2067" w:type="dxa"/>
          </w:tcPr>
          <w:p w14:paraId="709FF6AA" w14:textId="77777777" w:rsidR="00F40ECE" w:rsidRDefault="00F40ECE" w:rsidP="001769CA">
            <w:pPr>
              <w:rPr>
                <w:rFonts w:ascii="Calibri" w:hAnsi="Calibri"/>
                <w:sz w:val="20"/>
                <w:lang w:eastAsia="ja-JP"/>
              </w:rPr>
            </w:pPr>
            <w:r>
              <w:rPr>
                <w:rFonts w:ascii="Calibri" w:hAnsi="Calibri"/>
                <w:sz w:val="20"/>
                <w:lang w:eastAsia="ja-JP"/>
              </w:rPr>
              <w:t>Cost Effectiveness (O)</w:t>
            </w:r>
          </w:p>
        </w:tc>
        <w:tc>
          <w:tcPr>
            <w:tcW w:w="1514" w:type="dxa"/>
          </w:tcPr>
          <w:p w14:paraId="43C6BC03" w14:textId="77777777" w:rsidR="00F40ECE" w:rsidRDefault="00F40ECE" w:rsidP="001769CA">
            <w:pPr>
              <w:jc w:val="center"/>
              <w:rPr>
                <w:rFonts w:ascii="Calibri" w:hAnsi="Calibri"/>
                <w:sz w:val="20"/>
                <w:lang w:eastAsia="ja-JP"/>
              </w:rPr>
            </w:pPr>
            <w:r>
              <w:rPr>
                <w:rFonts w:ascii="Calibri" w:hAnsi="Calibri"/>
                <w:sz w:val="20"/>
                <w:lang w:eastAsia="ja-JP"/>
              </w:rPr>
              <w:t>--</w:t>
            </w:r>
          </w:p>
        </w:tc>
      </w:tr>
      <w:tr w:rsidR="00F40ECE" w14:paraId="5E8D6C4D" w14:textId="77777777" w:rsidTr="001769CA">
        <w:trPr>
          <w:jc w:val="center"/>
        </w:trPr>
        <w:tc>
          <w:tcPr>
            <w:tcW w:w="2067" w:type="dxa"/>
          </w:tcPr>
          <w:p w14:paraId="1C5C318C" w14:textId="77777777" w:rsidR="00F40ECE" w:rsidRDefault="00F40ECE" w:rsidP="001769CA">
            <w:pPr>
              <w:rPr>
                <w:rFonts w:ascii="Calibri" w:hAnsi="Calibri"/>
                <w:sz w:val="20"/>
                <w:lang w:eastAsia="ja-JP"/>
              </w:rPr>
            </w:pPr>
            <w:r>
              <w:rPr>
                <w:rFonts w:ascii="Calibri" w:hAnsi="Calibri"/>
                <w:sz w:val="20"/>
                <w:lang w:eastAsia="ja-JP"/>
              </w:rPr>
              <w:t>Process Versatility</w:t>
            </w:r>
          </w:p>
        </w:tc>
        <w:tc>
          <w:tcPr>
            <w:tcW w:w="1514" w:type="dxa"/>
          </w:tcPr>
          <w:p w14:paraId="17E59B8F" w14:textId="77777777" w:rsidR="00F40ECE" w:rsidRDefault="00F40ECE" w:rsidP="001769CA">
            <w:pPr>
              <w:jc w:val="center"/>
              <w:rPr>
                <w:rFonts w:ascii="Calibri" w:hAnsi="Calibri"/>
                <w:sz w:val="20"/>
                <w:lang w:eastAsia="ja-JP"/>
              </w:rPr>
            </w:pPr>
            <w:r>
              <w:rPr>
                <w:rFonts w:ascii="Calibri" w:hAnsi="Calibri"/>
                <w:sz w:val="20"/>
                <w:lang w:eastAsia="ja-JP"/>
              </w:rPr>
              <w:t>++</w:t>
            </w:r>
          </w:p>
        </w:tc>
      </w:tr>
    </w:tbl>
    <w:p w14:paraId="7280BE61" w14:textId="77777777" w:rsidR="00F40ECE" w:rsidRDefault="00F40ECE" w:rsidP="00F40ECE">
      <w:pPr>
        <w:rPr>
          <w:b/>
          <w:i/>
          <w:sz w:val="8"/>
          <w:szCs w:val="8"/>
        </w:rPr>
      </w:pPr>
    </w:p>
    <w:p w14:paraId="50148B78" w14:textId="77777777" w:rsidR="00A720E0" w:rsidRPr="00F40ECE" w:rsidRDefault="00A720E0" w:rsidP="00F40ECE">
      <w:pPr>
        <w:rPr>
          <w:b/>
          <w:i/>
          <w:sz w:val="8"/>
          <w:szCs w:val="8"/>
        </w:rPr>
      </w:pPr>
    </w:p>
    <w:p w14:paraId="3F375ABA" w14:textId="77777777" w:rsidR="00F40ECE" w:rsidRDefault="00F40ECE" w:rsidP="00F40ECE">
      <w:r>
        <w:rPr>
          <w:b/>
          <w:i/>
        </w:rPr>
        <w:t>Table 29</w:t>
      </w:r>
      <w:r w:rsidRPr="00123C7D">
        <w:rPr>
          <w:b/>
          <w:i/>
        </w:rPr>
        <w:t>: Indicative criteria</w:t>
      </w:r>
      <w:r w:rsidR="00A720E0">
        <w:rPr>
          <w:b/>
          <w:i/>
        </w:rPr>
        <w:t xml:space="preserve"> assessment</w:t>
      </w:r>
      <w:r w:rsidRPr="00123C7D">
        <w:rPr>
          <w:b/>
          <w:i/>
        </w:rPr>
        <w:t xml:space="preserve"> for</w:t>
      </w:r>
      <w:r w:rsidR="00A720E0">
        <w:rPr>
          <w:b/>
          <w:i/>
        </w:rPr>
        <w:t xml:space="preserve"> the major</w:t>
      </w:r>
      <w:r w:rsidRPr="00123C7D">
        <w:rPr>
          <w:b/>
          <w:i/>
        </w:rPr>
        <w:t xml:space="preserve"> emerging </w:t>
      </w:r>
      <w:r w:rsidR="00A720E0">
        <w:rPr>
          <w:b/>
          <w:i/>
        </w:rPr>
        <w:t>alternative</w:t>
      </w:r>
      <w:r w:rsidRPr="00123C7D">
        <w:rPr>
          <w:b/>
          <w:i/>
        </w:rPr>
        <w:t xml:space="preserve"> in the </w:t>
      </w:r>
      <w:r>
        <w:rPr>
          <w:b/>
          <w:i/>
        </w:rPr>
        <w:t>XPS Foam</w:t>
      </w:r>
      <w:r w:rsidRPr="00123C7D">
        <w:rPr>
          <w:b/>
          <w:i/>
        </w:rPr>
        <w:t xml:space="preserve"> Sector</w:t>
      </w:r>
    </w:p>
    <w:p w14:paraId="49A06D22" w14:textId="77777777" w:rsidR="00F40ECE" w:rsidRDefault="00F40ECE" w:rsidP="00F40ECE"/>
    <w:p w14:paraId="2A8789D8" w14:textId="77777777" w:rsidR="00A720E0" w:rsidRDefault="00A720E0" w:rsidP="00A720E0">
      <w:pPr>
        <w:jc w:val="both"/>
        <w:rPr>
          <w:lang w:eastAsia="ja-JP"/>
        </w:rPr>
      </w:pPr>
      <w:r>
        <w:rPr>
          <w:lang w:eastAsia="ja-JP"/>
        </w:rPr>
        <w:t xml:space="preserve">For the HCFC consuming market in China and elsewhere, the challenge is to decide whether there is a transitional option that moves to a low-GWP alternative before the availability of unsaturated HFCs such as HFO-1234ze (E) is secured. It is clear that hydrocarbons would have been an obvious option and that would have been a high priority for a number of producers in China operating under the HCFC Phase-out Management Plan there. However, in recent years, there have been a series of fires (mostly in the construction phase of major building projects) which have caused a reaction against organic insulation materials in general and XPS in particular. One of the underlying problems has been the inconsistency in use of flame retardants within XPS formulations, with recycled feedstock not being properly characterised in some instances. The XPS industry is making a strong case that properly formulated XPS board can be used safely throughout its lifecycle, but these developments have created a further barrier to the introduction of hydrocarbons as blowing agents at this sensitive time. </w:t>
      </w:r>
    </w:p>
    <w:p w14:paraId="2CBFEACD" w14:textId="77777777" w:rsidR="00A720E0" w:rsidRDefault="00A720E0" w:rsidP="00A720E0">
      <w:pPr>
        <w:rPr>
          <w:lang w:eastAsia="ja-JP"/>
        </w:rPr>
      </w:pPr>
    </w:p>
    <w:p w14:paraId="599F9150" w14:textId="77777777" w:rsidR="00A720E0" w:rsidRDefault="00A720E0" w:rsidP="00A720E0">
      <w:pPr>
        <w:keepNext/>
        <w:jc w:val="both"/>
        <w:rPr>
          <w:lang w:eastAsia="ja-JP"/>
        </w:rPr>
      </w:pPr>
      <w:r>
        <w:rPr>
          <w:lang w:eastAsia="ja-JP"/>
        </w:rPr>
        <w:t>The introduction of unsaturated HFCs will certainly avoid such a controversy, but the availability of such technology in Article 5 Parties is uncertain – particularly when the technology is yet to be commercially adopted elsewhere. There is also the unanswered question concerning the impact on cost. A temporary switch to saturated HFC blends could ensure that the Montreal Protocol objectives are met, but this will do little to benefit the climate when over 1 billion tonnes of CO</w:t>
      </w:r>
      <w:r>
        <w:rPr>
          <w:vertAlign w:val="subscript"/>
          <w:lang w:eastAsia="ja-JP"/>
        </w:rPr>
        <w:t>2</w:t>
      </w:r>
      <w:r>
        <w:rPr>
          <w:lang w:eastAsia="ja-JP"/>
        </w:rPr>
        <w:t xml:space="preserve">-eq could be avoided by a more benign solution.      </w:t>
      </w:r>
    </w:p>
    <w:p w14:paraId="599697E8" w14:textId="77777777" w:rsidR="00A720E0" w:rsidRDefault="00A720E0" w:rsidP="00F40ECE"/>
    <w:p w14:paraId="014E8410" w14:textId="77777777" w:rsidR="00F40ECE" w:rsidRDefault="00F40ECE" w:rsidP="00F40ECE"/>
    <w:p w14:paraId="2926ED41" w14:textId="77777777" w:rsidR="00905A2F" w:rsidRPr="00164DBE" w:rsidRDefault="00905A2F" w:rsidP="00905A2F">
      <w:pPr>
        <w:pStyle w:val="Heading4"/>
      </w:pPr>
      <w:r>
        <w:lastRenderedPageBreak/>
        <w:t>Non-Article 5 Parties</w:t>
      </w:r>
    </w:p>
    <w:p w14:paraId="55689A46" w14:textId="77777777" w:rsidR="00CD4215" w:rsidRPr="00905A2F" w:rsidRDefault="00CD4215" w:rsidP="00BB34B3">
      <w:pPr>
        <w:rPr>
          <w:sz w:val="8"/>
          <w:szCs w:val="8"/>
        </w:rPr>
      </w:pPr>
    </w:p>
    <w:p w14:paraId="28F34A18" w14:textId="77777777" w:rsidR="00905A2F" w:rsidRDefault="00905A2F" w:rsidP="00905A2F">
      <w:pPr>
        <w:jc w:val="both"/>
        <w:rPr>
          <w:lang w:eastAsia="ja-JP"/>
        </w:rPr>
      </w:pPr>
      <w:r>
        <w:rPr>
          <w:lang w:eastAsia="ja-JP"/>
        </w:rPr>
        <w:t>Alongside PU Spray Foam, the extruded polystyrene sector represents one of the most challenging technological sectors of the market. Although CO</w:t>
      </w:r>
      <w:r>
        <w:rPr>
          <w:vertAlign w:val="subscript"/>
          <w:lang w:eastAsia="ja-JP"/>
        </w:rPr>
        <w:t>2</w:t>
      </w:r>
      <w:r>
        <w:rPr>
          <w:lang w:eastAsia="ja-JP"/>
        </w:rPr>
        <w:t xml:space="preserve"> technology has been successfully adopted by some of the multi-national producers, it is not very versatile and remains unsuitable for certain product types, even when modified with HCOs such as di-methyl ether. While hydrocarbons have proved uniquely acceptable in Japan, the majority of other non-Article 5 production is now based on the use of high-GWP HFCs such as blends of HFC-134a and HFC-152a. Attempts to move away from these blowing agents in the short-term are made less likely because of parallel concerns with the brominated flame retardants widely used in XPS and other polystyrene products. Accordingly, the Business-As-Usual scenario is relatively conservative in its outlook for further transition. </w:t>
      </w:r>
    </w:p>
    <w:p w14:paraId="186E4C52" w14:textId="77777777" w:rsidR="00905A2F" w:rsidRPr="00A720E0" w:rsidRDefault="00905A2F" w:rsidP="00BB34B3">
      <w:pPr>
        <w:rPr>
          <w:sz w:val="12"/>
          <w:szCs w:val="12"/>
        </w:rPr>
      </w:pPr>
    </w:p>
    <w:p w14:paraId="5A7291D8" w14:textId="77777777" w:rsidR="00905A2F" w:rsidRPr="00164DBE" w:rsidRDefault="00905A2F" w:rsidP="00905A2F">
      <w:pPr>
        <w:pStyle w:val="Heading4"/>
      </w:pPr>
      <w:r>
        <w:t>Article 5 Parties</w:t>
      </w:r>
    </w:p>
    <w:p w14:paraId="7852042D" w14:textId="77777777" w:rsidR="00905A2F" w:rsidRPr="00050445" w:rsidRDefault="00905A2F" w:rsidP="00905A2F">
      <w:pPr>
        <w:rPr>
          <w:sz w:val="8"/>
          <w:szCs w:val="8"/>
        </w:rPr>
      </w:pPr>
    </w:p>
    <w:p w14:paraId="7D772416" w14:textId="77777777" w:rsidR="00905A2F" w:rsidRDefault="00905A2F" w:rsidP="00905A2F">
      <w:pPr>
        <w:jc w:val="both"/>
      </w:pPr>
      <w:r>
        <w:t>Extruded polystyrene manufacture has grown substantially in a number of Article 5 regions over the last 10 years. Much of the manufacture has been based on HCFC technologies, since these are the most versatile options for a wide range of processing scales. For China, in particular, there are a large number of small plants and although there is some hope that a specifically tailored CO</w:t>
      </w:r>
      <w:r>
        <w:rPr>
          <w:vertAlign w:val="subscript"/>
        </w:rPr>
        <w:t xml:space="preserve">2 </w:t>
      </w:r>
      <w:r>
        <w:t>technology can achieve widespread conversion, the outcome of an important pilot study is still awaited. As with the non-Article 5 assessment, the Business-As-Usual scenario is relatively conservative and does not anticipate early transitions.</w:t>
      </w:r>
    </w:p>
    <w:p w14:paraId="5EB05601" w14:textId="77777777" w:rsidR="00461342" w:rsidRPr="00A720E0" w:rsidRDefault="00461342" w:rsidP="00905A2F">
      <w:pPr>
        <w:jc w:val="both"/>
        <w:rPr>
          <w:sz w:val="16"/>
          <w:szCs w:val="16"/>
        </w:rPr>
      </w:pPr>
    </w:p>
    <w:p w14:paraId="2DE04180" w14:textId="77777777" w:rsidR="00461342" w:rsidRDefault="00C60157" w:rsidP="00461342">
      <w:pPr>
        <w:pStyle w:val="Heading3"/>
      </w:pPr>
      <w:bookmarkStart w:id="36" w:name="_Toc415441537"/>
      <w:r>
        <w:t>Phenolic Foam</w:t>
      </w:r>
      <w:bookmarkEnd w:id="36"/>
      <w:r w:rsidR="00461342">
        <w:t xml:space="preserve">  </w:t>
      </w:r>
    </w:p>
    <w:p w14:paraId="0F3D9CE0" w14:textId="77777777" w:rsidR="00461342" w:rsidRPr="00A720E0" w:rsidRDefault="00461342" w:rsidP="00461342">
      <w:pPr>
        <w:rPr>
          <w:sz w:val="8"/>
          <w:szCs w:val="8"/>
        </w:rPr>
      </w:pPr>
    </w:p>
    <w:p w14:paraId="49B7FAE4" w14:textId="77777777" w:rsidR="00A720E0" w:rsidRDefault="00A720E0" w:rsidP="00A720E0">
      <w:pPr>
        <w:jc w:val="both"/>
      </w:pPr>
      <w:r>
        <w:t xml:space="preserve">Phenolic foams are manufactured by a number of different processes, many of which shadow those already discussed for polyurethane foams. The largest markets for the product are as phenolic </w:t>
      </w:r>
      <w:proofErr w:type="spellStart"/>
      <w:r>
        <w:t>boardstock</w:t>
      </w:r>
      <w:proofErr w:type="spellEnd"/>
      <w:r>
        <w:t xml:space="preserve"> (manufactured by continuous lamination) and block foams, used primarily for fabricating pipe work insulation. Although the product made an entry into the North American market in the early 1980s, the particular technology was dogged with problems. As a result, there is little use of phenolic foam in that region today. However, successful phenolic </w:t>
      </w:r>
      <w:proofErr w:type="spellStart"/>
      <w:r>
        <w:t>boardstock</w:t>
      </w:r>
      <w:proofErr w:type="spellEnd"/>
      <w:r>
        <w:t xml:space="preserve"> technologies emerged in both Europe and Japan, with sales of the product continuing to grow, not only because of overall increases in the demand for thermal insulation, but also because of gains in market share. Phenolic foam’s main competitive advantage rests in its intrinsic fire and smoke properties. However, since it is made by an emulsion process, it also offers smaller cells which result in improved thermal performance. More recently, the product has begun to emerge on the Chinese market - in part as a response to concerns over recent fires.  </w:t>
      </w:r>
    </w:p>
    <w:p w14:paraId="3220DB8A" w14:textId="77777777" w:rsidR="00A720E0" w:rsidRPr="00A720E0" w:rsidRDefault="00A720E0" w:rsidP="00A720E0">
      <w:pPr>
        <w:rPr>
          <w:sz w:val="12"/>
          <w:szCs w:val="12"/>
        </w:rPr>
      </w:pPr>
    </w:p>
    <w:p w14:paraId="31930763" w14:textId="77777777" w:rsidR="00A720E0" w:rsidRDefault="00A720E0" w:rsidP="00A720E0">
      <w:pPr>
        <w:jc w:val="both"/>
      </w:pPr>
      <w:r>
        <w:t xml:space="preserve">The use of phenolic foam as pipework insulation also stems from the intrinsic fire and smoke properties of the product and the growth of the product’s use has been particularly strong in regions where internal fire regulations are strict or where the high rise nature of construction requires additional fire precautions.   </w:t>
      </w:r>
    </w:p>
    <w:p w14:paraId="708F3B07" w14:textId="77777777" w:rsidR="00A720E0" w:rsidRPr="00A720E0" w:rsidRDefault="00A720E0" w:rsidP="00A720E0">
      <w:pPr>
        <w:rPr>
          <w:sz w:val="12"/>
          <w:szCs w:val="12"/>
        </w:rPr>
      </w:pPr>
    </w:p>
    <w:p w14:paraId="41D8621F" w14:textId="77777777" w:rsidR="00A720E0" w:rsidRDefault="00A720E0" w:rsidP="00A720E0">
      <w:pPr>
        <w:pStyle w:val="Heading4"/>
      </w:pPr>
      <w:r>
        <w:t>Commercially available alternatives to ODS</w:t>
      </w:r>
    </w:p>
    <w:p w14:paraId="25390C5D" w14:textId="77777777" w:rsidR="00A720E0" w:rsidRPr="00F40ECE" w:rsidRDefault="00A720E0" w:rsidP="00A720E0">
      <w:pPr>
        <w:jc w:val="both"/>
        <w:rPr>
          <w:sz w:val="12"/>
          <w:szCs w:val="12"/>
        </w:rPr>
      </w:pPr>
    </w:p>
    <w:p w14:paraId="189C221B" w14:textId="77777777" w:rsidR="00A720E0" w:rsidRDefault="00A720E0" w:rsidP="00A720E0">
      <w:pPr>
        <w:rPr>
          <w:lang w:eastAsia="ja-JP"/>
        </w:rPr>
      </w:pPr>
      <w:r>
        <w:rPr>
          <w:lang w:eastAsia="ja-JP"/>
        </w:rPr>
        <w:t xml:space="preserve">Table 30 sets out the commercially available alternatives for the phenolic foam sector: </w:t>
      </w:r>
    </w:p>
    <w:p w14:paraId="38D522E0" w14:textId="77777777" w:rsidR="00A720E0" w:rsidRPr="00A720E0" w:rsidRDefault="00A720E0" w:rsidP="00A720E0">
      <w:pPr>
        <w:rPr>
          <w:sz w:val="8"/>
          <w:szCs w:val="8"/>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A720E0" w14:paraId="367C3E32" w14:textId="77777777" w:rsidTr="001769CA">
        <w:trPr>
          <w:cantSplit/>
        </w:trPr>
        <w:tc>
          <w:tcPr>
            <w:tcW w:w="9214" w:type="dxa"/>
            <w:gridSpan w:val="4"/>
            <w:shd w:val="clear" w:color="auto" w:fill="FFFFFF"/>
            <w:vAlign w:val="center"/>
          </w:tcPr>
          <w:p w14:paraId="63A7C6A3" w14:textId="77777777" w:rsidR="00A720E0" w:rsidRDefault="00A720E0" w:rsidP="001769CA">
            <w:pPr>
              <w:tabs>
                <w:tab w:val="left" w:pos="3544"/>
              </w:tabs>
              <w:spacing w:line="240" w:lineRule="atLeast"/>
              <w:ind w:right="-108"/>
              <w:jc w:val="center"/>
              <w:rPr>
                <w:b/>
                <w:i/>
                <w:sz w:val="20"/>
                <w:lang w:eastAsia="es-ES"/>
              </w:rPr>
            </w:pPr>
            <w:r>
              <w:rPr>
                <w:b/>
                <w:i/>
                <w:sz w:val="20"/>
                <w:lang w:eastAsia="es-ES"/>
              </w:rPr>
              <w:t>HCFC REPLACEMENT OPTIONS FOR PF FOAM FOR BUILDING/ CONSTRUCTION APPLICATIONS</w:t>
            </w:r>
          </w:p>
        </w:tc>
      </w:tr>
      <w:tr w:rsidR="00A720E0" w14:paraId="238F3D8E" w14:textId="77777777" w:rsidTr="001769CA">
        <w:trPr>
          <w:cantSplit/>
        </w:trPr>
        <w:tc>
          <w:tcPr>
            <w:tcW w:w="2585" w:type="dxa"/>
            <w:tcBorders>
              <w:bottom w:val="single" w:sz="4" w:space="0" w:color="auto"/>
            </w:tcBorders>
            <w:shd w:val="clear" w:color="auto" w:fill="FFFFFF"/>
            <w:vAlign w:val="center"/>
          </w:tcPr>
          <w:p w14:paraId="576ADBFB" w14:textId="77777777" w:rsidR="00A720E0" w:rsidRDefault="00A720E0" w:rsidP="001769CA">
            <w:pPr>
              <w:tabs>
                <w:tab w:val="left" w:pos="3544"/>
              </w:tabs>
              <w:ind w:right="-75"/>
              <w:jc w:val="center"/>
              <w:rPr>
                <w:b/>
                <w:sz w:val="18"/>
              </w:rPr>
            </w:pPr>
            <w:r>
              <w:rPr>
                <w:b/>
                <w:sz w:val="18"/>
              </w:rPr>
              <w:t>SECTOR/OPTION</w:t>
            </w:r>
          </w:p>
        </w:tc>
        <w:tc>
          <w:tcPr>
            <w:tcW w:w="1979" w:type="dxa"/>
            <w:tcBorders>
              <w:bottom w:val="single" w:sz="4" w:space="0" w:color="auto"/>
            </w:tcBorders>
            <w:shd w:val="clear" w:color="auto" w:fill="FFFFFF"/>
            <w:vAlign w:val="center"/>
          </w:tcPr>
          <w:p w14:paraId="39860187" w14:textId="77777777" w:rsidR="00A720E0" w:rsidRDefault="00A720E0"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tcBorders>
              <w:bottom w:val="single" w:sz="4" w:space="0" w:color="auto"/>
            </w:tcBorders>
            <w:shd w:val="clear" w:color="auto" w:fill="FFFFFF"/>
            <w:vAlign w:val="center"/>
          </w:tcPr>
          <w:p w14:paraId="64F56D9C" w14:textId="77777777" w:rsidR="00A720E0" w:rsidRDefault="00A720E0"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tcBorders>
              <w:bottom w:val="single" w:sz="4" w:space="0" w:color="auto"/>
            </w:tcBorders>
            <w:shd w:val="clear" w:color="auto" w:fill="FFFFFF"/>
            <w:vAlign w:val="center"/>
          </w:tcPr>
          <w:p w14:paraId="367AE425" w14:textId="77777777" w:rsidR="00A720E0" w:rsidRDefault="00A720E0" w:rsidP="001769CA">
            <w:pPr>
              <w:keepNext/>
              <w:widowControl w:val="0"/>
              <w:tabs>
                <w:tab w:val="left" w:pos="1080"/>
                <w:tab w:val="left" w:pos="3544"/>
              </w:tabs>
              <w:spacing w:before="120" w:after="120"/>
              <w:jc w:val="center"/>
              <w:outlineLvl w:val="3"/>
              <w:rPr>
                <w:b/>
                <w:i/>
                <w:sz w:val="18"/>
              </w:rPr>
            </w:pPr>
            <w:r>
              <w:rPr>
                <w:b/>
                <w:i/>
                <w:sz w:val="18"/>
              </w:rPr>
              <w:t>COMMENTS</w:t>
            </w:r>
          </w:p>
        </w:tc>
      </w:tr>
      <w:tr w:rsidR="00A720E0" w14:paraId="30F8422D" w14:textId="77777777" w:rsidTr="001769CA">
        <w:trPr>
          <w:cantSplit/>
        </w:trPr>
        <w:tc>
          <w:tcPr>
            <w:tcW w:w="9214" w:type="dxa"/>
            <w:gridSpan w:val="4"/>
            <w:shd w:val="clear" w:color="auto" w:fill="C0C0C0"/>
            <w:vAlign w:val="center"/>
          </w:tcPr>
          <w:p w14:paraId="49392975" w14:textId="77777777" w:rsidR="00A720E0" w:rsidRDefault="00A720E0" w:rsidP="001769CA">
            <w:pPr>
              <w:rPr>
                <w:b/>
                <w:i/>
              </w:rPr>
            </w:pPr>
            <w:r>
              <w:rPr>
                <w:b/>
                <w:i/>
              </w:rPr>
              <w:t>Continuous processes (including flexibly-faced lamination and pipe section manufacture)</w:t>
            </w:r>
          </w:p>
        </w:tc>
      </w:tr>
      <w:tr w:rsidR="00A720E0" w14:paraId="59DA98ED" w14:textId="77777777" w:rsidTr="001769CA">
        <w:trPr>
          <w:cantSplit/>
        </w:trPr>
        <w:tc>
          <w:tcPr>
            <w:tcW w:w="2585" w:type="dxa"/>
            <w:vMerge w:val="restart"/>
            <w:vAlign w:val="center"/>
          </w:tcPr>
          <w:p w14:paraId="3F0F7591" w14:textId="77777777" w:rsidR="00A720E0" w:rsidRDefault="00A720E0" w:rsidP="001769CA">
            <w:pPr>
              <w:tabs>
                <w:tab w:val="left" w:pos="3544"/>
              </w:tabs>
              <w:rPr>
                <w:sz w:val="18"/>
              </w:rPr>
            </w:pPr>
            <w:r>
              <w:rPr>
                <w:sz w:val="18"/>
              </w:rPr>
              <w:t>n- pentane/</w:t>
            </w:r>
            <w:proofErr w:type="spellStart"/>
            <w:r>
              <w:rPr>
                <w:sz w:val="18"/>
              </w:rPr>
              <w:t>iso</w:t>
            </w:r>
            <w:proofErr w:type="spellEnd"/>
            <w:r>
              <w:rPr>
                <w:sz w:val="18"/>
              </w:rPr>
              <w:t xml:space="preserve">-pentane </w:t>
            </w:r>
          </w:p>
        </w:tc>
        <w:tc>
          <w:tcPr>
            <w:tcW w:w="1979" w:type="dxa"/>
            <w:vAlign w:val="center"/>
          </w:tcPr>
          <w:p w14:paraId="4F1DFE83" w14:textId="77777777" w:rsidR="00A720E0" w:rsidRDefault="00A720E0"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4CB9C254" w14:textId="77777777" w:rsidR="00A720E0" w:rsidRDefault="00A720E0" w:rsidP="001769CA">
            <w:pPr>
              <w:keepNext/>
              <w:widowControl w:val="0"/>
              <w:tabs>
                <w:tab w:val="left" w:pos="1080"/>
                <w:tab w:val="left" w:pos="3544"/>
              </w:tabs>
              <w:jc w:val="both"/>
              <w:outlineLvl w:val="3"/>
              <w:rPr>
                <w:i/>
                <w:sz w:val="18"/>
              </w:rPr>
            </w:pPr>
            <w:r>
              <w:rPr>
                <w:i/>
                <w:sz w:val="18"/>
              </w:rPr>
              <w:t>Highly flammable</w:t>
            </w:r>
          </w:p>
        </w:tc>
        <w:tc>
          <w:tcPr>
            <w:tcW w:w="2551" w:type="dxa"/>
            <w:vAlign w:val="center"/>
          </w:tcPr>
          <w:p w14:paraId="0D60E916" w14:textId="77777777" w:rsidR="00A720E0" w:rsidRDefault="00A720E0" w:rsidP="001769CA">
            <w:pPr>
              <w:keepNext/>
              <w:widowControl w:val="0"/>
              <w:tabs>
                <w:tab w:val="left" w:pos="1080"/>
                <w:tab w:val="left" w:pos="3544"/>
              </w:tabs>
              <w:ind w:right="-108"/>
              <w:outlineLvl w:val="3"/>
              <w:rPr>
                <w:i/>
                <w:sz w:val="18"/>
              </w:rPr>
            </w:pPr>
            <w:r>
              <w:rPr>
                <w:i/>
                <w:sz w:val="18"/>
              </w:rPr>
              <w:t>High incremental capital cost</w:t>
            </w:r>
          </w:p>
        </w:tc>
      </w:tr>
      <w:tr w:rsidR="00A720E0" w14:paraId="519A1881" w14:textId="77777777" w:rsidTr="001769CA">
        <w:trPr>
          <w:cantSplit/>
        </w:trPr>
        <w:tc>
          <w:tcPr>
            <w:tcW w:w="2585" w:type="dxa"/>
            <w:vMerge/>
            <w:vAlign w:val="center"/>
          </w:tcPr>
          <w:p w14:paraId="3229B52F" w14:textId="77777777" w:rsidR="00A720E0" w:rsidRDefault="00A720E0" w:rsidP="001769CA">
            <w:pPr>
              <w:tabs>
                <w:tab w:val="left" w:pos="720"/>
                <w:tab w:val="left" w:pos="1440"/>
                <w:tab w:val="left" w:pos="3544"/>
                <w:tab w:val="left" w:pos="5760"/>
              </w:tabs>
              <w:ind w:right="-75"/>
              <w:jc w:val="both"/>
              <w:rPr>
                <w:sz w:val="18"/>
              </w:rPr>
            </w:pPr>
          </w:p>
        </w:tc>
        <w:tc>
          <w:tcPr>
            <w:tcW w:w="1979" w:type="dxa"/>
            <w:vAlign w:val="center"/>
          </w:tcPr>
          <w:p w14:paraId="051893EF" w14:textId="77777777" w:rsidR="00A720E0" w:rsidRDefault="00A720E0" w:rsidP="001769CA">
            <w:pPr>
              <w:keepNext/>
              <w:widowControl w:val="0"/>
              <w:tabs>
                <w:tab w:val="left" w:pos="1080"/>
                <w:tab w:val="left" w:pos="3544"/>
              </w:tabs>
              <w:ind w:right="-80"/>
              <w:outlineLvl w:val="3"/>
              <w:rPr>
                <w:i/>
                <w:sz w:val="18"/>
              </w:rPr>
            </w:pPr>
            <w:r>
              <w:rPr>
                <w:i/>
                <w:sz w:val="18"/>
              </w:rPr>
              <w:t>Low operating costs</w:t>
            </w:r>
          </w:p>
        </w:tc>
        <w:tc>
          <w:tcPr>
            <w:tcW w:w="2099" w:type="dxa"/>
            <w:vAlign w:val="center"/>
          </w:tcPr>
          <w:p w14:paraId="1AEFF2B8" w14:textId="77777777" w:rsidR="00A720E0" w:rsidRDefault="00A720E0" w:rsidP="001769CA">
            <w:pPr>
              <w:keepNext/>
              <w:widowControl w:val="0"/>
              <w:tabs>
                <w:tab w:val="left" w:pos="1080"/>
                <w:tab w:val="left" w:pos="3544"/>
              </w:tabs>
              <w:outlineLvl w:val="3"/>
              <w:rPr>
                <w:i/>
                <w:sz w:val="18"/>
              </w:rPr>
            </w:pPr>
          </w:p>
        </w:tc>
        <w:tc>
          <w:tcPr>
            <w:tcW w:w="2551" w:type="dxa"/>
            <w:vAlign w:val="center"/>
          </w:tcPr>
          <w:p w14:paraId="023F4DD8" w14:textId="77777777" w:rsidR="00A720E0" w:rsidRDefault="00A720E0" w:rsidP="001769CA">
            <w:pPr>
              <w:keepNext/>
              <w:widowControl w:val="0"/>
              <w:tabs>
                <w:tab w:val="left" w:pos="1080"/>
                <w:tab w:val="left" w:pos="3544"/>
              </w:tabs>
              <w:ind w:right="-108"/>
              <w:outlineLvl w:val="3"/>
              <w:rPr>
                <w:i/>
                <w:sz w:val="18"/>
              </w:rPr>
            </w:pPr>
            <w:r>
              <w:rPr>
                <w:i/>
                <w:sz w:val="18"/>
              </w:rPr>
              <w:t>Industry standard</w:t>
            </w:r>
          </w:p>
        </w:tc>
      </w:tr>
      <w:tr w:rsidR="00A720E0" w14:paraId="104F4B70" w14:textId="77777777" w:rsidTr="001769CA">
        <w:trPr>
          <w:cantSplit/>
        </w:trPr>
        <w:tc>
          <w:tcPr>
            <w:tcW w:w="2585" w:type="dxa"/>
            <w:vMerge/>
            <w:vAlign w:val="center"/>
          </w:tcPr>
          <w:p w14:paraId="1FAB002F" w14:textId="77777777" w:rsidR="00A720E0" w:rsidRDefault="00A720E0" w:rsidP="001769CA">
            <w:pPr>
              <w:tabs>
                <w:tab w:val="left" w:pos="720"/>
                <w:tab w:val="left" w:pos="1440"/>
                <w:tab w:val="left" w:pos="3544"/>
                <w:tab w:val="left" w:pos="5760"/>
              </w:tabs>
              <w:ind w:right="-75"/>
              <w:jc w:val="both"/>
              <w:rPr>
                <w:sz w:val="18"/>
              </w:rPr>
            </w:pPr>
          </w:p>
        </w:tc>
        <w:tc>
          <w:tcPr>
            <w:tcW w:w="1979" w:type="dxa"/>
            <w:vAlign w:val="center"/>
          </w:tcPr>
          <w:p w14:paraId="7E32C417" w14:textId="77777777" w:rsidR="00A720E0" w:rsidRDefault="00A720E0" w:rsidP="001769CA">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7C99AF52" w14:textId="77777777" w:rsidR="00A720E0" w:rsidRDefault="00A720E0" w:rsidP="001769CA">
            <w:pPr>
              <w:keepNext/>
              <w:widowControl w:val="0"/>
              <w:tabs>
                <w:tab w:val="left" w:pos="1080"/>
                <w:tab w:val="left" w:pos="3544"/>
              </w:tabs>
              <w:ind w:right="-86"/>
              <w:outlineLvl w:val="3"/>
              <w:rPr>
                <w:i/>
                <w:sz w:val="18"/>
              </w:rPr>
            </w:pPr>
          </w:p>
        </w:tc>
        <w:tc>
          <w:tcPr>
            <w:tcW w:w="2551" w:type="dxa"/>
            <w:vAlign w:val="center"/>
          </w:tcPr>
          <w:p w14:paraId="2EE7DE7E" w14:textId="77777777" w:rsidR="00A720E0" w:rsidRDefault="00A720E0" w:rsidP="001769CA">
            <w:pPr>
              <w:keepNext/>
              <w:widowControl w:val="0"/>
              <w:tabs>
                <w:tab w:val="left" w:pos="1080"/>
                <w:tab w:val="left" w:pos="3544"/>
              </w:tabs>
              <w:ind w:right="-108"/>
              <w:outlineLvl w:val="3"/>
              <w:rPr>
                <w:i/>
                <w:sz w:val="18"/>
              </w:rPr>
            </w:pPr>
          </w:p>
        </w:tc>
      </w:tr>
      <w:tr w:rsidR="00A720E0" w14:paraId="4201430C" w14:textId="77777777" w:rsidTr="001769CA">
        <w:trPr>
          <w:cantSplit/>
        </w:trPr>
        <w:tc>
          <w:tcPr>
            <w:tcW w:w="2585" w:type="dxa"/>
            <w:vMerge w:val="restart"/>
            <w:vAlign w:val="center"/>
          </w:tcPr>
          <w:p w14:paraId="4D0DBBFD" w14:textId="77777777" w:rsidR="00A720E0" w:rsidRDefault="00A720E0" w:rsidP="001769CA">
            <w:pPr>
              <w:tabs>
                <w:tab w:val="left" w:pos="720"/>
                <w:tab w:val="left" w:pos="1440"/>
                <w:tab w:val="left" w:pos="3544"/>
                <w:tab w:val="left" w:pos="5760"/>
              </w:tabs>
              <w:ind w:right="-75"/>
              <w:jc w:val="both"/>
              <w:rPr>
                <w:sz w:val="18"/>
              </w:rPr>
            </w:pPr>
            <w:r>
              <w:rPr>
                <w:sz w:val="18"/>
              </w:rPr>
              <w:t>HFC-365mfc/277ea</w:t>
            </w:r>
          </w:p>
        </w:tc>
        <w:tc>
          <w:tcPr>
            <w:tcW w:w="1979" w:type="dxa"/>
            <w:vAlign w:val="center"/>
          </w:tcPr>
          <w:p w14:paraId="22F1AA82" w14:textId="77777777" w:rsidR="00A720E0" w:rsidRDefault="00A720E0"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2C270FA6" w14:textId="77777777" w:rsidR="00A720E0" w:rsidRDefault="00A720E0" w:rsidP="001769CA">
            <w:pPr>
              <w:keepNext/>
              <w:widowControl w:val="0"/>
              <w:tabs>
                <w:tab w:val="left" w:pos="1080"/>
                <w:tab w:val="left" w:pos="3544"/>
              </w:tabs>
              <w:jc w:val="both"/>
              <w:outlineLvl w:val="3"/>
              <w:rPr>
                <w:i/>
                <w:sz w:val="18"/>
              </w:rPr>
            </w:pPr>
            <w:r>
              <w:rPr>
                <w:i/>
                <w:sz w:val="18"/>
              </w:rPr>
              <w:t>High GWP</w:t>
            </w:r>
          </w:p>
        </w:tc>
        <w:tc>
          <w:tcPr>
            <w:tcW w:w="2551" w:type="dxa"/>
            <w:vAlign w:val="center"/>
          </w:tcPr>
          <w:p w14:paraId="719025A6" w14:textId="77777777" w:rsidR="00A720E0" w:rsidRDefault="00A720E0" w:rsidP="001769CA">
            <w:pPr>
              <w:keepNext/>
              <w:widowControl w:val="0"/>
              <w:tabs>
                <w:tab w:val="left" w:pos="1080"/>
                <w:tab w:val="left" w:pos="3544"/>
              </w:tabs>
              <w:jc w:val="both"/>
              <w:outlineLvl w:val="3"/>
              <w:rPr>
                <w:i/>
                <w:sz w:val="18"/>
              </w:rPr>
            </w:pPr>
          </w:p>
        </w:tc>
      </w:tr>
      <w:tr w:rsidR="00A720E0" w14:paraId="50F52027" w14:textId="77777777" w:rsidTr="001769CA">
        <w:trPr>
          <w:cantSplit/>
          <w:trHeight w:val="246"/>
        </w:trPr>
        <w:tc>
          <w:tcPr>
            <w:tcW w:w="2585" w:type="dxa"/>
            <w:vMerge/>
            <w:vAlign w:val="center"/>
          </w:tcPr>
          <w:p w14:paraId="4575F302" w14:textId="77777777" w:rsidR="00A720E0" w:rsidRDefault="00A720E0" w:rsidP="001769CA">
            <w:pPr>
              <w:tabs>
                <w:tab w:val="left" w:pos="720"/>
                <w:tab w:val="left" w:pos="1440"/>
                <w:tab w:val="left" w:pos="3544"/>
                <w:tab w:val="left" w:pos="5760"/>
              </w:tabs>
              <w:ind w:right="-75"/>
              <w:jc w:val="both"/>
              <w:rPr>
                <w:sz w:val="18"/>
              </w:rPr>
            </w:pPr>
          </w:p>
        </w:tc>
        <w:tc>
          <w:tcPr>
            <w:tcW w:w="1979" w:type="dxa"/>
            <w:vAlign w:val="center"/>
          </w:tcPr>
          <w:p w14:paraId="58F870C9" w14:textId="77777777" w:rsidR="00A720E0" w:rsidRDefault="00A720E0" w:rsidP="001769CA">
            <w:pPr>
              <w:keepNext/>
              <w:widowControl w:val="0"/>
              <w:tabs>
                <w:tab w:val="left" w:pos="1080"/>
                <w:tab w:val="left" w:pos="3544"/>
              </w:tabs>
              <w:jc w:val="both"/>
              <w:outlineLvl w:val="3"/>
              <w:rPr>
                <w:i/>
                <w:sz w:val="18"/>
              </w:rPr>
            </w:pPr>
            <w:r>
              <w:rPr>
                <w:i/>
                <w:sz w:val="18"/>
              </w:rPr>
              <w:t>Good foam properties</w:t>
            </w:r>
          </w:p>
        </w:tc>
        <w:tc>
          <w:tcPr>
            <w:tcW w:w="2099" w:type="dxa"/>
            <w:vAlign w:val="center"/>
          </w:tcPr>
          <w:p w14:paraId="4E0BBFC9" w14:textId="77777777" w:rsidR="00A720E0" w:rsidRDefault="00A720E0" w:rsidP="001769CA">
            <w:pPr>
              <w:keepNext/>
              <w:widowControl w:val="0"/>
              <w:tabs>
                <w:tab w:val="left" w:pos="1080"/>
                <w:tab w:val="left" w:pos="3544"/>
              </w:tabs>
              <w:ind w:right="-86"/>
              <w:outlineLvl w:val="3"/>
              <w:rPr>
                <w:i/>
                <w:sz w:val="18"/>
              </w:rPr>
            </w:pPr>
            <w:r>
              <w:rPr>
                <w:i/>
                <w:sz w:val="18"/>
              </w:rPr>
              <w:t xml:space="preserve">High operating costs </w:t>
            </w:r>
          </w:p>
        </w:tc>
        <w:tc>
          <w:tcPr>
            <w:tcW w:w="2551" w:type="dxa"/>
            <w:vAlign w:val="center"/>
          </w:tcPr>
          <w:p w14:paraId="33C96A05" w14:textId="77777777" w:rsidR="00A720E0" w:rsidRDefault="00A720E0" w:rsidP="001769CA">
            <w:pPr>
              <w:keepNext/>
              <w:widowControl w:val="0"/>
              <w:tabs>
                <w:tab w:val="left" w:pos="1080"/>
                <w:tab w:val="left" w:pos="3544"/>
              </w:tabs>
              <w:ind w:right="-108"/>
              <w:outlineLvl w:val="3"/>
              <w:rPr>
                <w:i/>
                <w:sz w:val="18"/>
              </w:rPr>
            </w:pPr>
          </w:p>
        </w:tc>
      </w:tr>
      <w:tr w:rsidR="00A720E0" w14:paraId="3CBD9DEC" w14:textId="77777777" w:rsidTr="001769CA">
        <w:trPr>
          <w:cantSplit/>
        </w:trPr>
        <w:tc>
          <w:tcPr>
            <w:tcW w:w="2585" w:type="dxa"/>
            <w:vMerge w:val="restart"/>
            <w:vAlign w:val="center"/>
          </w:tcPr>
          <w:p w14:paraId="66DF45F1" w14:textId="77777777" w:rsidR="00A720E0" w:rsidRDefault="00A720E0" w:rsidP="001769CA">
            <w:pPr>
              <w:tabs>
                <w:tab w:val="left" w:pos="720"/>
                <w:tab w:val="left" w:pos="1440"/>
                <w:tab w:val="left" w:pos="3544"/>
                <w:tab w:val="left" w:pos="5760"/>
              </w:tabs>
              <w:jc w:val="both"/>
              <w:rPr>
                <w:sz w:val="18"/>
              </w:rPr>
            </w:pPr>
            <w:r>
              <w:rPr>
                <w:sz w:val="18"/>
              </w:rPr>
              <w:t>2-chloropropane</w:t>
            </w:r>
          </w:p>
        </w:tc>
        <w:tc>
          <w:tcPr>
            <w:tcW w:w="1979" w:type="dxa"/>
            <w:vAlign w:val="center"/>
          </w:tcPr>
          <w:p w14:paraId="1E8B1D39" w14:textId="77777777" w:rsidR="00A720E0" w:rsidRDefault="00A720E0" w:rsidP="001769CA">
            <w:pPr>
              <w:keepNext/>
              <w:widowControl w:val="0"/>
              <w:tabs>
                <w:tab w:val="left" w:pos="1080"/>
                <w:tab w:val="left" w:pos="3544"/>
              </w:tabs>
              <w:ind w:right="-80"/>
              <w:outlineLvl w:val="3"/>
              <w:rPr>
                <w:i/>
                <w:sz w:val="18"/>
              </w:rPr>
            </w:pPr>
            <w:r>
              <w:rPr>
                <w:i/>
                <w:sz w:val="18"/>
              </w:rPr>
              <w:t>Low GWP</w:t>
            </w:r>
          </w:p>
        </w:tc>
        <w:tc>
          <w:tcPr>
            <w:tcW w:w="2099" w:type="dxa"/>
            <w:vAlign w:val="center"/>
          </w:tcPr>
          <w:p w14:paraId="59ECD20C" w14:textId="77777777" w:rsidR="00A720E0" w:rsidRDefault="00A720E0" w:rsidP="001769CA">
            <w:pPr>
              <w:keepNext/>
              <w:widowControl w:val="0"/>
              <w:tabs>
                <w:tab w:val="left" w:pos="1080"/>
                <w:tab w:val="left" w:pos="3544"/>
              </w:tabs>
              <w:ind w:right="-86"/>
              <w:outlineLvl w:val="3"/>
              <w:rPr>
                <w:i/>
                <w:sz w:val="18"/>
              </w:rPr>
            </w:pPr>
            <w:r>
              <w:rPr>
                <w:i/>
                <w:sz w:val="18"/>
              </w:rPr>
              <w:t xml:space="preserve">Negligible ODP  </w:t>
            </w:r>
          </w:p>
        </w:tc>
        <w:tc>
          <w:tcPr>
            <w:tcW w:w="2551" w:type="dxa"/>
            <w:vAlign w:val="center"/>
          </w:tcPr>
          <w:p w14:paraId="6D42F4FE" w14:textId="77777777" w:rsidR="00A720E0" w:rsidRDefault="00A720E0" w:rsidP="001769CA">
            <w:pPr>
              <w:keepNext/>
              <w:widowControl w:val="0"/>
              <w:tabs>
                <w:tab w:val="left" w:pos="1080"/>
                <w:tab w:val="left" w:pos="3544"/>
              </w:tabs>
              <w:ind w:right="-108"/>
              <w:outlineLvl w:val="3"/>
              <w:rPr>
                <w:i/>
                <w:sz w:val="18"/>
              </w:rPr>
            </w:pPr>
          </w:p>
        </w:tc>
      </w:tr>
      <w:tr w:rsidR="00A720E0" w14:paraId="7B7985B7" w14:textId="77777777" w:rsidTr="001769CA">
        <w:trPr>
          <w:cantSplit/>
          <w:trHeight w:val="260"/>
        </w:trPr>
        <w:tc>
          <w:tcPr>
            <w:tcW w:w="2585" w:type="dxa"/>
            <w:vMerge/>
            <w:tcBorders>
              <w:bottom w:val="single" w:sz="4" w:space="0" w:color="auto"/>
            </w:tcBorders>
            <w:vAlign w:val="center"/>
          </w:tcPr>
          <w:p w14:paraId="51604511" w14:textId="77777777" w:rsidR="00A720E0" w:rsidRDefault="00A720E0" w:rsidP="001769CA">
            <w:pPr>
              <w:tabs>
                <w:tab w:val="left" w:pos="720"/>
                <w:tab w:val="left" w:pos="1440"/>
                <w:tab w:val="left" w:pos="3544"/>
                <w:tab w:val="left" w:pos="5760"/>
              </w:tabs>
              <w:ind w:right="-75"/>
              <w:jc w:val="both"/>
              <w:rPr>
                <w:sz w:val="18"/>
              </w:rPr>
            </w:pPr>
          </w:p>
        </w:tc>
        <w:tc>
          <w:tcPr>
            <w:tcW w:w="1979" w:type="dxa"/>
            <w:tcBorders>
              <w:bottom w:val="single" w:sz="4" w:space="0" w:color="auto"/>
            </w:tcBorders>
            <w:vAlign w:val="center"/>
          </w:tcPr>
          <w:p w14:paraId="75469150" w14:textId="77777777" w:rsidR="00A720E0" w:rsidRDefault="00A720E0" w:rsidP="001769CA">
            <w:pPr>
              <w:keepNext/>
              <w:widowControl w:val="0"/>
              <w:tabs>
                <w:tab w:val="left" w:pos="1080"/>
                <w:tab w:val="left" w:pos="3544"/>
              </w:tabs>
              <w:ind w:right="-80"/>
              <w:outlineLvl w:val="3"/>
              <w:rPr>
                <w:i/>
                <w:sz w:val="18"/>
              </w:rPr>
            </w:pPr>
            <w:r>
              <w:rPr>
                <w:i/>
                <w:sz w:val="18"/>
              </w:rPr>
              <w:t>Non flammable</w:t>
            </w:r>
          </w:p>
        </w:tc>
        <w:tc>
          <w:tcPr>
            <w:tcW w:w="2099" w:type="dxa"/>
            <w:tcBorders>
              <w:bottom w:val="single" w:sz="4" w:space="0" w:color="auto"/>
            </w:tcBorders>
            <w:vAlign w:val="center"/>
          </w:tcPr>
          <w:p w14:paraId="2F4198BC" w14:textId="77777777" w:rsidR="00A720E0" w:rsidRDefault="00A720E0" w:rsidP="001769CA">
            <w:pPr>
              <w:keepNext/>
              <w:widowControl w:val="0"/>
              <w:tabs>
                <w:tab w:val="left" w:pos="1080"/>
                <w:tab w:val="left" w:pos="3544"/>
              </w:tabs>
              <w:outlineLvl w:val="3"/>
              <w:rPr>
                <w:i/>
                <w:sz w:val="18"/>
              </w:rPr>
            </w:pPr>
          </w:p>
        </w:tc>
        <w:tc>
          <w:tcPr>
            <w:tcW w:w="2551" w:type="dxa"/>
            <w:tcBorders>
              <w:bottom w:val="single" w:sz="4" w:space="0" w:color="auto"/>
            </w:tcBorders>
            <w:vAlign w:val="center"/>
          </w:tcPr>
          <w:p w14:paraId="028D22B7" w14:textId="77777777" w:rsidR="00A720E0" w:rsidRDefault="00A720E0" w:rsidP="001769CA">
            <w:pPr>
              <w:keepNext/>
              <w:widowControl w:val="0"/>
              <w:tabs>
                <w:tab w:val="left" w:pos="1080"/>
                <w:tab w:val="left" w:pos="3544"/>
              </w:tabs>
              <w:ind w:right="-108"/>
              <w:outlineLvl w:val="3"/>
              <w:rPr>
                <w:i/>
                <w:sz w:val="18"/>
              </w:rPr>
            </w:pPr>
          </w:p>
        </w:tc>
      </w:tr>
      <w:tr w:rsidR="00A720E0" w14:paraId="5F393713" w14:textId="77777777" w:rsidTr="001769CA">
        <w:trPr>
          <w:cantSplit/>
        </w:trPr>
        <w:tc>
          <w:tcPr>
            <w:tcW w:w="9214" w:type="dxa"/>
            <w:gridSpan w:val="4"/>
            <w:shd w:val="clear" w:color="auto" w:fill="C0C0C0"/>
            <w:vAlign w:val="center"/>
          </w:tcPr>
          <w:p w14:paraId="000BC961" w14:textId="77777777" w:rsidR="00A720E0" w:rsidRDefault="00A720E0" w:rsidP="001769CA">
            <w:pPr>
              <w:rPr>
                <w:b/>
                <w:i/>
              </w:rPr>
            </w:pPr>
            <w:r>
              <w:rPr>
                <w:b/>
                <w:i/>
              </w:rPr>
              <w:lastRenderedPageBreak/>
              <w:t xml:space="preserve">Block foams for various applications including panels, pipe insulation section, </w:t>
            </w:r>
            <w:proofErr w:type="spellStart"/>
            <w:r>
              <w:rPr>
                <w:b/>
                <w:i/>
              </w:rPr>
              <w:t>etc</w:t>
            </w:r>
            <w:proofErr w:type="spellEnd"/>
          </w:p>
        </w:tc>
      </w:tr>
      <w:tr w:rsidR="00A720E0" w14:paraId="628A179C" w14:textId="77777777" w:rsidTr="001769CA">
        <w:trPr>
          <w:cantSplit/>
        </w:trPr>
        <w:tc>
          <w:tcPr>
            <w:tcW w:w="2585" w:type="dxa"/>
            <w:vMerge w:val="restart"/>
            <w:vAlign w:val="center"/>
          </w:tcPr>
          <w:p w14:paraId="3102AD85" w14:textId="77777777" w:rsidR="00A720E0" w:rsidRDefault="00A720E0" w:rsidP="001769CA">
            <w:pPr>
              <w:tabs>
                <w:tab w:val="left" w:pos="720"/>
                <w:tab w:val="left" w:pos="1440"/>
                <w:tab w:val="left" w:pos="3544"/>
                <w:tab w:val="left" w:pos="5760"/>
              </w:tabs>
              <w:ind w:right="-75"/>
              <w:jc w:val="both"/>
              <w:rPr>
                <w:sz w:val="18"/>
              </w:rPr>
            </w:pPr>
            <w:r>
              <w:rPr>
                <w:sz w:val="18"/>
              </w:rPr>
              <w:t>HFC-365mfc/277ea</w:t>
            </w:r>
          </w:p>
        </w:tc>
        <w:tc>
          <w:tcPr>
            <w:tcW w:w="1979" w:type="dxa"/>
            <w:vAlign w:val="center"/>
          </w:tcPr>
          <w:p w14:paraId="4EC791B8" w14:textId="77777777" w:rsidR="00A720E0" w:rsidRDefault="00A720E0"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592E27D8" w14:textId="77777777" w:rsidR="00A720E0" w:rsidRDefault="00A720E0" w:rsidP="001769CA">
            <w:pPr>
              <w:keepNext/>
              <w:widowControl w:val="0"/>
              <w:tabs>
                <w:tab w:val="left" w:pos="1080"/>
                <w:tab w:val="left" w:pos="3544"/>
              </w:tabs>
              <w:jc w:val="both"/>
              <w:outlineLvl w:val="3"/>
              <w:rPr>
                <w:i/>
                <w:sz w:val="18"/>
              </w:rPr>
            </w:pPr>
            <w:r>
              <w:rPr>
                <w:i/>
                <w:sz w:val="18"/>
              </w:rPr>
              <w:t>High GWP</w:t>
            </w:r>
          </w:p>
        </w:tc>
        <w:tc>
          <w:tcPr>
            <w:tcW w:w="2551" w:type="dxa"/>
            <w:vAlign w:val="center"/>
          </w:tcPr>
          <w:p w14:paraId="5ABB67CD" w14:textId="77777777" w:rsidR="00A720E0" w:rsidRDefault="00A720E0" w:rsidP="001769CA">
            <w:pPr>
              <w:keepNext/>
              <w:widowControl w:val="0"/>
              <w:tabs>
                <w:tab w:val="left" w:pos="1080"/>
                <w:tab w:val="left" w:pos="3544"/>
              </w:tabs>
              <w:jc w:val="both"/>
              <w:outlineLvl w:val="3"/>
              <w:rPr>
                <w:i/>
                <w:sz w:val="18"/>
              </w:rPr>
            </w:pPr>
            <w:r>
              <w:rPr>
                <w:i/>
                <w:sz w:val="18"/>
              </w:rPr>
              <w:t>Low conversion costs</w:t>
            </w:r>
          </w:p>
        </w:tc>
      </w:tr>
      <w:tr w:rsidR="00A720E0" w14:paraId="2DB7F43B" w14:textId="77777777" w:rsidTr="001769CA">
        <w:trPr>
          <w:cantSplit/>
          <w:trHeight w:val="529"/>
        </w:trPr>
        <w:tc>
          <w:tcPr>
            <w:tcW w:w="2585" w:type="dxa"/>
            <w:vMerge/>
            <w:vAlign w:val="center"/>
          </w:tcPr>
          <w:p w14:paraId="66B8AA57" w14:textId="77777777" w:rsidR="00A720E0" w:rsidRDefault="00A720E0" w:rsidP="001769CA">
            <w:pPr>
              <w:tabs>
                <w:tab w:val="left" w:pos="720"/>
                <w:tab w:val="left" w:pos="1440"/>
                <w:tab w:val="left" w:pos="3544"/>
                <w:tab w:val="left" w:pos="5760"/>
              </w:tabs>
              <w:ind w:right="-75"/>
              <w:jc w:val="both"/>
              <w:rPr>
                <w:sz w:val="18"/>
              </w:rPr>
            </w:pPr>
          </w:p>
        </w:tc>
        <w:tc>
          <w:tcPr>
            <w:tcW w:w="1979" w:type="dxa"/>
            <w:vAlign w:val="center"/>
          </w:tcPr>
          <w:p w14:paraId="556BB04F" w14:textId="77777777" w:rsidR="00A720E0" w:rsidRDefault="00A720E0" w:rsidP="001769CA">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1F57A556" w14:textId="77777777" w:rsidR="00A720E0" w:rsidRDefault="00A720E0" w:rsidP="001769CA">
            <w:pPr>
              <w:keepNext/>
              <w:widowControl w:val="0"/>
              <w:tabs>
                <w:tab w:val="left" w:pos="1080"/>
                <w:tab w:val="left" w:pos="3544"/>
              </w:tabs>
              <w:ind w:right="-86"/>
              <w:outlineLvl w:val="3"/>
              <w:rPr>
                <w:i/>
                <w:sz w:val="18"/>
              </w:rPr>
            </w:pPr>
            <w:r>
              <w:rPr>
                <w:i/>
                <w:sz w:val="18"/>
              </w:rPr>
              <w:t>High operating costs but improved by using mixed HFC/ CO</w:t>
            </w:r>
            <w:r>
              <w:rPr>
                <w:i/>
                <w:sz w:val="18"/>
                <w:vertAlign w:val="subscript"/>
              </w:rPr>
              <w:t xml:space="preserve">2 </w:t>
            </w:r>
            <w:r>
              <w:rPr>
                <w:i/>
                <w:sz w:val="18"/>
              </w:rPr>
              <w:t>(water)</w:t>
            </w:r>
          </w:p>
        </w:tc>
        <w:tc>
          <w:tcPr>
            <w:tcW w:w="2551" w:type="dxa"/>
            <w:vAlign w:val="center"/>
          </w:tcPr>
          <w:p w14:paraId="006E9788" w14:textId="77777777" w:rsidR="00A720E0" w:rsidRDefault="00A720E0" w:rsidP="001769CA">
            <w:pPr>
              <w:keepNext/>
              <w:widowControl w:val="0"/>
              <w:tabs>
                <w:tab w:val="left" w:pos="1080"/>
                <w:tab w:val="left" w:pos="3544"/>
              </w:tabs>
              <w:ind w:right="-108"/>
              <w:outlineLvl w:val="3"/>
              <w:rPr>
                <w:i/>
                <w:sz w:val="18"/>
              </w:rPr>
            </w:pPr>
          </w:p>
        </w:tc>
      </w:tr>
    </w:tbl>
    <w:p w14:paraId="05213B47" w14:textId="77777777" w:rsidR="00A720E0" w:rsidRPr="00A720E0" w:rsidRDefault="00A720E0" w:rsidP="00A720E0">
      <w:pPr>
        <w:jc w:val="both"/>
        <w:rPr>
          <w:sz w:val="8"/>
          <w:szCs w:val="8"/>
          <w:lang w:eastAsia="ja-JP"/>
        </w:rPr>
      </w:pPr>
    </w:p>
    <w:p w14:paraId="66EBC87A" w14:textId="77777777" w:rsidR="00A720E0" w:rsidRPr="00123C7D" w:rsidRDefault="00A720E0" w:rsidP="00A720E0">
      <w:pPr>
        <w:jc w:val="center"/>
        <w:rPr>
          <w:b/>
        </w:rPr>
      </w:pPr>
      <w:r>
        <w:rPr>
          <w:b/>
          <w:i/>
        </w:rPr>
        <w:t>Table 30</w:t>
      </w:r>
      <w:r w:rsidRPr="00123C7D">
        <w:rPr>
          <w:b/>
          <w:i/>
        </w:rPr>
        <w:t>: Assessment of selection criteria for ODS alte</w:t>
      </w:r>
      <w:r>
        <w:rPr>
          <w:b/>
          <w:i/>
        </w:rPr>
        <w:t>rnatives in the Phenolic Foam</w:t>
      </w:r>
      <w:r w:rsidRPr="00123C7D">
        <w:rPr>
          <w:b/>
          <w:i/>
        </w:rPr>
        <w:t xml:space="preserve"> Sector</w:t>
      </w:r>
    </w:p>
    <w:p w14:paraId="7E76E2EB" w14:textId="77777777" w:rsidR="00A720E0" w:rsidRDefault="00A720E0" w:rsidP="00A720E0">
      <w:pPr>
        <w:rPr>
          <w:lang w:eastAsia="ja-JP"/>
        </w:rPr>
      </w:pPr>
    </w:p>
    <w:p w14:paraId="31EC5DCA" w14:textId="77777777" w:rsidR="00A720E0" w:rsidRDefault="00A720E0" w:rsidP="00A720E0">
      <w:pPr>
        <w:jc w:val="both"/>
        <w:rPr>
          <w:lang w:eastAsia="ja-JP"/>
        </w:rPr>
      </w:pPr>
      <w:r>
        <w:rPr>
          <w:lang w:eastAsia="ja-JP"/>
        </w:rPr>
        <w:t>The lack of low-GWP alternatives for discontinuous block foams signals the need for further work in this area. However, the ranking of these options against the report criteria can be summarised as follows:</w:t>
      </w:r>
    </w:p>
    <w:p w14:paraId="53D6D125" w14:textId="77777777" w:rsidR="00A720E0" w:rsidRPr="00A720E0" w:rsidRDefault="00A720E0" w:rsidP="00A720E0">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441"/>
        <w:gridCol w:w="1874"/>
        <w:gridCol w:w="1647"/>
      </w:tblGrid>
      <w:tr w:rsidR="00A720E0" w14:paraId="78702670" w14:textId="77777777" w:rsidTr="00A720E0">
        <w:trPr>
          <w:jc w:val="center"/>
        </w:trPr>
        <w:tc>
          <w:tcPr>
            <w:tcW w:w="2016" w:type="dxa"/>
            <w:shd w:val="clear" w:color="auto" w:fill="D9D9D9" w:themeFill="background1" w:themeFillShade="D9"/>
          </w:tcPr>
          <w:p w14:paraId="73224C35" w14:textId="77777777" w:rsidR="00A720E0" w:rsidRDefault="00A720E0" w:rsidP="001769CA">
            <w:pPr>
              <w:keepNext/>
              <w:rPr>
                <w:lang w:eastAsia="ja-JP"/>
              </w:rPr>
            </w:pPr>
          </w:p>
        </w:tc>
        <w:tc>
          <w:tcPr>
            <w:tcW w:w="1441" w:type="dxa"/>
            <w:shd w:val="clear" w:color="auto" w:fill="D9D9D9" w:themeFill="background1" w:themeFillShade="D9"/>
            <w:vAlign w:val="center"/>
          </w:tcPr>
          <w:p w14:paraId="05D2904F" w14:textId="77777777" w:rsidR="00A720E0" w:rsidRDefault="00A720E0" w:rsidP="001769CA">
            <w:pPr>
              <w:ind w:hanging="108"/>
              <w:jc w:val="center"/>
              <w:rPr>
                <w:rFonts w:ascii="Calibri" w:hAnsi="Calibri"/>
                <w:b/>
                <w:i/>
                <w:sz w:val="20"/>
                <w:lang w:eastAsia="ja-JP"/>
              </w:rPr>
            </w:pPr>
            <w:r>
              <w:rPr>
                <w:rFonts w:ascii="Calibri" w:hAnsi="Calibri"/>
                <w:b/>
                <w:i/>
                <w:sz w:val="20"/>
                <w:lang w:eastAsia="ja-JP"/>
              </w:rPr>
              <w:t>n-pentane</w:t>
            </w:r>
          </w:p>
          <w:p w14:paraId="79F6CE55" w14:textId="77777777" w:rsidR="00A720E0" w:rsidRDefault="00A720E0" w:rsidP="001769CA">
            <w:pPr>
              <w:ind w:hanging="108"/>
              <w:jc w:val="center"/>
              <w:rPr>
                <w:rFonts w:ascii="Calibri" w:hAnsi="Calibri"/>
                <w:b/>
                <w:i/>
                <w:sz w:val="20"/>
                <w:lang w:eastAsia="ja-JP"/>
              </w:rPr>
            </w:pPr>
            <w:proofErr w:type="spellStart"/>
            <w:r>
              <w:rPr>
                <w:rFonts w:ascii="Calibri" w:hAnsi="Calibri"/>
                <w:b/>
                <w:i/>
                <w:sz w:val="20"/>
                <w:lang w:eastAsia="ja-JP"/>
              </w:rPr>
              <w:t>i</w:t>
            </w:r>
            <w:proofErr w:type="spellEnd"/>
            <w:r>
              <w:rPr>
                <w:rFonts w:ascii="Calibri" w:hAnsi="Calibri"/>
                <w:b/>
                <w:i/>
                <w:sz w:val="20"/>
                <w:lang w:eastAsia="ja-JP"/>
              </w:rPr>
              <w:t>-pentane</w:t>
            </w:r>
          </w:p>
        </w:tc>
        <w:tc>
          <w:tcPr>
            <w:tcW w:w="1874" w:type="dxa"/>
            <w:shd w:val="clear" w:color="auto" w:fill="D9D9D9" w:themeFill="background1" w:themeFillShade="D9"/>
            <w:vAlign w:val="center"/>
          </w:tcPr>
          <w:p w14:paraId="0C569675" w14:textId="77777777" w:rsidR="00A720E0" w:rsidRDefault="00A720E0" w:rsidP="001769CA">
            <w:pPr>
              <w:jc w:val="center"/>
              <w:rPr>
                <w:rFonts w:ascii="Calibri" w:hAnsi="Calibri"/>
                <w:b/>
                <w:i/>
                <w:sz w:val="20"/>
                <w:lang w:eastAsia="ja-JP"/>
              </w:rPr>
            </w:pPr>
            <w:r>
              <w:rPr>
                <w:rFonts w:ascii="Calibri" w:hAnsi="Calibri"/>
                <w:b/>
                <w:i/>
                <w:sz w:val="20"/>
                <w:lang w:eastAsia="ja-JP"/>
              </w:rPr>
              <w:t>2-chloropropane</w:t>
            </w:r>
          </w:p>
        </w:tc>
        <w:tc>
          <w:tcPr>
            <w:tcW w:w="1647" w:type="dxa"/>
            <w:shd w:val="clear" w:color="auto" w:fill="D9D9D9" w:themeFill="background1" w:themeFillShade="D9"/>
            <w:vAlign w:val="center"/>
          </w:tcPr>
          <w:p w14:paraId="70D6B87A" w14:textId="77777777" w:rsidR="00A720E0" w:rsidRDefault="00A720E0" w:rsidP="001769CA">
            <w:pPr>
              <w:jc w:val="center"/>
              <w:rPr>
                <w:rFonts w:ascii="Calibri" w:hAnsi="Calibri"/>
                <w:b/>
                <w:i/>
                <w:sz w:val="20"/>
                <w:lang w:eastAsia="ja-JP"/>
              </w:rPr>
            </w:pPr>
            <w:r>
              <w:rPr>
                <w:rFonts w:ascii="Calibri" w:hAnsi="Calibri"/>
                <w:b/>
                <w:i/>
                <w:sz w:val="20"/>
                <w:lang w:eastAsia="ja-JP"/>
              </w:rPr>
              <w:t>HFC-365/227ea</w:t>
            </w:r>
          </w:p>
        </w:tc>
      </w:tr>
      <w:tr w:rsidR="00A720E0" w14:paraId="3FF659CC" w14:textId="77777777" w:rsidTr="001769CA">
        <w:trPr>
          <w:trHeight w:hRule="exact" w:val="113"/>
          <w:jc w:val="center"/>
        </w:trPr>
        <w:tc>
          <w:tcPr>
            <w:tcW w:w="2016" w:type="dxa"/>
          </w:tcPr>
          <w:p w14:paraId="017F9C4A" w14:textId="77777777" w:rsidR="00A720E0" w:rsidRDefault="00A720E0" w:rsidP="001769CA">
            <w:pPr>
              <w:keepNext/>
              <w:rPr>
                <w:rFonts w:ascii="Calibri" w:hAnsi="Calibri"/>
                <w:sz w:val="20"/>
                <w:lang w:eastAsia="ja-JP"/>
              </w:rPr>
            </w:pPr>
          </w:p>
        </w:tc>
        <w:tc>
          <w:tcPr>
            <w:tcW w:w="1441" w:type="dxa"/>
          </w:tcPr>
          <w:p w14:paraId="179B7144" w14:textId="77777777" w:rsidR="00A720E0" w:rsidRDefault="00A720E0" w:rsidP="001769CA">
            <w:pPr>
              <w:rPr>
                <w:rFonts w:ascii="Calibri" w:hAnsi="Calibri"/>
                <w:sz w:val="20"/>
                <w:lang w:eastAsia="ja-JP"/>
              </w:rPr>
            </w:pPr>
          </w:p>
        </w:tc>
        <w:tc>
          <w:tcPr>
            <w:tcW w:w="1874" w:type="dxa"/>
          </w:tcPr>
          <w:p w14:paraId="415501E4" w14:textId="77777777" w:rsidR="00A720E0" w:rsidRDefault="00A720E0" w:rsidP="001769CA">
            <w:pPr>
              <w:rPr>
                <w:rFonts w:ascii="Calibri" w:hAnsi="Calibri"/>
                <w:sz w:val="20"/>
                <w:lang w:eastAsia="ja-JP"/>
              </w:rPr>
            </w:pPr>
          </w:p>
        </w:tc>
        <w:tc>
          <w:tcPr>
            <w:tcW w:w="1647" w:type="dxa"/>
          </w:tcPr>
          <w:p w14:paraId="7536520B" w14:textId="77777777" w:rsidR="00A720E0" w:rsidRDefault="00A720E0" w:rsidP="001769CA">
            <w:pPr>
              <w:rPr>
                <w:rFonts w:ascii="Calibri" w:hAnsi="Calibri"/>
                <w:sz w:val="20"/>
                <w:lang w:eastAsia="ja-JP"/>
              </w:rPr>
            </w:pPr>
          </w:p>
        </w:tc>
      </w:tr>
      <w:tr w:rsidR="00A720E0" w14:paraId="35212332" w14:textId="77777777" w:rsidTr="001769CA">
        <w:trPr>
          <w:jc w:val="center"/>
        </w:trPr>
        <w:tc>
          <w:tcPr>
            <w:tcW w:w="2016" w:type="dxa"/>
          </w:tcPr>
          <w:p w14:paraId="68DFACDE" w14:textId="77777777" w:rsidR="00A720E0" w:rsidRDefault="00A720E0" w:rsidP="001769CA">
            <w:pPr>
              <w:keepNext/>
              <w:rPr>
                <w:rFonts w:ascii="Calibri" w:hAnsi="Calibri"/>
                <w:sz w:val="20"/>
                <w:lang w:eastAsia="ja-JP"/>
              </w:rPr>
            </w:pPr>
            <w:r>
              <w:rPr>
                <w:rFonts w:ascii="Calibri" w:hAnsi="Calibri"/>
                <w:sz w:val="20"/>
                <w:lang w:eastAsia="ja-JP"/>
              </w:rPr>
              <w:t>Proof of performance</w:t>
            </w:r>
          </w:p>
        </w:tc>
        <w:tc>
          <w:tcPr>
            <w:tcW w:w="1441" w:type="dxa"/>
          </w:tcPr>
          <w:p w14:paraId="67F79E9B"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218C97F9"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647" w:type="dxa"/>
          </w:tcPr>
          <w:p w14:paraId="29AEE202" w14:textId="77777777" w:rsidR="00A720E0" w:rsidRDefault="00A720E0" w:rsidP="001769CA">
            <w:pPr>
              <w:jc w:val="center"/>
              <w:rPr>
                <w:rFonts w:ascii="Calibri" w:hAnsi="Calibri"/>
                <w:sz w:val="20"/>
                <w:lang w:eastAsia="ja-JP"/>
              </w:rPr>
            </w:pPr>
            <w:r>
              <w:rPr>
                <w:rFonts w:ascii="Calibri" w:hAnsi="Calibri"/>
                <w:sz w:val="20"/>
                <w:lang w:eastAsia="ja-JP"/>
              </w:rPr>
              <w:t>+</w:t>
            </w:r>
          </w:p>
        </w:tc>
      </w:tr>
      <w:tr w:rsidR="00A720E0" w14:paraId="4F86C3EB" w14:textId="77777777" w:rsidTr="001769CA">
        <w:trPr>
          <w:jc w:val="center"/>
        </w:trPr>
        <w:tc>
          <w:tcPr>
            <w:tcW w:w="2016" w:type="dxa"/>
          </w:tcPr>
          <w:p w14:paraId="534FFF0B" w14:textId="77777777" w:rsidR="00A720E0" w:rsidRDefault="00A720E0" w:rsidP="001769CA">
            <w:pPr>
              <w:keepNext/>
              <w:rPr>
                <w:rFonts w:ascii="Calibri" w:hAnsi="Calibri"/>
                <w:sz w:val="20"/>
                <w:lang w:eastAsia="ja-JP"/>
              </w:rPr>
            </w:pPr>
            <w:r>
              <w:rPr>
                <w:rFonts w:ascii="Calibri" w:hAnsi="Calibri"/>
                <w:sz w:val="20"/>
                <w:lang w:eastAsia="ja-JP"/>
              </w:rPr>
              <w:t>Flammability</w:t>
            </w:r>
          </w:p>
        </w:tc>
        <w:tc>
          <w:tcPr>
            <w:tcW w:w="1441" w:type="dxa"/>
          </w:tcPr>
          <w:p w14:paraId="3EF82695"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50ECF6F2" w14:textId="77777777" w:rsidR="00A720E0" w:rsidRDefault="00A720E0" w:rsidP="001769CA">
            <w:pPr>
              <w:jc w:val="center"/>
              <w:rPr>
                <w:rFonts w:ascii="Calibri" w:hAnsi="Calibri"/>
                <w:sz w:val="20"/>
                <w:lang w:eastAsia="ja-JP"/>
              </w:rPr>
            </w:pPr>
            <w:r>
              <w:rPr>
                <w:rFonts w:ascii="Calibri" w:hAnsi="Calibri"/>
                <w:sz w:val="20"/>
                <w:lang w:eastAsia="ja-JP"/>
              </w:rPr>
              <w:t>0</w:t>
            </w:r>
          </w:p>
        </w:tc>
        <w:tc>
          <w:tcPr>
            <w:tcW w:w="1647" w:type="dxa"/>
          </w:tcPr>
          <w:p w14:paraId="2DCA936F" w14:textId="77777777" w:rsidR="00A720E0" w:rsidRDefault="00A720E0" w:rsidP="001769CA">
            <w:pPr>
              <w:jc w:val="center"/>
              <w:rPr>
                <w:rFonts w:ascii="Calibri" w:hAnsi="Calibri"/>
                <w:sz w:val="20"/>
                <w:lang w:eastAsia="ja-JP"/>
              </w:rPr>
            </w:pPr>
            <w:r>
              <w:rPr>
                <w:rFonts w:ascii="Calibri" w:hAnsi="Calibri"/>
                <w:sz w:val="20"/>
                <w:lang w:eastAsia="ja-JP"/>
              </w:rPr>
              <w:t>++</w:t>
            </w:r>
          </w:p>
        </w:tc>
      </w:tr>
      <w:tr w:rsidR="00A720E0" w14:paraId="3013FF55" w14:textId="77777777" w:rsidTr="001769CA">
        <w:trPr>
          <w:jc w:val="center"/>
        </w:trPr>
        <w:tc>
          <w:tcPr>
            <w:tcW w:w="2016" w:type="dxa"/>
          </w:tcPr>
          <w:p w14:paraId="0016E9DD" w14:textId="77777777" w:rsidR="00A720E0" w:rsidRDefault="00A720E0" w:rsidP="001769CA">
            <w:pPr>
              <w:keepNext/>
              <w:rPr>
                <w:rFonts w:ascii="Calibri" w:hAnsi="Calibri"/>
                <w:sz w:val="20"/>
                <w:lang w:eastAsia="ja-JP"/>
              </w:rPr>
            </w:pPr>
            <w:r>
              <w:rPr>
                <w:rFonts w:ascii="Calibri" w:hAnsi="Calibri"/>
                <w:sz w:val="20"/>
                <w:lang w:eastAsia="ja-JP"/>
              </w:rPr>
              <w:t>Other Health &amp; Safety</w:t>
            </w:r>
          </w:p>
        </w:tc>
        <w:tc>
          <w:tcPr>
            <w:tcW w:w="1441" w:type="dxa"/>
          </w:tcPr>
          <w:p w14:paraId="0A166E73" w14:textId="77777777" w:rsidR="00A720E0" w:rsidRDefault="00A720E0" w:rsidP="001769CA">
            <w:pPr>
              <w:jc w:val="center"/>
              <w:rPr>
                <w:rFonts w:ascii="Calibri" w:hAnsi="Calibri"/>
                <w:sz w:val="20"/>
                <w:lang w:eastAsia="ja-JP"/>
              </w:rPr>
            </w:pPr>
            <w:r>
              <w:rPr>
                <w:rFonts w:ascii="Calibri" w:hAnsi="Calibri"/>
                <w:sz w:val="20"/>
                <w:lang w:eastAsia="ja-JP"/>
              </w:rPr>
              <w:t>0</w:t>
            </w:r>
          </w:p>
        </w:tc>
        <w:tc>
          <w:tcPr>
            <w:tcW w:w="1874" w:type="dxa"/>
          </w:tcPr>
          <w:p w14:paraId="1997D6DF" w14:textId="77777777" w:rsidR="00A720E0" w:rsidRDefault="00A720E0" w:rsidP="001769CA">
            <w:pPr>
              <w:jc w:val="center"/>
              <w:rPr>
                <w:rFonts w:ascii="Calibri" w:hAnsi="Calibri"/>
                <w:sz w:val="20"/>
                <w:lang w:eastAsia="ja-JP"/>
              </w:rPr>
            </w:pPr>
            <w:r>
              <w:rPr>
                <w:rFonts w:ascii="Calibri" w:hAnsi="Calibri"/>
                <w:sz w:val="20"/>
                <w:lang w:eastAsia="ja-JP"/>
              </w:rPr>
              <w:t>0</w:t>
            </w:r>
          </w:p>
        </w:tc>
        <w:tc>
          <w:tcPr>
            <w:tcW w:w="1647" w:type="dxa"/>
          </w:tcPr>
          <w:p w14:paraId="711AE6C5" w14:textId="77777777" w:rsidR="00A720E0" w:rsidRDefault="00A720E0" w:rsidP="001769CA">
            <w:pPr>
              <w:jc w:val="center"/>
              <w:rPr>
                <w:rFonts w:ascii="Calibri" w:hAnsi="Calibri"/>
                <w:sz w:val="20"/>
                <w:lang w:eastAsia="ja-JP"/>
              </w:rPr>
            </w:pPr>
            <w:r>
              <w:rPr>
                <w:rFonts w:ascii="Calibri" w:hAnsi="Calibri"/>
                <w:sz w:val="20"/>
                <w:lang w:eastAsia="ja-JP"/>
              </w:rPr>
              <w:t>+</w:t>
            </w:r>
          </w:p>
        </w:tc>
      </w:tr>
      <w:tr w:rsidR="00A720E0" w14:paraId="7561C753" w14:textId="77777777" w:rsidTr="001769CA">
        <w:trPr>
          <w:jc w:val="center"/>
        </w:trPr>
        <w:tc>
          <w:tcPr>
            <w:tcW w:w="2016" w:type="dxa"/>
          </w:tcPr>
          <w:p w14:paraId="0A373992" w14:textId="77777777" w:rsidR="00A720E0" w:rsidRDefault="00A720E0" w:rsidP="001769CA">
            <w:pPr>
              <w:rPr>
                <w:rFonts w:ascii="Calibri" w:hAnsi="Calibri"/>
                <w:sz w:val="20"/>
                <w:lang w:eastAsia="ja-JP"/>
              </w:rPr>
            </w:pPr>
            <w:r>
              <w:rPr>
                <w:rFonts w:ascii="Calibri" w:hAnsi="Calibri"/>
                <w:sz w:val="20"/>
                <w:lang w:eastAsia="ja-JP"/>
              </w:rPr>
              <w:t>Global Warming</w:t>
            </w:r>
          </w:p>
        </w:tc>
        <w:tc>
          <w:tcPr>
            <w:tcW w:w="1441" w:type="dxa"/>
          </w:tcPr>
          <w:p w14:paraId="03A859C7"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6C88E28F"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647" w:type="dxa"/>
          </w:tcPr>
          <w:p w14:paraId="5A687BC9" w14:textId="77777777" w:rsidR="00A720E0" w:rsidRDefault="00A720E0" w:rsidP="001769CA">
            <w:pPr>
              <w:jc w:val="center"/>
              <w:rPr>
                <w:rFonts w:ascii="Calibri" w:hAnsi="Calibri"/>
                <w:sz w:val="20"/>
                <w:lang w:eastAsia="ja-JP"/>
              </w:rPr>
            </w:pPr>
            <w:r>
              <w:rPr>
                <w:rFonts w:ascii="Calibri" w:hAnsi="Calibri"/>
                <w:sz w:val="20"/>
                <w:lang w:eastAsia="ja-JP"/>
              </w:rPr>
              <w:t>---</w:t>
            </w:r>
          </w:p>
        </w:tc>
      </w:tr>
      <w:tr w:rsidR="00A720E0" w14:paraId="01F050DE" w14:textId="77777777" w:rsidTr="001769CA">
        <w:trPr>
          <w:jc w:val="center"/>
        </w:trPr>
        <w:tc>
          <w:tcPr>
            <w:tcW w:w="2016" w:type="dxa"/>
          </w:tcPr>
          <w:p w14:paraId="4328BE47" w14:textId="77777777" w:rsidR="00A720E0" w:rsidRDefault="00A720E0" w:rsidP="001769CA">
            <w:pPr>
              <w:rPr>
                <w:rFonts w:ascii="Calibri" w:hAnsi="Calibri"/>
                <w:sz w:val="20"/>
                <w:lang w:eastAsia="ja-JP"/>
              </w:rPr>
            </w:pPr>
            <w:r>
              <w:rPr>
                <w:rFonts w:ascii="Calibri" w:hAnsi="Calibri"/>
                <w:sz w:val="20"/>
                <w:lang w:eastAsia="ja-JP"/>
              </w:rPr>
              <w:t>Other Environmental</w:t>
            </w:r>
          </w:p>
        </w:tc>
        <w:tc>
          <w:tcPr>
            <w:tcW w:w="1441" w:type="dxa"/>
          </w:tcPr>
          <w:p w14:paraId="0D187ED7"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7FC6B7CC" w14:textId="77777777" w:rsidR="00A720E0" w:rsidRDefault="00A720E0" w:rsidP="001769CA">
            <w:pPr>
              <w:jc w:val="center"/>
              <w:rPr>
                <w:rFonts w:ascii="Calibri" w:hAnsi="Calibri"/>
                <w:sz w:val="20"/>
                <w:lang w:eastAsia="ja-JP"/>
              </w:rPr>
            </w:pPr>
            <w:r>
              <w:rPr>
                <w:rFonts w:ascii="Calibri" w:hAnsi="Calibri"/>
                <w:sz w:val="20"/>
                <w:lang w:eastAsia="ja-JP"/>
              </w:rPr>
              <w:t>0</w:t>
            </w:r>
          </w:p>
        </w:tc>
        <w:tc>
          <w:tcPr>
            <w:tcW w:w="1647" w:type="dxa"/>
          </w:tcPr>
          <w:p w14:paraId="05860812" w14:textId="77777777" w:rsidR="00A720E0" w:rsidRDefault="00A720E0" w:rsidP="001769CA">
            <w:pPr>
              <w:jc w:val="center"/>
              <w:rPr>
                <w:rFonts w:ascii="Calibri" w:hAnsi="Calibri"/>
                <w:sz w:val="20"/>
                <w:lang w:eastAsia="ja-JP"/>
              </w:rPr>
            </w:pPr>
            <w:r>
              <w:rPr>
                <w:rFonts w:ascii="Calibri" w:hAnsi="Calibri"/>
                <w:sz w:val="20"/>
                <w:lang w:eastAsia="ja-JP"/>
              </w:rPr>
              <w:t>0</w:t>
            </w:r>
          </w:p>
        </w:tc>
      </w:tr>
      <w:tr w:rsidR="00A720E0" w14:paraId="2A78E975" w14:textId="77777777" w:rsidTr="001769CA">
        <w:trPr>
          <w:jc w:val="center"/>
        </w:trPr>
        <w:tc>
          <w:tcPr>
            <w:tcW w:w="2016" w:type="dxa"/>
          </w:tcPr>
          <w:p w14:paraId="7B5AFC35" w14:textId="77777777" w:rsidR="00A720E0" w:rsidRDefault="00A720E0" w:rsidP="001769CA">
            <w:pPr>
              <w:rPr>
                <w:rFonts w:ascii="Calibri" w:hAnsi="Calibri"/>
                <w:sz w:val="20"/>
                <w:lang w:eastAsia="ja-JP"/>
              </w:rPr>
            </w:pPr>
            <w:r>
              <w:rPr>
                <w:rFonts w:ascii="Calibri" w:hAnsi="Calibri"/>
                <w:sz w:val="20"/>
                <w:lang w:eastAsia="ja-JP"/>
              </w:rPr>
              <w:t>Cost Effectiveness (C)</w:t>
            </w:r>
          </w:p>
        </w:tc>
        <w:tc>
          <w:tcPr>
            <w:tcW w:w="1441" w:type="dxa"/>
          </w:tcPr>
          <w:p w14:paraId="6C8A79DC"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1771E064"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647" w:type="dxa"/>
          </w:tcPr>
          <w:p w14:paraId="06BA0C5C" w14:textId="77777777" w:rsidR="00A720E0" w:rsidRDefault="00A720E0" w:rsidP="001769CA">
            <w:pPr>
              <w:jc w:val="center"/>
              <w:rPr>
                <w:rFonts w:ascii="Calibri" w:hAnsi="Calibri"/>
                <w:sz w:val="20"/>
                <w:lang w:eastAsia="ja-JP"/>
              </w:rPr>
            </w:pPr>
            <w:r>
              <w:rPr>
                <w:rFonts w:ascii="Calibri" w:hAnsi="Calibri"/>
                <w:sz w:val="20"/>
                <w:lang w:eastAsia="ja-JP"/>
              </w:rPr>
              <w:t>++</w:t>
            </w:r>
          </w:p>
        </w:tc>
      </w:tr>
      <w:tr w:rsidR="00A720E0" w14:paraId="1DB11FFD" w14:textId="77777777" w:rsidTr="001769CA">
        <w:trPr>
          <w:jc w:val="center"/>
        </w:trPr>
        <w:tc>
          <w:tcPr>
            <w:tcW w:w="2016" w:type="dxa"/>
          </w:tcPr>
          <w:p w14:paraId="7BA104A4" w14:textId="77777777" w:rsidR="00A720E0" w:rsidRDefault="00A720E0" w:rsidP="001769CA">
            <w:pPr>
              <w:rPr>
                <w:rFonts w:ascii="Calibri" w:hAnsi="Calibri"/>
                <w:sz w:val="20"/>
                <w:lang w:eastAsia="ja-JP"/>
              </w:rPr>
            </w:pPr>
            <w:r>
              <w:rPr>
                <w:rFonts w:ascii="Calibri" w:hAnsi="Calibri"/>
                <w:sz w:val="20"/>
                <w:lang w:eastAsia="ja-JP"/>
              </w:rPr>
              <w:t>Cost Effectiveness (O)</w:t>
            </w:r>
          </w:p>
        </w:tc>
        <w:tc>
          <w:tcPr>
            <w:tcW w:w="1441" w:type="dxa"/>
          </w:tcPr>
          <w:p w14:paraId="6B3C114B"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7A70650D"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647" w:type="dxa"/>
          </w:tcPr>
          <w:p w14:paraId="44E198D6" w14:textId="77777777" w:rsidR="00A720E0" w:rsidRDefault="00A720E0" w:rsidP="001769CA">
            <w:pPr>
              <w:jc w:val="center"/>
              <w:rPr>
                <w:rFonts w:ascii="Calibri" w:hAnsi="Calibri"/>
                <w:sz w:val="20"/>
                <w:lang w:eastAsia="ja-JP"/>
              </w:rPr>
            </w:pPr>
            <w:r>
              <w:rPr>
                <w:rFonts w:ascii="Calibri" w:hAnsi="Calibri"/>
                <w:sz w:val="20"/>
                <w:lang w:eastAsia="ja-JP"/>
              </w:rPr>
              <w:t>--</w:t>
            </w:r>
          </w:p>
        </w:tc>
      </w:tr>
      <w:tr w:rsidR="00A720E0" w14:paraId="6194C683" w14:textId="77777777" w:rsidTr="001769CA">
        <w:trPr>
          <w:jc w:val="center"/>
        </w:trPr>
        <w:tc>
          <w:tcPr>
            <w:tcW w:w="2016" w:type="dxa"/>
          </w:tcPr>
          <w:p w14:paraId="2F24E302" w14:textId="77777777" w:rsidR="00A720E0" w:rsidRDefault="00A720E0" w:rsidP="001769CA">
            <w:pPr>
              <w:rPr>
                <w:rFonts w:ascii="Calibri" w:hAnsi="Calibri"/>
                <w:sz w:val="20"/>
                <w:lang w:eastAsia="ja-JP"/>
              </w:rPr>
            </w:pPr>
            <w:r>
              <w:rPr>
                <w:rFonts w:ascii="Calibri" w:hAnsi="Calibri"/>
                <w:sz w:val="20"/>
                <w:lang w:eastAsia="ja-JP"/>
              </w:rPr>
              <w:t>Process Versatility</w:t>
            </w:r>
          </w:p>
        </w:tc>
        <w:tc>
          <w:tcPr>
            <w:tcW w:w="1441" w:type="dxa"/>
          </w:tcPr>
          <w:p w14:paraId="3525A31C"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874" w:type="dxa"/>
          </w:tcPr>
          <w:p w14:paraId="7FEF4BC6" w14:textId="77777777" w:rsidR="00A720E0" w:rsidRDefault="00A720E0" w:rsidP="001769CA">
            <w:pPr>
              <w:jc w:val="center"/>
              <w:rPr>
                <w:rFonts w:ascii="Calibri" w:hAnsi="Calibri"/>
                <w:sz w:val="20"/>
                <w:lang w:eastAsia="ja-JP"/>
              </w:rPr>
            </w:pPr>
            <w:r>
              <w:rPr>
                <w:rFonts w:ascii="Calibri" w:hAnsi="Calibri"/>
                <w:sz w:val="20"/>
                <w:lang w:eastAsia="ja-JP"/>
              </w:rPr>
              <w:t>+</w:t>
            </w:r>
          </w:p>
        </w:tc>
        <w:tc>
          <w:tcPr>
            <w:tcW w:w="1647" w:type="dxa"/>
          </w:tcPr>
          <w:p w14:paraId="1A3AECA2" w14:textId="77777777" w:rsidR="00A720E0" w:rsidRDefault="00A720E0" w:rsidP="001769CA">
            <w:pPr>
              <w:jc w:val="center"/>
              <w:rPr>
                <w:rFonts w:ascii="Calibri" w:hAnsi="Calibri"/>
                <w:sz w:val="20"/>
                <w:lang w:eastAsia="ja-JP"/>
              </w:rPr>
            </w:pPr>
            <w:r>
              <w:rPr>
                <w:rFonts w:ascii="Calibri" w:hAnsi="Calibri"/>
                <w:sz w:val="20"/>
                <w:lang w:eastAsia="ja-JP"/>
              </w:rPr>
              <w:t>++</w:t>
            </w:r>
          </w:p>
        </w:tc>
      </w:tr>
    </w:tbl>
    <w:p w14:paraId="23906A41" w14:textId="77777777" w:rsidR="001769CA" w:rsidRPr="001769CA" w:rsidRDefault="001769CA" w:rsidP="001769CA">
      <w:pPr>
        <w:spacing w:line="259" w:lineRule="auto"/>
        <w:jc w:val="center"/>
        <w:rPr>
          <w:b/>
          <w:i/>
          <w:sz w:val="8"/>
          <w:szCs w:val="8"/>
        </w:rPr>
      </w:pPr>
    </w:p>
    <w:p w14:paraId="76491135" w14:textId="77777777" w:rsidR="001769CA" w:rsidRPr="00123C7D" w:rsidRDefault="001769CA" w:rsidP="001769CA">
      <w:pPr>
        <w:spacing w:line="259" w:lineRule="auto"/>
        <w:jc w:val="center"/>
        <w:rPr>
          <w:b/>
          <w:i/>
        </w:rPr>
      </w:pPr>
      <w:r>
        <w:rPr>
          <w:b/>
          <w:i/>
        </w:rPr>
        <w:t>Table 31</w:t>
      </w:r>
      <w:r w:rsidRPr="00123C7D">
        <w:rPr>
          <w:b/>
          <w:i/>
        </w:rPr>
        <w:t>: Indicative assessment of criteria for emerging alte</w:t>
      </w:r>
      <w:r>
        <w:rPr>
          <w:b/>
          <w:i/>
        </w:rPr>
        <w:t>rnatives in the Phenolic Foam</w:t>
      </w:r>
      <w:r w:rsidRPr="00123C7D">
        <w:rPr>
          <w:b/>
          <w:i/>
        </w:rPr>
        <w:t xml:space="preserve"> Sector</w:t>
      </w:r>
    </w:p>
    <w:p w14:paraId="6C261709" w14:textId="77777777" w:rsidR="001769CA" w:rsidRDefault="001769CA" w:rsidP="001769CA">
      <w:pPr>
        <w:pStyle w:val="Heading4"/>
      </w:pPr>
    </w:p>
    <w:p w14:paraId="0C4EACFC" w14:textId="77777777" w:rsidR="001769CA" w:rsidRDefault="001769CA" w:rsidP="001769CA">
      <w:pPr>
        <w:pStyle w:val="Heading4"/>
      </w:pPr>
      <w:r>
        <w:t>Emerging Alternatives</w:t>
      </w:r>
    </w:p>
    <w:p w14:paraId="414EE4A3" w14:textId="77777777" w:rsidR="001769CA" w:rsidRDefault="001769CA" w:rsidP="001769CA">
      <w:pPr>
        <w:pStyle w:val="Heading4"/>
        <w:rPr>
          <w:sz w:val="8"/>
          <w:szCs w:val="8"/>
        </w:rPr>
      </w:pPr>
    </w:p>
    <w:p w14:paraId="0AA617B0" w14:textId="77777777" w:rsidR="001769CA" w:rsidRDefault="001769CA" w:rsidP="001769CA">
      <w:pPr>
        <w:jc w:val="both"/>
        <w:rPr>
          <w:lang w:eastAsia="ja-JP"/>
        </w:rPr>
      </w:pPr>
      <w:r>
        <w:rPr>
          <w:lang w:eastAsia="ja-JP"/>
        </w:rPr>
        <w:t xml:space="preserve">As with other sectors, there is considerable focus on the potential of unsaturated HFCs/HCFCs.  </w:t>
      </w:r>
    </w:p>
    <w:p w14:paraId="20E75F94" w14:textId="77777777" w:rsidR="001769CA" w:rsidRDefault="001769CA" w:rsidP="001769CA">
      <w:pPr>
        <w:jc w:val="both"/>
        <w:rPr>
          <w:lang w:eastAsia="ja-JP"/>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979"/>
        <w:gridCol w:w="2099"/>
        <w:gridCol w:w="2551"/>
      </w:tblGrid>
      <w:tr w:rsidR="001769CA" w14:paraId="30AE99C0" w14:textId="77777777" w:rsidTr="00710522">
        <w:trPr>
          <w:cantSplit/>
        </w:trPr>
        <w:tc>
          <w:tcPr>
            <w:tcW w:w="9214" w:type="dxa"/>
            <w:gridSpan w:val="4"/>
            <w:shd w:val="clear" w:color="auto" w:fill="FFFFFF"/>
            <w:vAlign w:val="center"/>
          </w:tcPr>
          <w:p w14:paraId="674A83C9" w14:textId="77777777" w:rsidR="001769CA" w:rsidRDefault="001769CA" w:rsidP="001769CA">
            <w:pPr>
              <w:tabs>
                <w:tab w:val="left" w:pos="3544"/>
              </w:tabs>
              <w:spacing w:line="240" w:lineRule="atLeast"/>
              <w:ind w:right="-108"/>
              <w:jc w:val="center"/>
              <w:rPr>
                <w:b/>
                <w:i/>
                <w:sz w:val="20"/>
                <w:lang w:eastAsia="es-ES"/>
              </w:rPr>
            </w:pPr>
            <w:r>
              <w:rPr>
                <w:b/>
                <w:i/>
                <w:sz w:val="20"/>
                <w:lang w:eastAsia="es-ES"/>
              </w:rPr>
              <w:t>HCFC REPLACEMENT OPTIONS FOR PF FOAM FOR BUILDING/ CONSTRUCTION APPLICATIONS</w:t>
            </w:r>
          </w:p>
        </w:tc>
      </w:tr>
      <w:tr w:rsidR="001769CA" w14:paraId="18DF3354" w14:textId="77777777" w:rsidTr="00710522">
        <w:trPr>
          <w:cantSplit/>
        </w:trPr>
        <w:tc>
          <w:tcPr>
            <w:tcW w:w="2585" w:type="dxa"/>
            <w:tcBorders>
              <w:bottom w:val="single" w:sz="4" w:space="0" w:color="auto"/>
            </w:tcBorders>
            <w:shd w:val="clear" w:color="auto" w:fill="FFFFFF"/>
            <w:vAlign w:val="center"/>
          </w:tcPr>
          <w:p w14:paraId="354D2B86" w14:textId="77777777" w:rsidR="001769CA" w:rsidRDefault="001769CA" w:rsidP="001769CA">
            <w:pPr>
              <w:tabs>
                <w:tab w:val="left" w:pos="3544"/>
              </w:tabs>
              <w:ind w:right="-75"/>
              <w:jc w:val="center"/>
              <w:rPr>
                <w:b/>
                <w:sz w:val="18"/>
              </w:rPr>
            </w:pPr>
            <w:r>
              <w:rPr>
                <w:b/>
                <w:sz w:val="18"/>
              </w:rPr>
              <w:t>SECTOR/OPTION</w:t>
            </w:r>
          </w:p>
        </w:tc>
        <w:tc>
          <w:tcPr>
            <w:tcW w:w="1979" w:type="dxa"/>
            <w:tcBorders>
              <w:bottom w:val="single" w:sz="4" w:space="0" w:color="auto"/>
            </w:tcBorders>
            <w:shd w:val="clear" w:color="auto" w:fill="FFFFFF"/>
            <w:vAlign w:val="center"/>
          </w:tcPr>
          <w:p w14:paraId="6C8B862C" w14:textId="77777777" w:rsidR="001769CA" w:rsidRDefault="001769CA" w:rsidP="001769CA">
            <w:pPr>
              <w:keepNext/>
              <w:widowControl w:val="0"/>
              <w:tabs>
                <w:tab w:val="left" w:pos="1080"/>
                <w:tab w:val="left" w:pos="3544"/>
              </w:tabs>
              <w:spacing w:before="120" w:after="120"/>
              <w:jc w:val="center"/>
              <w:outlineLvl w:val="3"/>
              <w:rPr>
                <w:b/>
                <w:i/>
                <w:sz w:val="18"/>
              </w:rPr>
            </w:pPr>
            <w:r>
              <w:rPr>
                <w:b/>
                <w:i/>
                <w:sz w:val="18"/>
              </w:rPr>
              <w:t>PROS</w:t>
            </w:r>
          </w:p>
        </w:tc>
        <w:tc>
          <w:tcPr>
            <w:tcW w:w="2099" w:type="dxa"/>
            <w:tcBorders>
              <w:bottom w:val="single" w:sz="4" w:space="0" w:color="auto"/>
            </w:tcBorders>
            <w:shd w:val="clear" w:color="auto" w:fill="FFFFFF"/>
            <w:vAlign w:val="center"/>
          </w:tcPr>
          <w:p w14:paraId="3FA745AA" w14:textId="77777777" w:rsidR="001769CA" w:rsidRDefault="001769CA" w:rsidP="001769CA">
            <w:pPr>
              <w:keepNext/>
              <w:widowControl w:val="0"/>
              <w:tabs>
                <w:tab w:val="left" w:pos="1080"/>
                <w:tab w:val="left" w:pos="3544"/>
              </w:tabs>
              <w:spacing w:before="120" w:after="120"/>
              <w:jc w:val="center"/>
              <w:outlineLvl w:val="3"/>
              <w:rPr>
                <w:b/>
                <w:i/>
                <w:sz w:val="18"/>
              </w:rPr>
            </w:pPr>
            <w:r>
              <w:rPr>
                <w:b/>
                <w:i/>
                <w:sz w:val="18"/>
              </w:rPr>
              <w:t>CONS</w:t>
            </w:r>
          </w:p>
        </w:tc>
        <w:tc>
          <w:tcPr>
            <w:tcW w:w="2551" w:type="dxa"/>
            <w:tcBorders>
              <w:bottom w:val="single" w:sz="4" w:space="0" w:color="auto"/>
            </w:tcBorders>
            <w:shd w:val="clear" w:color="auto" w:fill="FFFFFF"/>
            <w:vAlign w:val="center"/>
          </w:tcPr>
          <w:p w14:paraId="0F285205" w14:textId="77777777" w:rsidR="001769CA" w:rsidRDefault="001769CA" w:rsidP="001769CA">
            <w:pPr>
              <w:keepNext/>
              <w:widowControl w:val="0"/>
              <w:tabs>
                <w:tab w:val="left" w:pos="1080"/>
                <w:tab w:val="left" w:pos="3544"/>
              </w:tabs>
              <w:spacing w:before="120" w:after="120"/>
              <w:jc w:val="center"/>
              <w:outlineLvl w:val="3"/>
              <w:rPr>
                <w:b/>
                <w:i/>
                <w:sz w:val="18"/>
              </w:rPr>
            </w:pPr>
            <w:r>
              <w:rPr>
                <w:b/>
                <w:i/>
                <w:sz w:val="18"/>
              </w:rPr>
              <w:t>COMMENTS</w:t>
            </w:r>
          </w:p>
        </w:tc>
      </w:tr>
      <w:tr w:rsidR="001769CA" w14:paraId="14BC084E" w14:textId="77777777" w:rsidTr="00710522">
        <w:trPr>
          <w:cantSplit/>
        </w:trPr>
        <w:tc>
          <w:tcPr>
            <w:tcW w:w="9214" w:type="dxa"/>
            <w:gridSpan w:val="4"/>
            <w:shd w:val="clear" w:color="auto" w:fill="C0C0C0"/>
            <w:vAlign w:val="center"/>
          </w:tcPr>
          <w:p w14:paraId="45C0E91E" w14:textId="77777777" w:rsidR="001769CA" w:rsidRDefault="001769CA" w:rsidP="001769CA">
            <w:pPr>
              <w:rPr>
                <w:b/>
                <w:i/>
              </w:rPr>
            </w:pPr>
            <w:r>
              <w:rPr>
                <w:b/>
                <w:i/>
              </w:rPr>
              <w:t>Continuous processes (including flexibly-faced lamination and pipe section manufacture)</w:t>
            </w:r>
          </w:p>
        </w:tc>
      </w:tr>
      <w:tr w:rsidR="00710522" w14:paraId="718582C8" w14:textId="77777777" w:rsidTr="00710522">
        <w:trPr>
          <w:cantSplit/>
        </w:trPr>
        <w:tc>
          <w:tcPr>
            <w:tcW w:w="2585" w:type="dxa"/>
            <w:vMerge w:val="restart"/>
            <w:vAlign w:val="center"/>
          </w:tcPr>
          <w:p w14:paraId="0C975B1A" w14:textId="77777777" w:rsidR="00710522" w:rsidRDefault="00710522" w:rsidP="001769CA">
            <w:pPr>
              <w:tabs>
                <w:tab w:val="left" w:pos="720"/>
                <w:tab w:val="left" w:pos="1440"/>
                <w:tab w:val="left" w:pos="3544"/>
                <w:tab w:val="left" w:pos="5760"/>
              </w:tabs>
              <w:ind w:right="-75"/>
              <w:jc w:val="both"/>
              <w:rPr>
                <w:sz w:val="18"/>
              </w:rPr>
            </w:pPr>
            <w:r>
              <w:rPr>
                <w:sz w:val="18"/>
              </w:rPr>
              <w:t>Unsaturated HFC/HCFC liquids</w:t>
            </w:r>
          </w:p>
        </w:tc>
        <w:tc>
          <w:tcPr>
            <w:tcW w:w="1979" w:type="dxa"/>
            <w:vAlign w:val="center"/>
          </w:tcPr>
          <w:p w14:paraId="258EA1DB" w14:textId="77777777" w:rsidR="00710522" w:rsidRDefault="00710522"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6BE404E1" w14:textId="77777777" w:rsidR="00710522" w:rsidRDefault="00710522" w:rsidP="001769CA">
            <w:pPr>
              <w:keepNext/>
              <w:widowControl w:val="0"/>
              <w:tabs>
                <w:tab w:val="left" w:pos="1080"/>
                <w:tab w:val="left" w:pos="3544"/>
              </w:tabs>
              <w:jc w:val="both"/>
              <w:outlineLvl w:val="3"/>
              <w:rPr>
                <w:i/>
                <w:sz w:val="18"/>
              </w:rPr>
            </w:pPr>
            <w:r>
              <w:rPr>
                <w:i/>
                <w:sz w:val="18"/>
              </w:rPr>
              <w:t>Low conversion costs</w:t>
            </w:r>
          </w:p>
        </w:tc>
        <w:tc>
          <w:tcPr>
            <w:tcW w:w="2551" w:type="dxa"/>
            <w:vMerge w:val="restart"/>
            <w:vAlign w:val="center"/>
          </w:tcPr>
          <w:p w14:paraId="259C2007" w14:textId="68F887B1" w:rsidR="00710522" w:rsidRDefault="00710522" w:rsidP="00710522">
            <w:pPr>
              <w:keepNext/>
              <w:widowControl w:val="0"/>
              <w:tabs>
                <w:tab w:val="left" w:pos="1080"/>
                <w:tab w:val="left" w:pos="3544"/>
              </w:tabs>
              <w:jc w:val="both"/>
              <w:outlineLvl w:val="3"/>
              <w:rPr>
                <w:i/>
                <w:sz w:val="18"/>
              </w:rPr>
            </w:pPr>
            <w:r>
              <w:rPr>
                <w:i/>
                <w:sz w:val="18"/>
              </w:rPr>
              <w:t>Successfully trialled and now pursuing re-standardisation</w:t>
            </w:r>
          </w:p>
        </w:tc>
      </w:tr>
      <w:tr w:rsidR="00710522" w14:paraId="30B16AA1" w14:textId="77777777" w:rsidTr="00710522">
        <w:trPr>
          <w:cantSplit/>
          <w:trHeight w:val="246"/>
        </w:trPr>
        <w:tc>
          <w:tcPr>
            <w:tcW w:w="2585" w:type="dxa"/>
            <w:vMerge/>
            <w:vAlign w:val="center"/>
          </w:tcPr>
          <w:p w14:paraId="29F7357C" w14:textId="77777777" w:rsidR="00710522" w:rsidRDefault="00710522" w:rsidP="001769CA">
            <w:pPr>
              <w:tabs>
                <w:tab w:val="left" w:pos="720"/>
                <w:tab w:val="left" w:pos="1440"/>
                <w:tab w:val="left" w:pos="3544"/>
                <w:tab w:val="left" w:pos="5760"/>
              </w:tabs>
              <w:ind w:right="-75"/>
              <w:jc w:val="both"/>
              <w:rPr>
                <w:sz w:val="18"/>
              </w:rPr>
            </w:pPr>
          </w:p>
        </w:tc>
        <w:tc>
          <w:tcPr>
            <w:tcW w:w="1979" w:type="dxa"/>
            <w:vAlign w:val="center"/>
          </w:tcPr>
          <w:p w14:paraId="0BCB8F38" w14:textId="77777777" w:rsidR="00710522" w:rsidRDefault="00710522" w:rsidP="001769CA">
            <w:pPr>
              <w:keepNext/>
              <w:widowControl w:val="0"/>
              <w:tabs>
                <w:tab w:val="left" w:pos="1080"/>
                <w:tab w:val="left" w:pos="3544"/>
              </w:tabs>
              <w:jc w:val="both"/>
              <w:outlineLvl w:val="3"/>
              <w:rPr>
                <w:i/>
                <w:sz w:val="18"/>
              </w:rPr>
            </w:pPr>
            <w:r>
              <w:rPr>
                <w:i/>
                <w:sz w:val="18"/>
              </w:rPr>
              <w:t>Good foam properties</w:t>
            </w:r>
          </w:p>
        </w:tc>
        <w:tc>
          <w:tcPr>
            <w:tcW w:w="2099" w:type="dxa"/>
            <w:vAlign w:val="center"/>
          </w:tcPr>
          <w:p w14:paraId="1B422186" w14:textId="77777777" w:rsidR="00710522" w:rsidRDefault="00710522" w:rsidP="001769CA">
            <w:pPr>
              <w:keepNext/>
              <w:widowControl w:val="0"/>
              <w:tabs>
                <w:tab w:val="left" w:pos="1080"/>
                <w:tab w:val="left" w:pos="3544"/>
              </w:tabs>
              <w:ind w:right="-86"/>
              <w:outlineLvl w:val="3"/>
              <w:rPr>
                <w:i/>
                <w:sz w:val="18"/>
              </w:rPr>
            </w:pPr>
            <w:r>
              <w:rPr>
                <w:i/>
                <w:sz w:val="18"/>
              </w:rPr>
              <w:t xml:space="preserve">High operating costs </w:t>
            </w:r>
          </w:p>
        </w:tc>
        <w:tc>
          <w:tcPr>
            <w:tcW w:w="2551" w:type="dxa"/>
            <w:vMerge/>
            <w:vAlign w:val="center"/>
          </w:tcPr>
          <w:p w14:paraId="530CE4C6" w14:textId="77777777" w:rsidR="00710522" w:rsidRDefault="00710522" w:rsidP="001769CA">
            <w:pPr>
              <w:keepNext/>
              <w:widowControl w:val="0"/>
              <w:tabs>
                <w:tab w:val="left" w:pos="1080"/>
                <w:tab w:val="left" w:pos="3544"/>
              </w:tabs>
              <w:ind w:right="-108"/>
              <w:outlineLvl w:val="3"/>
              <w:rPr>
                <w:i/>
                <w:sz w:val="18"/>
              </w:rPr>
            </w:pPr>
          </w:p>
        </w:tc>
      </w:tr>
      <w:tr w:rsidR="001769CA" w14:paraId="3F388AF3" w14:textId="77777777" w:rsidTr="00710522">
        <w:trPr>
          <w:cantSplit/>
        </w:trPr>
        <w:tc>
          <w:tcPr>
            <w:tcW w:w="9214" w:type="dxa"/>
            <w:gridSpan w:val="4"/>
            <w:shd w:val="clear" w:color="auto" w:fill="C0C0C0"/>
            <w:vAlign w:val="center"/>
          </w:tcPr>
          <w:p w14:paraId="21546F24" w14:textId="77777777" w:rsidR="001769CA" w:rsidRDefault="001769CA" w:rsidP="001769CA">
            <w:pPr>
              <w:rPr>
                <w:b/>
                <w:i/>
              </w:rPr>
            </w:pPr>
            <w:r>
              <w:rPr>
                <w:b/>
                <w:i/>
              </w:rPr>
              <w:t>Block foams for various applications including panels, pipe insulation section, etc.</w:t>
            </w:r>
          </w:p>
        </w:tc>
      </w:tr>
      <w:tr w:rsidR="00710522" w14:paraId="7B775143" w14:textId="77777777" w:rsidTr="00710522">
        <w:trPr>
          <w:cantSplit/>
        </w:trPr>
        <w:tc>
          <w:tcPr>
            <w:tcW w:w="2585" w:type="dxa"/>
            <w:vMerge w:val="restart"/>
            <w:vAlign w:val="center"/>
          </w:tcPr>
          <w:p w14:paraId="77376211" w14:textId="77777777" w:rsidR="00710522" w:rsidRDefault="00710522" w:rsidP="001769CA">
            <w:pPr>
              <w:tabs>
                <w:tab w:val="left" w:pos="720"/>
                <w:tab w:val="left" w:pos="1440"/>
                <w:tab w:val="left" w:pos="3544"/>
                <w:tab w:val="left" w:pos="5760"/>
              </w:tabs>
              <w:ind w:right="-75"/>
              <w:jc w:val="both"/>
              <w:rPr>
                <w:sz w:val="18"/>
              </w:rPr>
            </w:pPr>
            <w:r>
              <w:rPr>
                <w:sz w:val="18"/>
              </w:rPr>
              <w:t>Unsaturated HFC/HCFC liquids</w:t>
            </w:r>
          </w:p>
        </w:tc>
        <w:tc>
          <w:tcPr>
            <w:tcW w:w="1979" w:type="dxa"/>
            <w:vAlign w:val="center"/>
          </w:tcPr>
          <w:p w14:paraId="22BA258E" w14:textId="77777777" w:rsidR="00710522" w:rsidRDefault="00710522" w:rsidP="001769CA">
            <w:pPr>
              <w:keepNext/>
              <w:widowControl w:val="0"/>
              <w:tabs>
                <w:tab w:val="left" w:pos="1080"/>
                <w:tab w:val="left" w:pos="3544"/>
              </w:tabs>
              <w:jc w:val="both"/>
              <w:outlineLvl w:val="3"/>
              <w:rPr>
                <w:i/>
                <w:sz w:val="18"/>
              </w:rPr>
            </w:pPr>
            <w:r>
              <w:rPr>
                <w:i/>
                <w:sz w:val="18"/>
              </w:rPr>
              <w:t>Non-flammable</w:t>
            </w:r>
          </w:p>
        </w:tc>
        <w:tc>
          <w:tcPr>
            <w:tcW w:w="2099" w:type="dxa"/>
            <w:vAlign w:val="center"/>
          </w:tcPr>
          <w:p w14:paraId="5A3F8A55" w14:textId="77777777" w:rsidR="00710522" w:rsidRDefault="00710522" w:rsidP="001769CA">
            <w:pPr>
              <w:keepNext/>
              <w:widowControl w:val="0"/>
              <w:tabs>
                <w:tab w:val="left" w:pos="1080"/>
                <w:tab w:val="left" w:pos="3544"/>
              </w:tabs>
              <w:jc w:val="both"/>
              <w:outlineLvl w:val="3"/>
              <w:rPr>
                <w:i/>
                <w:sz w:val="18"/>
              </w:rPr>
            </w:pPr>
            <w:r>
              <w:rPr>
                <w:i/>
                <w:sz w:val="18"/>
              </w:rPr>
              <w:t>Low conversion costs</w:t>
            </w:r>
          </w:p>
        </w:tc>
        <w:tc>
          <w:tcPr>
            <w:tcW w:w="2551" w:type="dxa"/>
            <w:vMerge w:val="restart"/>
            <w:vAlign w:val="center"/>
          </w:tcPr>
          <w:p w14:paraId="52AABF3C" w14:textId="1671E382" w:rsidR="00710522" w:rsidRDefault="00710522" w:rsidP="001769CA">
            <w:pPr>
              <w:keepNext/>
              <w:widowControl w:val="0"/>
              <w:tabs>
                <w:tab w:val="left" w:pos="1080"/>
                <w:tab w:val="left" w:pos="3544"/>
              </w:tabs>
              <w:jc w:val="both"/>
              <w:outlineLvl w:val="3"/>
              <w:rPr>
                <w:i/>
                <w:sz w:val="18"/>
              </w:rPr>
            </w:pPr>
            <w:r>
              <w:rPr>
                <w:i/>
                <w:sz w:val="18"/>
              </w:rPr>
              <w:t>Successfully trialled and now pursuing re-standardisation</w:t>
            </w:r>
          </w:p>
        </w:tc>
      </w:tr>
      <w:tr w:rsidR="00710522" w14:paraId="6039DFA7" w14:textId="77777777" w:rsidTr="00710522">
        <w:trPr>
          <w:cantSplit/>
          <w:trHeight w:val="529"/>
        </w:trPr>
        <w:tc>
          <w:tcPr>
            <w:tcW w:w="2585" w:type="dxa"/>
            <w:vMerge/>
            <w:vAlign w:val="center"/>
          </w:tcPr>
          <w:p w14:paraId="2B7569D5" w14:textId="77777777" w:rsidR="00710522" w:rsidRDefault="00710522" w:rsidP="001769CA">
            <w:pPr>
              <w:tabs>
                <w:tab w:val="left" w:pos="720"/>
                <w:tab w:val="left" w:pos="1440"/>
                <w:tab w:val="left" w:pos="3544"/>
                <w:tab w:val="left" w:pos="5760"/>
              </w:tabs>
              <w:ind w:right="-75"/>
              <w:jc w:val="both"/>
              <w:rPr>
                <w:sz w:val="18"/>
              </w:rPr>
            </w:pPr>
          </w:p>
        </w:tc>
        <w:tc>
          <w:tcPr>
            <w:tcW w:w="1979" w:type="dxa"/>
            <w:vAlign w:val="center"/>
          </w:tcPr>
          <w:p w14:paraId="5269D8D5" w14:textId="77777777" w:rsidR="00710522" w:rsidRDefault="00710522" w:rsidP="001769CA">
            <w:pPr>
              <w:keepNext/>
              <w:widowControl w:val="0"/>
              <w:tabs>
                <w:tab w:val="left" w:pos="1080"/>
                <w:tab w:val="left" w:pos="3544"/>
              </w:tabs>
              <w:ind w:right="-80"/>
              <w:outlineLvl w:val="3"/>
              <w:rPr>
                <w:i/>
                <w:sz w:val="18"/>
              </w:rPr>
            </w:pPr>
            <w:r>
              <w:rPr>
                <w:i/>
                <w:sz w:val="18"/>
              </w:rPr>
              <w:t>Good foam properties</w:t>
            </w:r>
          </w:p>
        </w:tc>
        <w:tc>
          <w:tcPr>
            <w:tcW w:w="2099" w:type="dxa"/>
            <w:vAlign w:val="center"/>
          </w:tcPr>
          <w:p w14:paraId="41B05605" w14:textId="77777777" w:rsidR="00710522" w:rsidRDefault="00710522" w:rsidP="001769CA">
            <w:pPr>
              <w:keepNext/>
              <w:widowControl w:val="0"/>
              <w:tabs>
                <w:tab w:val="left" w:pos="1080"/>
                <w:tab w:val="left" w:pos="3544"/>
              </w:tabs>
              <w:ind w:right="-86"/>
              <w:outlineLvl w:val="3"/>
              <w:rPr>
                <w:i/>
                <w:sz w:val="18"/>
              </w:rPr>
            </w:pPr>
            <w:r>
              <w:rPr>
                <w:i/>
                <w:sz w:val="18"/>
              </w:rPr>
              <w:t>High operating costs</w:t>
            </w:r>
          </w:p>
        </w:tc>
        <w:tc>
          <w:tcPr>
            <w:tcW w:w="2551" w:type="dxa"/>
            <w:vMerge/>
            <w:vAlign w:val="center"/>
          </w:tcPr>
          <w:p w14:paraId="24E0D436" w14:textId="77777777" w:rsidR="00710522" w:rsidRDefault="00710522" w:rsidP="001769CA">
            <w:pPr>
              <w:keepNext/>
              <w:widowControl w:val="0"/>
              <w:tabs>
                <w:tab w:val="left" w:pos="1080"/>
                <w:tab w:val="left" w:pos="3544"/>
              </w:tabs>
              <w:ind w:right="-108"/>
              <w:outlineLvl w:val="3"/>
              <w:rPr>
                <w:i/>
                <w:sz w:val="18"/>
              </w:rPr>
            </w:pPr>
          </w:p>
        </w:tc>
      </w:tr>
    </w:tbl>
    <w:p w14:paraId="2745E0D0" w14:textId="77777777" w:rsidR="001769CA" w:rsidRPr="001769CA" w:rsidRDefault="001769CA" w:rsidP="001769CA">
      <w:pPr>
        <w:jc w:val="both"/>
        <w:rPr>
          <w:sz w:val="16"/>
          <w:szCs w:val="16"/>
          <w:lang w:eastAsia="ja-JP"/>
        </w:rPr>
      </w:pPr>
    </w:p>
    <w:p w14:paraId="3ECE488E" w14:textId="77777777" w:rsidR="001769CA" w:rsidRDefault="001769CA" w:rsidP="001769CA">
      <w:pPr>
        <w:jc w:val="center"/>
        <w:rPr>
          <w:lang w:eastAsia="ja-JP"/>
        </w:rPr>
      </w:pPr>
      <w:r w:rsidRPr="00123C7D">
        <w:rPr>
          <w:b/>
          <w:i/>
        </w:rPr>
        <w:t>T</w:t>
      </w:r>
      <w:r>
        <w:rPr>
          <w:b/>
          <w:i/>
        </w:rPr>
        <w:t>able 32</w:t>
      </w:r>
      <w:r w:rsidRPr="00123C7D">
        <w:rPr>
          <w:b/>
          <w:i/>
        </w:rPr>
        <w:t>: Emerging alternatives to ODS in the</w:t>
      </w:r>
      <w:r>
        <w:rPr>
          <w:b/>
          <w:i/>
        </w:rPr>
        <w:t xml:space="preserve"> Phenolic Foam</w:t>
      </w:r>
      <w:r w:rsidRPr="00123C7D">
        <w:rPr>
          <w:b/>
          <w:i/>
        </w:rPr>
        <w:t xml:space="preserve"> Sector</w:t>
      </w:r>
    </w:p>
    <w:p w14:paraId="0AC243E2" w14:textId="77777777" w:rsidR="001769CA" w:rsidRDefault="001769CA" w:rsidP="001769CA">
      <w:pPr>
        <w:jc w:val="both"/>
        <w:rPr>
          <w:lang w:eastAsia="ja-JP"/>
        </w:rPr>
      </w:pPr>
    </w:p>
    <w:p w14:paraId="59B2F5D7" w14:textId="77777777" w:rsidR="001769CA" w:rsidRDefault="001769CA" w:rsidP="001769CA">
      <w:pPr>
        <w:jc w:val="both"/>
        <w:rPr>
          <w:lang w:eastAsia="ja-JP"/>
        </w:rPr>
      </w:pPr>
      <w:r>
        <w:rPr>
          <w:lang w:eastAsia="ja-JP"/>
        </w:rPr>
        <w:t xml:space="preserve">One drawback for the adoption of this technology in phenolic foam is that there is no </w:t>
      </w:r>
      <w:proofErr w:type="gramStart"/>
      <w:r>
        <w:rPr>
          <w:lang w:eastAsia="ja-JP"/>
        </w:rPr>
        <w:t>CO</w:t>
      </w:r>
      <w:r>
        <w:rPr>
          <w:vertAlign w:val="subscript"/>
          <w:lang w:eastAsia="ja-JP"/>
        </w:rPr>
        <w:t>2</w:t>
      </w:r>
      <w:r>
        <w:rPr>
          <w:lang w:eastAsia="ja-JP"/>
        </w:rPr>
        <w:t>(</w:t>
      </w:r>
      <w:proofErr w:type="gramEnd"/>
      <w:r>
        <w:rPr>
          <w:lang w:eastAsia="ja-JP"/>
        </w:rPr>
        <w:t xml:space="preserve">water) co-blowing to offset some of the cost. Another option might be to use unsaturated HFCs/HCFCs as components of blends with hydrocarbons or other blowing agents. However, care will need to be taken with discontinuous block foams to avoid process flammability issues. Even if the technical hurdles are overcome, the investment case may not be compelling for the transition out of saturated HFCs in the discontinuous block foam sector in view of the small quantities consumed. It may require market pressure on the continued use of saturated HFCs or evidence of significant thermal performance improvements to provide additional support for the next transition step. </w:t>
      </w:r>
    </w:p>
    <w:p w14:paraId="418E108C" w14:textId="77777777" w:rsidR="001769CA" w:rsidRDefault="001769CA" w:rsidP="001769CA">
      <w:pPr>
        <w:jc w:val="both"/>
        <w:rPr>
          <w:lang w:eastAsia="ja-JP"/>
        </w:rPr>
      </w:pPr>
    </w:p>
    <w:p w14:paraId="021DA3BA" w14:textId="77777777" w:rsidR="001769CA" w:rsidRDefault="001769CA" w:rsidP="001769CA">
      <w:pPr>
        <w:jc w:val="both"/>
        <w:rPr>
          <w:lang w:eastAsia="ja-JP"/>
        </w:rPr>
      </w:pPr>
      <w:r>
        <w:rPr>
          <w:lang w:eastAsia="ja-JP"/>
        </w:rPr>
        <w:t>Table 33 summarises the current status of these emerging options with respect to phenolic foam.</w:t>
      </w:r>
    </w:p>
    <w:p w14:paraId="461EDA61" w14:textId="77777777" w:rsidR="001769CA" w:rsidRDefault="001769CA" w:rsidP="001769CA">
      <w:pPr>
        <w:jc w:val="both"/>
        <w:rPr>
          <w:lang w:eastAsia="ja-JP"/>
        </w:rPr>
      </w:pPr>
      <w:r>
        <w:rPr>
          <w:lang w:eastAsia="ja-JP"/>
        </w:rPr>
        <w:t xml:space="preserve"> </w:t>
      </w:r>
    </w:p>
    <w:p w14:paraId="28ACA3D8" w14:textId="77777777" w:rsidR="001769CA" w:rsidRDefault="001769CA" w:rsidP="001769CA">
      <w:pPr>
        <w:jc w:val="both"/>
        <w:rPr>
          <w:lang w:eastAsia="ja-JP"/>
        </w:rPr>
      </w:pPr>
    </w:p>
    <w:p w14:paraId="02164F78" w14:textId="77777777" w:rsidR="001769CA" w:rsidRDefault="001769CA" w:rsidP="001769CA">
      <w:pPr>
        <w:jc w:val="both"/>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90"/>
        <w:gridCol w:w="1743"/>
      </w:tblGrid>
      <w:tr w:rsidR="001769CA" w14:paraId="573AE3AB" w14:textId="77777777" w:rsidTr="001769CA">
        <w:trPr>
          <w:jc w:val="center"/>
        </w:trPr>
        <w:tc>
          <w:tcPr>
            <w:tcW w:w="2067" w:type="dxa"/>
            <w:shd w:val="clear" w:color="auto" w:fill="D9D9D9" w:themeFill="background1" w:themeFillShade="D9"/>
          </w:tcPr>
          <w:p w14:paraId="2CF35256" w14:textId="77777777" w:rsidR="001769CA" w:rsidRDefault="001769CA" w:rsidP="001769CA">
            <w:pPr>
              <w:rPr>
                <w:lang w:eastAsia="ja-JP"/>
              </w:rPr>
            </w:pPr>
          </w:p>
        </w:tc>
        <w:tc>
          <w:tcPr>
            <w:tcW w:w="2090" w:type="dxa"/>
            <w:shd w:val="clear" w:color="auto" w:fill="D9D9D9" w:themeFill="background1" w:themeFillShade="D9"/>
            <w:vAlign w:val="center"/>
          </w:tcPr>
          <w:p w14:paraId="0DAA7960" w14:textId="77777777" w:rsidR="001769CA" w:rsidRDefault="001769CA" w:rsidP="001769CA">
            <w:pPr>
              <w:jc w:val="center"/>
              <w:rPr>
                <w:rFonts w:ascii="Calibri" w:hAnsi="Calibri"/>
                <w:b/>
                <w:i/>
                <w:sz w:val="20"/>
                <w:lang w:eastAsia="ja-JP"/>
              </w:rPr>
            </w:pPr>
            <w:r>
              <w:rPr>
                <w:rFonts w:ascii="Calibri" w:hAnsi="Calibri"/>
                <w:b/>
                <w:i/>
                <w:sz w:val="20"/>
                <w:lang w:eastAsia="ja-JP"/>
              </w:rPr>
              <w:t>HFO-1336mzzm(Z)</w:t>
            </w:r>
          </w:p>
        </w:tc>
        <w:tc>
          <w:tcPr>
            <w:tcW w:w="1743" w:type="dxa"/>
            <w:shd w:val="clear" w:color="auto" w:fill="D9D9D9" w:themeFill="background1" w:themeFillShade="D9"/>
            <w:vAlign w:val="center"/>
          </w:tcPr>
          <w:p w14:paraId="5FFF10F8" w14:textId="77777777" w:rsidR="001769CA" w:rsidRDefault="001769CA" w:rsidP="001769CA">
            <w:pPr>
              <w:jc w:val="center"/>
              <w:rPr>
                <w:rFonts w:ascii="Calibri" w:hAnsi="Calibri"/>
                <w:b/>
                <w:i/>
                <w:sz w:val="20"/>
                <w:lang w:eastAsia="ja-JP"/>
              </w:rPr>
            </w:pPr>
            <w:r>
              <w:rPr>
                <w:rFonts w:ascii="Calibri" w:hAnsi="Calibri"/>
                <w:b/>
                <w:i/>
                <w:sz w:val="20"/>
                <w:lang w:eastAsia="ja-JP"/>
              </w:rPr>
              <w:t>HFO-1233zd(E)</w:t>
            </w:r>
          </w:p>
        </w:tc>
      </w:tr>
      <w:tr w:rsidR="001769CA" w14:paraId="4FF1294F" w14:textId="77777777" w:rsidTr="001769CA">
        <w:trPr>
          <w:trHeight w:hRule="exact" w:val="295"/>
          <w:jc w:val="center"/>
        </w:trPr>
        <w:tc>
          <w:tcPr>
            <w:tcW w:w="2067" w:type="dxa"/>
          </w:tcPr>
          <w:p w14:paraId="093CEE57" w14:textId="77777777" w:rsidR="001769CA" w:rsidRDefault="001769CA" w:rsidP="001769CA">
            <w:pPr>
              <w:rPr>
                <w:rFonts w:ascii="Calibri" w:hAnsi="Calibri"/>
                <w:sz w:val="20"/>
                <w:lang w:eastAsia="ja-JP"/>
              </w:rPr>
            </w:pPr>
          </w:p>
        </w:tc>
        <w:tc>
          <w:tcPr>
            <w:tcW w:w="2090" w:type="dxa"/>
            <w:vAlign w:val="center"/>
          </w:tcPr>
          <w:p w14:paraId="01904392" w14:textId="77777777" w:rsidR="001769CA" w:rsidRDefault="001769CA" w:rsidP="001769CA">
            <w:pPr>
              <w:jc w:val="center"/>
              <w:rPr>
                <w:rFonts w:ascii="Calibri" w:hAnsi="Calibri"/>
                <w:i/>
                <w:sz w:val="20"/>
                <w:lang w:eastAsia="ja-JP"/>
              </w:rPr>
            </w:pPr>
            <w:r>
              <w:rPr>
                <w:rFonts w:ascii="Calibri" w:hAnsi="Calibri"/>
                <w:i/>
                <w:sz w:val="20"/>
                <w:lang w:eastAsia="ja-JP"/>
              </w:rPr>
              <w:t>liquid</w:t>
            </w:r>
          </w:p>
        </w:tc>
        <w:tc>
          <w:tcPr>
            <w:tcW w:w="1743" w:type="dxa"/>
            <w:vAlign w:val="center"/>
          </w:tcPr>
          <w:p w14:paraId="167CE1DA" w14:textId="77777777" w:rsidR="001769CA" w:rsidRDefault="001769CA" w:rsidP="001769CA">
            <w:pPr>
              <w:jc w:val="center"/>
              <w:rPr>
                <w:rFonts w:ascii="Calibri" w:hAnsi="Calibri"/>
                <w:i/>
                <w:sz w:val="20"/>
                <w:lang w:eastAsia="ja-JP"/>
              </w:rPr>
            </w:pPr>
            <w:r>
              <w:rPr>
                <w:rFonts w:ascii="Calibri" w:hAnsi="Calibri"/>
                <w:i/>
                <w:sz w:val="20"/>
                <w:lang w:eastAsia="ja-JP"/>
              </w:rPr>
              <w:t>Liquid</w:t>
            </w:r>
          </w:p>
        </w:tc>
      </w:tr>
      <w:tr w:rsidR="001769CA" w14:paraId="0B4BD933" w14:textId="77777777" w:rsidTr="001769CA">
        <w:trPr>
          <w:jc w:val="center"/>
        </w:trPr>
        <w:tc>
          <w:tcPr>
            <w:tcW w:w="2067" w:type="dxa"/>
          </w:tcPr>
          <w:p w14:paraId="71CA9B1E" w14:textId="77777777" w:rsidR="001769CA" w:rsidRDefault="001769CA" w:rsidP="001769CA">
            <w:pPr>
              <w:rPr>
                <w:rFonts w:ascii="Calibri" w:hAnsi="Calibri"/>
                <w:sz w:val="20"/>
                <w:lang w:eastAsia="ja-JP"/>
              </w:rPr>
            </w:pPr>
            <w:r>
              <w:rPr>
                <w:rFonts w:ascii="Calibri" w:hAnsi="Calibri"/>
                <w:sz w:val="20"/>
                <w:lang w:eastAsia="ja-JP"/>
              </w:rPr>
              <w:t>Proof of performance</w:t>
            </w:r>
          </w:p>
        </w:tc>
        <w:tc>
          <w:tcPr>
            <w:tcW w:w="2090" w:type="dxa"/>
          </w:tcPr>
          <w:p w14:paraId="04ADC723" w14:textId="77777777" w:rsidR="001769CA" w:rsidRDefault="001769CA" w:rsidP="001769CA">
            <w:pPr>
              <w:jc w:val="center"/>
              <w:rPr>
                <w:rFonts w:ascii="Calibri" w:hAnsi="Calibri"/>
                <w:sz w:val="20"/>
                <w:lang w:eastAsia="ja-JP"/>
              </w:rPr>
            </w:pPr>
            <w:r>
              <w:rPr>
                <w:rFonts w:ascii="Calibri" w:hAnsi="Calibri"/>
                <w:sz w:val="20"/>
                <w:lang w:eastAsia="ja-JP"/>
              </w:rPr>
              <w:t>0</w:t>
            </w:r>
          </w:p>
        </w:tc>
        <w:tc>
          <w:tcPr>
            <w:tcW w:w="1743" w:type="dxa"/>
          </w:tcPr>
          <w:p w14:paraId="19BD394C"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7E06003B" w14:textId="77777777" w:rsidTr="001769CA">
        <w:trPr>
          <w:jc w:val="center"/>
        </w:trPr>
        <w:tc>
          <w:tcPr>
            <w:tcW w:w="2067" w:type="dxa"/>
          </w:tcPr>
          <w:p w14:paraId="77D84307" w14:textId="77777777" w:rsidR="001769CA" w:rsidRDefault="001769CA" w:rsidP="001769CA">
            <w:pPr>
              <w:rPr>
                <w:rFonts w:ascii="Calibri" w:hAnsi="Calibri"/>
                <w:sz w:val="20"/>
                <w:lang w:eastAsia="ja-JP"/>
              </w:rPr>
            </w:pPr>
            <w:r>
              <w:rPr>
                <w:rFonts w:ascii="Calibri" w:hAnsi="Calibri"/>
                <w:sz w:val="20"/>
                <w:lang w:eastAsia="ja-JP"/>
              </w:rPr>
              <w:t>Flammability</w:t>
            </w:r>
          </w:p>
        </w:tc>
        <w:tc>
          <w:tcPr>
            <w:tcW w:w="2090" w:type="dxa"/>
          </w:tcPr>
          <w:p w14:paraId="3E906B04"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45663B84"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30562EC6" w14:textId="77777777" w:rsidTr="001769CA">
        <w:trPr>
          <w:jc w:val="center"/>
        </w:trPr>
        <w:tc>
          <w:tcPr>
            <w:tcW w:w="2067" w:type="dxa"/>
          </w:tcPr>
          <w:p w14:paraId="4743CA00" w14:textId="77777777" w:rsidR="001769CA" w:rsidRDefault="001769CA" w:rsidP="001769CA">
            <w:pPr>
              <w:rPr>
                <w:rFonts w:ascii="Calibri" w:hAnsi="Calibri"/>
                <w:sz w:val="20"/>
                <w:lang w:eastAsia="ja-JP"/>
              </w:rPr>
            </w:pPr>
            <w:r>
              <w:rPr>
                <w:rFonts w:ascii="Calibri" w:hAnsi="Calibri"/>
                <w:sz w:val="20"/>
                <w:lang w:eastAsia="ja-JP"/>
              </w:rPr>
              <w:t>Other Health &amp; Safety</w:t>
            </w:r>
          </w:p>
        </w:tc>
        <w:tc>
          <w:tcPr>
            <w:tcW w:w="2090" w:type="dxa"/>
          </w:tcPr>
          <w:p w14:paraId="0EA93181"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0BDCCAA1"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2C7EDACC" w14:textId="77777777" w:rsidTr="001769CA">
        <w:trPr>
          <w:jc w:val="center"/>
        </w:trPr>
        <w:tc>
          <w:tcPr>
            <w:tcW w:w="2067" w:type="dxa"/>
          </w:tcPr>
          <w:p w14:paraId="754D22D1" w14:textId="77777777" w:rsidR="001769CA" w:rsidRDefault="001769CA" w:rsidP="001769CA">
            <w:pPr>
              <w:rPr>
                <w:rFonts w:ascii="Calibri" w:hAnsi="Calibri"/>
                <w:sz w:val="20"/>
                <w:lang w:eastAsia="ja-JP"/>
              </w:rPr>
            </w:pPr>
            <w:r>
              <w:rPr>
                <w:rFonts w:ascii="Calibri" w:hAnsi="Calibri"/>
                <w:sz w:val="20"/>
                <w:lang w:eastAsia="ja-JP"/>
              </w:rPr>
              <w:t>Global Warming</w:t>
            </w:r>
          </w:p>
        </w:tc>
        <w:tc>
          <w:tcPr>
            <w:tcW w:w="2090" w:type="dxa"/>
          </w:tcPr>
          <w:p w14:paraId="2B3D914E"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73FC2E08"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633A3314" w14:textId="77777777" w:rsidTr="001769CA">
        <w:trPr>
          <w:jc w:val="center"/>
        </w:trPr>
        <w:tc>
          <w:tcPr>
            <w:tcW w:w="2067" w:type="dxa"/>
          </w:tcPr>
          <w:p w14:paraId="199CA18C" w14:textId="77777777" w:rsidR="001769CA" w:rsidRDefault="001769CA" w:rsidP="001769CA">
            <w:pPr>
              <w:rPr>
                <w:rFonts w:ascii="Calibri" w:hAnsi="Calibri"/>
                <w:sz w:val="20"/>
                <w:lang w:eastAsia="ja-JP"/>
              </w:rPr>
            </w:pPr>
            <w:r>
              <w:rPr>
                <w:rFonts w:ascii="Calibri" w:hAnsi="Calibri"/>
                <w:sz w:val="20"/>
                <w:lang w:eastAsia="ja-JP"/>
              </w:rPr>
              <w:t>Other Environmental</w:t>
            </w:r>
          </w:p>
        </w:tc>
        <w:tc>
          <w:tcPr>
            <w:tcW w:w="2090" w:type="dxa"/>
          </w:tcPr>
          <w:p w14:paraId="28EE3EBE"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56E9D26B"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3FF78BA6" w14:textId="77777777" w:rsidTr="001769CA">
        <w:trPr>
          <w:jc w:val="center"/>
        </w:trPr>
        <w:tc>
          <w:tcPr>
            <w:tcW w:w="2067" w:type="dxa"/>
          </w:tcPr>
          <w:p w14:paraId="4AC668CC" w14:textId="77777777" w:rsidR="001769CA" w:rsidRDefault="001769CA" w:rsidP="001769CA">
            <w:pPr>
              <w:rPr>
                <w:rFonts w:ascii="Calibri" w:hAnsi="Calibri"/>
                <w:sz w:val="20"/>
                <w:lang w:eastAsia="ja-JP"/>
              </w:rPr>
            </w:pPr>
            <w:r>
              <w:rPr>
                <w:rFonts w:ascii="Calibri" w:hAnsi="Calibri"/>
                <w:sz w:val="20"/>
                <w:lang w:eastAsia="ja-JP"/>
              </w:rPr>
              <w:t>Cost Effectiveness (C)</w:t>
            </w:r>
          </w:p>
        </w:tc>
        <w:tc>
          <w:tcPr>
            <w:tcW w:w="2090" w:type="dxa"/>
          </w:tcPr>
          <w:p w14:paraId="38AF2E7B"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3396EC64"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1778BFB4" w14:textId="77777777" w:rsidTr="001769CA">
        <w:trPr>
          <w:jc w:val="center"/>
        </w:trPr>
        <w:tc>
          <w:tcPr>
            <w:tcW w:w="2067" w:type="dxa"/>
          </w:tcPr>
          <w:p w14:paraId="16B5388C" w14:textId="77777777" w:rsidR="001769CA" w:rsidRDefault="001769CA" w:rsidP="001769CA">
            <w:pPr>
              <w:rPr>
                <w:rFonts w:ascii="Calibri" w:hAnsi="Calibri"/>
                <w:sz w:val="20"/>
                <w:lang w:eastAsia="ja-JP"/>
              </w:rPr>
            </w:pPr>
            <w:r>
              <w:rPr>
                <w:rFonts w:ascii="Calibri" w:hAnsi="Calibri"/>
                <w:sz w:val="20"/>
                <w:lang w:eastAsia="ja-JP"/>
              </w:rPr>
              <w:t>Cost Effectiveness (O)</w:t>
            </w:r>
          </w:p>
        </w:tc>
        <w:tc>
          <w:tcPr>
            <w:tcW w:w="2090" w:type="dxa"/>
          </w:tcPr>
          <w:p w14:paraId="41471326"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5EB66CCC" w14:textId="77777777" w:rsidR="001769CA" w:rsidRDefault="001769CA" w:rsidP="001769CA">
            <w:pPr>
              <w:jc w:val="center"/>
              <w:rPr>
                <w:rFonts w:ascii="Calibri" w:hAnsi="Calibri"/>
                <w:sz w:val="20"/>
                <w:lang w:eastAsia="ja-JP"/>
              </w:rPr>
            </w:pPr>
            <w:r>
              <w:rPr>
                <w:rFonts w:ascii="Calibri" w:hAnsi="Calibri"/>
                <w:sz w:val="20"/>
                <w:lang w:eastAsia="ja-JP"/>
              </w:rPr>
              <w:t>--</w:t>
            </w:r>
          </w:p>
        </w:tc>
      </w:tr>
      <w:tr w:rsidR="001769CA" w14:paraId="4A72E121" w14:textId="77777777" w:rsidTr="001769CA">
        <w:trPr>
          <w:jc w:val="center"/>
        </w:trPr>
        <w:tc>
          <w:tcPr>
            <w:tcW w:w="2067" w:type="dxa"/>
          </w:tcPr>
          <w:p w14:paraId="0E5F1DF5" w14:textId="77777777" w:rsidR="001769CA" w:rsidRDefault="001769CA" w:rsidP="001769CA">
            <w:pPr>
              <w:rPr>
                <w:rFonts w:ascii="Calibri" w:hAnsi="Calibri"/>
                <w:sz w:val="20"/>
                <w:lang w:eastAsia="ja-JP"/>
              </w:rPr>
            </w:pPr>
            <w:r>
              <w:rPr>
                <w:rFonts w:ascii="Calibri" w:hAnsi="Calibri"/>
                <w:sz w:val="20"/>
                <w:lang w:eastAsia="ja-JP"/>
              </w:rPr>
              <w:t>Process Versatility</w:t>
            </w:r>
          </w:p>
        </w:tc>
        <w:tc>
          <w:tcPr>
            <w:tcW w:w="2090" w:type="dxa"/>
          </w:tcPr>
          <w:p w14:paraId="720CF101" w14:textId="77777777" w:rsidR="001769CA" w:rsidRDefault="001769CA" w:rsidP="001769CA">
            <w:pPr>
              <w:jc w:val="center"/>
              <w:rPr>
                <w:rFonts w:ascii="Calibri" w:hAnsi="Calibri"/>
                <w:sz w:val="20"/>
                <w:lang w:eastAsia="ja-JP"/>
              </w:rPr>
            </w:pPr>
            <w:r>
              <w:rPr>
                <w:rFonts w:ascii="Calibri" w:hAnsi="Calibri"/>
                <w:sz w:val="20"/>
                <w:lang w:eastAsia="ja-JP"/>
              </w:rPr>
              <w:t>+(+)</w:t>
            </w:r>
          </w:p>
        </w:tc>
        <w:tc>
          <w:tcPr>
            <w:tcW w:w="1743" w:type="dxa"/>
          </w:tcPr>
          <w:p w14:paraId="7586AB9F" w14:textId="77777777" w:rsidR="001769CA" w:rsidRDefault="001769CA" w:rsidP="001769CA">
            <w:pPr>
              <w:jc w:val="center"/>
              <w:rPr>
                <w:rFonts w:ascii="Calibri" w:hAnsi="Calibri"/>
                <w:sz w:val="20"/>
                <w:lang w:eastAsia="ja-JP"/>
              </w:rPr>
            </w:pPr>
            <w:r>
              <w:rPr>
                <w:rFonts w:ascii="Calibri" w:hAnsi="Calibri"/>
                <w:sz w:val="20"/>
                <w:lang w:eastAsia="ja-JP"/>
              </w:rPr>
              <w:t>+(+)</w:t>
            </w:r>
          </w:p>
        </w:tc>
      </w:tr>
    </w:tbl>
    <w:p w14:paraId="34339E42" w14:textId="77777777" w:rsidR="001769CA" w:rsidRPr="001769CA" w:rsidRDefault="001769CA" w:rsidP="001769CA">
      <w:pPr>
        <w:jc w:val="center"/>
        <w:rPr>
          <w:b/>
          <w:i/>
          <w:sz w:val="8"/>
          <w:szCs w:val="8"/>
        </w:rPr>
      </w:pPr>
    </w:p>
    <w:p w14:paraId="3B4B19B3" w14:textId="77777777" w:rsidR="001769CA" w:rsidRPr="00123C7D" w:rsidRDefault="001769CA" w:rsidP="001769CA">
      <w:pPr>
        <w:jc w:val="center"/>
        <w:rPr>
          <w:b/>
          <w:i/>
        </w:rPr>
      </w:pPr>
      <w:r>
        <w:rPr>
          <w:b/>
          <w:i/>
        </w:rPr>
        <w:t>Table 33</w:t>
      </w:r>
      <w:r w:rsidRPr="00123C7D">
        <w:rPr>
          <w:b/>
          <w:i/>
        </w:rPr>
        <w:t xml:space="preserve">: Indicative assessment of criteria for emerging alternatives in the </w:t>
      </w:r>
      <w:r>
        <w:rPr>
          <w:b/>
          <w:i/>
        </w:rPr>
        <w:t>Phenolic Foam</w:t>
      </w:r>
      <w:r w:rsidRPr="00123C7D">
        <w:rPr>
          <w:b/>
          <w:i/>
        </w:rPr>
        <w:t xml:space="preserve"> Sector</w:t>
      </w:r>
    </w:p>
    <w:p w14:paraId="4B25CC0E" w14:textId="77777777" w:rsidR="00A720E0" w:rsidRDefault="00A720E0" w:rsidP="001769CA"/>
    <w:p w14:paraId="041221BC" w14:textId="77777777" w:rsidR="00461342" w:rsidRPr="00164DBE" w:rsidRDefault="00461342" w:rsidP="00461342">
      <w:pPr>
        <w:pStyle w:val="Heading4"/>
      </w:pPr>
      <w:r>
        <w:t>Non-Article 5 Parties</w:t>
      </w:r>
    </w:p>
    <w:p w14:paraId="46A4EB4F" w14:textId="77777777" w:rsidR="00461342" w:rsidRPr="00905A2F" w:rsidRDefault="00461342" w:rsidP="00461342">
      <w:pPr>
        <w:rPr>
          <w:sz w:val="8"/>
          <w:szCs w:val="8"/>
        </w:rPr>
      </w:pPr>
    </w:p>
    <w:p w14:paraId="3FE41083" w14:textId="77777777" w:rsidR="00C60157" w:rsidRDefault="00C60157" w:rsidP="00C60157">
      <w:pPr>
        <w:jc w:val="both"/>
        <w:rPr>
          <w:lang w:eastAsia="ja-JP"/>
        </w:rPr>
      </w:pPr>
      <w:r>
        <w:rPr>
          <w:lang w:eastAsia="ja-JP"/>
        </w:rPr>
        <w:t xml:space="preserve">The technologies in use in non-Article 5 regions are almost universally based on hydrocarbon or 2-chloropropane blowing agents, since it has been found that the intrinsic fire properties of phenolic foams are more than sufficient to compensate for any blowing agent contribution to flammability. The only potential future transition might be to take advantage of the improved thermal properties of unsaturated HCFCs/HFCs, although this has not been postulated in the Business-as-Usual scenario for phenolic foam. </w:t>
      </w:r>
    </w:p>
    <w:p w14:paraId="2B5A5120" w14:textId="77777777" w:rsidR="00461342" w:rsidRDefault="00461342" w:rsidP="00905A2F">
      <w:pPr>
        <w:jc w:val="both"/>
      </w:pPr>
    </w:p>
    <w:p w14:paraId="42E702CE" w14:textId="77777777" w:rsidR="00C60157" w:rsidRPr="00164DBE" w:rsidRDefault="00C60157" w:rsidP="00C60157">
      <w:pPr>
        <w:pStyle w:val="Heading4"/>
      </w:pPr>
      <w:r>
        <w:t>Article 5 Parties</w:t>
      </w:r>
    </w:p>
    <w:p w14:paraId="33636BEF" w14:textId="77777777" w:rsidR="00C60157" w:rsidRPr="00050445" w:rsidRDefault="00C60157" w:rsidP="00C60157">
      <w:pPr>
        <w:rPr>
          <w:sz w:val="8"/>
          <w:szCs w:val="8"/>
        </w:rPr>
      </w:pPr>
    </w:p>
    <w:p w14:paraId="0830742A" w14:textId="77777777" w:rsidR="00C60157" w:rsidRDefault="00C60157" w:rsidP="00C60157">
      <w:pPr>
        <w:jc w:val="both"/>
      </w:pPr>
      <w:r>
        <w:t>There is very little production of phenolic foam in Article 5 regions with the exception of China. In keeping with the bulk of phenolic foam manufacture in non-Article 5 countries, all know production in China is already based on hydrocarbon technologies.</w:t>
      </w:r>
    </w:p>
    <w:p w14:paraId="45E5158C" w14:textId="77777777" w:rsidR="00C60157" w:rsidRDefault="00C60157" w:rsidP="00905A2F">
      <w:pPr>
        <w:jc w:val="both"/>
      </w:pPr>
    </w:p>
    <w:p w14:paraId="00786EBC" w14:textId="77777777" w:rsidR="001769CA" w:rsidRDefault="001769CA">
      <w:pPr>
        <w:spacing w:after="160" w:line="259" w:lineRule="auto"/>
      </w:pPr>
      <w:r>
        <w:br w:type="page"/>
      </w:r>
    </w:p>
    <w:p w14:paraId="273CD1BA" w14:textId="77777777" w:rsidR="001E5111" w:rsidRDefault="001E5111" w:rsidP="001E5111">
      <w:pPr>
        <w:pStyle w:val="Heading2"/>
        <w:numPr>
          <w:ilvl w:val="0"/>
          <w:numId w:val="1"/>
        </w:numPr>
      </w:pPr>
      <w:bookmarkStart w:id="37" w:name="_Toc415441538"/>
      <w:r>
        <w:lastRenderedPageBreak/>
        <w:t>Update on Bank Estimates and Emerging Management Strategies</w:t>
      </w:r>
      <w:bookmarkEnd w:id="37"/>
      <w:r>
        <w:t xml:space="preserve"> </w:t>
      </w:r>
    </w:p>
    <w:p w14:paraId="14281636" w14:textId="77777777" w:rsidR="00651015" w:rsidRPr="008F7E07" w:rsidRDefault="00651015" w:rsidP="00651015">
      <w:pPr>
        <w:rPr>
          <w:sz w:val="10"/>
          <w:szCs w:val="16"/>
        </w:rPr>
      </w:pPr>
    </w:p>
    <w:p w14:paraId="60E8C964" w14:textId="4D5860CC" w:rsidR="00651015" w:rsidRDefault="00651015" w:rsidP="00651015">
      <w:pPr>
        <w:pStyle w:val="Heading3"/>
      </w:pPr>
      <w:bookmarkStart w:id="38" w:name="_Toc415441539"/>
      <w:r>
        <w:t>Estimated size of current Blowing Agent Banks and predicted growth to 2020</w:t>
      </w:r>
      <w:bookmarkEnd w:id="38"/>
      <w:r>
        <w:t xml:space="preserve">   </w:t>
      </w:r>
    </w:p>
    <w:p w14:paraId="5C7F74C0" w14:textId="77777777" w:rsidR="00651015" w:rsidRPr="008F7E07" w:rsidRDefault="00651015" w:rsidP="00D151AC">
      <w:pPr>
        <w:jc w:val="both"/>
        <w:rPr>
          <w:sz w:val="8"/>
          <w:szCs w:val="12"/>
        </w:rPr>
      </w:pPr>
    </w:p>
    <w:p w14:paraId="284B48BE" w14:textId="77777777" w:rsidR="00D151AC" w:rsidRDefault="00D151AC" w:rsidP="00D151AC">
      <w:pPr>
        <w:jc w:val="both"/>
      </w:pPr>
      <w:r>
        <w:t>Global banks of blowing agents in foams have been previously estimated to have grown from around 3 million tonnes in 2002 to an estimated 4.45 million tonnes (inclusive of hydrocarbons) in 2015</w:t>
      </w:r>
      <w:r>
        <w:rPr>
          <w:rStyle w:val="FootnoteReference"/>
        </w:rPr>
        <w:footnoteReference w:id="5"/>
      </w:r>
      <w:r>
        <w:t xml:space="preserve">. Consumption is typically outstripping emissions </w:t>
      </w:r>
      <w:proofErr w:type="gramStart"/>
      <w:r>
        <w:t>by around 250,000 tonnes/year, implying that banks of blowing agents will grow to well in excess of 5 million tonnes by 2020</w:t>
      </w:r>
      <w:proofErr w:type="gramEnd"/>
      <w:r>
        <w:t>. However, a significant proportion of this bank will already have moved into the waste stream (typically landfill) by that time as installed foam products reach the end of their respective service lives. Figure 5 shows how this flow into the waste stream might vary by foam sector based on anticipated product lifetimes.</w:t>
      </w:r>
    </w:p>
    <w:p w14:paraId="6B3269B4" w14:textId="77777777" w:rsidR="00D151AC" w:rsidRPr="00045187" w:rsidRDefault="00D151AC" w:rsidP="00D151AC">
      <w:pPr>
        <w:jc w:val="both"/>
        <w:rPr>
          <w:sz w:val="16"/>
          <w:szCs w:val="16"/>
        </w:rPr>
      </w:pPr>
    </w:p>
    <w:p w14:paraId="080DFF94" w14:textId="77777777" w:rsidR="00D151AC" w:rsidRDefault="00D151AC" w:rsidP="00D151AC">
      <w:pPr>
        <w:jc w:val="center"/>
      </w:pPr>
      <w:r w:rsidRPr="00045187">
        <w:rPr>
          <w:noProof/>
          <w:lang w:val="en-US"/>
        </w:rPr>
        <w:drawing>
          <wp:inline distT="0" distB="0" distL="0" distR="0" wp14:anchorId="2DB65A38" wp14:editId="47AFE76B">
            <wp:extent cx="4825664" cy="3152775"/>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4699" cy="3158678"/>
                    </a:xfrm>
                    <a:prstGeom prst="rect">
                      <a:avLst/>
                    </a:prstGeom>
                    <a:noFill/>
                    <a:ln>
                      <a:noFill/>
                    </a:ln>
                    <a:effectLst/>
                    <a:extLst/>
                  </pic:spPr>
                </pic:pic>
              </a:graphicData>
            </a:graphic>
          </wp:inline>
        </w:drawing>
      </w:r>
    </w:p>
    <w:p w14:paraId="1C127482" w14:textId="77777777" w:rsidR="00D151AC" w:rsidRPr="00045187" w:rsidRDefault="00D151AC" w:rsidP="00D151AC">
      <w:pPr>
        <w:jc w:val="center"/>
        <w:rPr>
          <w:sz w:val="8"/>
          <w:szCs w:val="8"/>
        </w:rPr>
      </w:pPr>
    </w:p>
    <w:p w14:paraId="0B0C6B5B" w14:textId="77777777" w:rsidR="00D151AC" w:rsidRPr="001769CA" w:rsidRDefault="00D151AC" w:rsidP="00D151AC">
      <w:pPr>
        <w:jc w:val="center"/>
        <w:rPr>
          <w:b/>
          <w:i/>
        </w:rPr>
      </w:pPr>
      <w:r w:rsidRPr="001769CA">
        <w:rPr>
          <w:b/>
          <w:i/>
        </w:rPr>
        <w:t>Figure 5: Variation in the size and timing of blowing agent waste flows</w:t>
      </w:r>
    </w:p>
    <w:p w14:paraId="767F4A83" w14:textId="77777777" w:rsidR="00D151AC" w:rsidRPr="008F7E07" w:rsidRDefault="00D151AC" w:rsidP="00D151AC">
      <w:pPr>
        <w:jc w:val="both"/>
        <w:rPr>
          <w:sz w:val="4"/>
        </w:rPr>
      </w:pPr>
    </w:p>
    <w:p w14:paraId="2B1611D6" w14:textId="12C77538" w:rsidR="00651015" w:rsidRDefault="00651015" w:rsidP="00651015">
      <w:pPr>
        <w:pStyle w:val="Heading3"/>
      </w:pPr>
      <w:bookmarkStart w:id="39" w:name="_Toc415441540"/>
      <w:r>
        <w:t>Identifying Blowing Agents in the Waste Stream</w:t>
      </w:r>
      <w:r w:rsidR="00461C30">
        <w:t xml:space="preserve"> and other Waste Management challenges</w:t>
      </w:r>
      <w:bookmarkEnd w:id="39"/>
      <w:r>
        <w:t xml:space="preserve">     </w:t>
      </w:r>
    </w:p>
    <w:p w14:paraId="0772600E" w14:textId="77777777" w:rsidR="00651015" w:rsidRPr="00651015" w:rsidRDefault="00651015" w:rsidP="00D151AC">
      <w:pPr>
        <w:jc w:val="both"/>
        <w:rPr>
          <w:sz w:val="12"/>
          <w:szCs w:val="12"/>
        </w:rPr>
      </w:pPr>
    </w:p>
    <w:p w14:paraId="0C5A763C" w14:textId="636442E1" w:rsidR="00D151AC" w:rsidRDefault="00D151AC" w:rsidP="00D151AC">
      <w:pPr>
        <w:jc w:val="both"/>
      </w:pPr>
      <w:r>
        <w:t xml:space="preserve">Once in the waste stream, such banks are broadly unreachable and the environment needs to rely on natural mechanisms such as anaerobic degradation to avoid the worst impacts of eventual blowing agent emission. Increasingly, ODS-containing foam is being treated as hazardous waste in a number of regions in an effort to avert uncontrolled landfilling, but the over-riding challenge is to be able to police shipments sufficiently well to avoid the practice when there is no simple way of determining </w:t>
      </w:r>
      <w:r w:rsidR="00651015">
        <w:t xml:space="preserve">the identity of the </w:t>
      </w:r>
      <w:r>
        <w:t xml:space="preserve">foam blowing agent routinely. The search for such detection equipment continues, since it would not only allow for the characterisation of waste, but would also assist customs officials on cross-border trade of foam products where blowing agent restrictions may </w:t>
      </w:r>
      <w:r w:rsidR="00651015">
        <w:t xml:space="preserve">already </w:t>
      </w:r>
      <w:r>
        <w:t xml:space="preserve">be in force.  </w:t>
      </w:r>
    </w:p>
    <w:p w14:paraId="05768BFB" w14:textId="77777777" w:rsidR="00D151AC" w:rsidRDefault="00D151AC" w:rsidP="00D151AC">
      <w:pPr>
        <w:jc w:val="both"/>
      </w:pPr>
    </w:p>
    <w:p w14:paraId="08E89FCB" w14:textId="4C967B74" w:rsidR="00461C30" w:rsidRDefault="00461C30" w:rsidP="00461C30">
      <w:pPr>
        <w:pStyle w:val="Heading3"/>
      </w:pPr>
      <w:bookmarkStart w:id="40" w:name="_Toc415441541"/>
      <w:r>
        <w:t xml:space="preserve">Assigning value to Blowing Agent recovery and likely </w:t>
      </w:r>
      <w:r w:rsidR="00B75716">
        <w:t xml:space="preserve">impact on </w:t>
      </w:r>
      <w:r>
        <w:t>trends going forward</w:t>
      </w:r>
      <w:bookmarkEnd w:id="40"/>
      <w:r>
        <w:t xml:space="preserve"> </w:t>
      </w:r>
    </w:p>
    <w:p w14:paraId="5F46D5EF" w14:textId="77777777" w:rsidR="00461C30" w:rsidRPr="00461C30" w:rsidRDefault="00461C30" w:rsidP="00D151AC">
      <w:pPr>
        <w:jc w:val="both"/>
        <w:rPr>
          <w:sz w:val="12"/>
          <w:szCs w:val="12"/>
        </w:rPr>
      </w:pPr>
    </w:p>
    <w:p w14:paraId="2FE4C7CB" w14:textId="66D711E3" w:rsidR="00D151AC" w:rsidRDefault="00D151AC" w:rsidP="00D151AC">
      <w:pPr>
        <w:jc w:val="both"/>
      </w:pPr>
      <w:r>
        <w:t>A further option</w:t>
      </w:r>
      <w:r w:rsidR="00B75716">
        <w:t xml:space="preserve"> for limiting the quantity of ODS</w:t>
      </w:r>
      <w:r w:rsidR="00A93E33">
        <w:t>-containing and other high GWP blowing agent</w:t>
      </w:r>
      <w:r w:rsidR="00B75716">
        <w:t xml:space="preserve"> foams going to landfill</w:t>
      </w:r>
      <w:r>
        <w:t xml:space="preserve"> is to encourage voluntary intervention at the point of decommissioning by assigning value to the recovery and destruction of the foam or its blowing agent. At present, this value is most likely to arise from the climate benefits associated with the activity. However, an additional point of concern is that the average global warming potential (GWP) of the waste stream </w:t>
      </w:r>
      <w:r>
        <w:lastRenderedPageBreak/>
        <w:t xml:space="preserve">will decrease with time as the very high GWP blowing agents (e.g. CFCs) become less prevalent. Figure 6 illustrates how this can happen: </w:t>
      </w:r>
    </w:p>
    <w:p w14:paraId="76D185A4" w14:textId="77777777" w:rsidR="00D151AC" w:rsidRPr="00F454D6" w:rsidRDefault="00D151AC" w:rsidP="00D151AC">
      <w:pPr>
        <w:jc w:val="both"/>
        <w:rPr>
          <w:sz w:val="12"/>
          <w:szCs w:val="12"/>
        </w:rPr>
      </w:pPr>
    </w:p>
    <w:p w14:paraId="5F00EF0B" w14:textId="77777777" w:rsidR="00D151AC" w:rsidRDefault="00D151AC" w:rsidP="00D151AC">
      <w:pPr>
        <w:jc w:val="center"/>
      </w:pPr>
      <w:r w:rsidRPr="00622409">
        <w:rPr>
          <w:noProof/>
          <w:lang w:val="en-US"/>
        </w:rPr>
        <w:drawing>
          <wp:inline distT="0" distB="0" distL="0" distR="0" wp14:anchorId="424DBBE1" wp14:editId="0C9B1883">
            <wp:extent cx="4991100" cy="3260307"/>
            <wp:effectExtent l="0" t="0" r="0" b="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3495" cy="3261871"/>
                    </a:xfrm>
                    <a:prstGeom prst="rect">
                      <a:avLst/>
                    </a:prstGeom>
                    <a:noFill/>
                    <a:ln>
                      <a:noFill/>
                    </a:ln>
                    <a:effectLst/>
                    <a:extLst/>
                  </pic:spPr>
                </pic:pic>
              </a:graphicData>
            </a:graphic>
          </wp:inline>
        </w:drawing>
      </w:r>
    </w:p>
    <w:p w14:paraId="41DF6C9C" w14:textId="77777777" w:rsidR="00D151AC" w:rsidRPr="00622409" w:rsidRDefault="00D151AC" w:rsidP="00D151AC">
      <w:pPr>
        <w:jc w:val="both"/>
        <w:rPr>
          <w:sz w:val="16"/>
          <w:szCs w:val="16"/>
        </w:rPr>
      </w:pPr>
    </w:p>
    <w:p w14:paraId="335680ED" w14:textId="77777777" w:rsidR="00D151AC" w:rsidRPr="001769CA" w:rsidRDefault="00D151AC" w:rsidP="00D151AC">
      <w:pPr>
        <w:jc w:val="center"/>
        <w:rPr>
          <w:b/>
          <w:i/>
        </w:rPr>
      </w:pPr>
      <w:r>
        <w:t xml:space="preserve">     </w:t>
      </w:r>
      <w:r w:rsidRPr="001769CA">
        <w:rPr>
          <w:b/>
          <w:i/>
        </w:rPr>
        <w:t xml:space="preserve">Figure 6: Expected decline in average GWP of the waste streams for typical foam applications </w:t>
      </w:r>
    </w:p>
    <w:p w14:paraId="5A7A3BE9" w14:textId="77777777" w:rsidR="0007525E" w:rsidRPr="008F7E07" w:rsidRDefault="0007525E" w:rsidP="00D151AC">
      <w:pPr>
        <w:jc w:val="both"/>
        <w:rPr>
          <w:sz w:val="12"/>
        </w:rPr>
      </w:pPr>
    </w:p>
    <w:p w14:paraId="39E82040" w14:textId="4AE8150C" w:rsidR="00D151AC" w:rsidRDefault="00D151AC" w:rsidP="00B75716">
      <w:pPr>
        <w:jc w:val="both"/>
      </w:pPr>
      <w:r>
        <w:t xml:space="preserve">These trends imply that it is preferable to introduce effective waste management practices in the period prior to 2030 for PU Spray Foam. However, more importantly, they indicate that much of the climate benefit arising from the management of appliances foams has already passed. This is being borne out in practice for many appliance recycling plants, where the associated climate benefit cannot now be relied upon as a justification for investment. The consequence is that waste handling companies are looking to minimise their upfront investment costs in equipment and manual dismantling practices are becoming increasingly common for foam separation, even though there are associated emissions. This is especially the case in areas of low population density, where the economies of scale are more limited.      </w:t>
      </w:r>
    </w:p>
    <w:p w14:paraId="192A0B40" w14:textId="77777777" w:rsidR="00D151AC" w:rsidRPr="008F7E07" w:rsidRDefault="00D151AC" w:rsidP="001E5111">
      <w:pPr>
        <w:rPr>
          <w:sz w:val="12"/>
          <w:szCs w:val="16"/>
        </w:rPr>
      </w:pPr>
    </w:p>
    <w:p w14:paraId="7CFE521D" w14:textId="4279EBF7" w:rsidR="001E5111" w:rsidRDefault="006F2239" w:rsidP="001E5111">
      <w:pPr>
        <w:pStyle w:val="Heading3"/>
      </w:pPr>
      <w:bookmarkStart w:id="41" w:name="_Toc415441542"/>
      <w:r>
        <w:t>Best Practice in the m</w:t>
      </w:r>
      <w:r w:rsidR="001E5111">
        <w:t>anagement of Insulation Foams</w:t>
      </w:r>
      <w:r>
        <w:t xml:space="preserve"> </w:t>
      </w:r>
      <w:r w:rsidR="00F454D6">
        <w:t>and the importance of Segregation</w:t>
      </w:r>
      <w:bookmarkEnd w:id="41"/>
      <w:r w:rsidR="001E5111">
        <w:t xml:space="preserve"> </w:t>
      </w:r>
    </w:p>
    <w:p w14:paraId="43A127C2" w14:textId="77777777" w:rsidR="001E5111" w:rsidRPr="00A93E33" w:rsidRDefault="001E5111" w:rsidP="001E5111">
      <w:pPr>
        <w:rPr>
          <w:sz w:val="12"/>
          <w:szCs w:val="12"/>
        </w:rPr>
      </w:pPr>
    </w:p>
    <w:p w14:paraId="56E78449" w14:textId="3C692908" w:rsidR="006F2239" w:rsidRDefault="00A93E33" w:rsidP="006F2239">
      <w:pPr>
        <w:jc w:val="both"/>
      </w:pPr>
      <w:r>
        <w:t xml:space="preserve">Figure 7 provides a schematic diagram of the lifecycle of </w:t>
      </w:r>
      <w:proofErr w:type="gramStart"/>
      <w:r>
        <w:t>an insulation</w:t>
      </w:r>
      <w:proofErr w:type="gramEnd"/>
      <w:r>
        <w:t xml:space="preserve"> foam, illustrating the points at which blowing agent release</w:t>
      </w:r>
      <w:r w:rsidR="006F2239">
        <w:t>s</w:t>
      </w:r>
      <w:r>
        <w:t xml:space="preserve"> are likely. </w:t>
      </w:r>
      <w:r w:rsidR="006F2239">
        <w:t>Since most new</w:t>
      </w:r>
      <w:r w:rsidR="00F454D6">
        <w:t xml:space="preserve"> production and installation is</w:t>
      </w:r>
      <w:r w:rsidR="006F2239">
        <w:t xml:space="preserve"> now taking place with non-ODS blowing agents, the focus of ODS emission minimisation is at the point of decommissioning and thereafter. The effectiveness of this whole process is measured by the Recovery and Destruction Efficiency (RDE). The ability to maximise RDE lies in the degree to which insulation foams being decommissioned can be separated and segregated from other building demolition waste. The level of waste segregation varies substantially by jurisdiction and those with high levels of segregation achieve the best results in ODS recovery/destruction at lowest incremental cost. </w:t>
      </w:r>
    </w:p>
    <w:p w14:paraId="226AF943" w14:textId="77777777" w:rsidR="006F2239" w:rsidRPr="008F7E07" w:rsidRDefault="006F2239" w:rsidP="006F2239">
      <w:pPr>
        <w:jc w:val="both"/>
        <w:rPr>
          <w:sz w:val="14"/>
        </w:rPr>
      </w:pPr>
    </w:p>
    <w:p w14:paraId="63D62467" w14:textId="1491C6AE" w:rsidR="00A93E33" w:rsidRPr="001E5111" w:rsidRDefault="00F454D6" w:rsidP="006F2239">
      <w:pPr>
        <w:jc w:val="both"/>
      </w:pPr>
      <w:r>
        <w:t xml:space="preserve">The choice exists to either directly incinerate the insulating foam or to shred it and recover the blowing agent for subsequent destruction. The latter approach is only really cost-effective where there are economic benefits from other components of the building element (e.g. steel from metal-faced panels). In Europe and Japan, where efforts to recover blowing agents have been most extensive to date, there is an increasing tendency to move to direct incineration in order to minimise cost, although this depends largely on the availability and permissibility of use of Municipal Solid Waste Incinerators.     </w:t>
      </w:r>
      <w:r w:rsidR="006F2239">
        <w:t xml:space="preserve">    </w:t>
      </w:r>
      <w:r w:rsidR="00A93E33">
        <w:t xml:space="preserve">   </w:t>
      </w:r>
    </w:p>
    <w:p w14:paraId="3082494C" w14:textId="77777777" w:rsidR="0007525E" w:rsidRDefault="0007525E">
      <w:pPr>
        <w:spacing w:after="160" w:line="259" w:lineRule="auto"/>
        <w:sectPr w:rsidR="0007525E" w:rsidSect="00491BA3">
          <w:pgSz w:w="11906" w:h="16838"/>
          <w:pgMar w:top="1440" w:right="1440" w:bottom="1440" w:left="1440" w:header="708" w:footer="708" w:gutter="0"/>
          <w:cols w:space="708"/>
          <w:titlePg/>
          <w:docGrid w:linePitch="360"/>
        </w:sectPr>
      </w:pPr>
    </w:p>
    <w:p w14:paraId="5896A0A2" w14:textId="7383AEEC" w:rsidR="0007525E" w:rsidRDefault="0007525E" w:rsidP="0007525E">
      <w:pPr>
        <w:spacing w:after="160" w:line="259" w:lineRule="auto"/>
        <w:jc w:val="center"/>
      </w:pPr>
      <w:r w:rsidRPr="0007525E">
        <w:rPr>
          <w:noProof/>
          <w:lang w:val="en-US"/>
        </w:rPr>
        <w:lastRenderedPageBreak/>
        <w:drawing>
          <wp:inline distT="0" distB="0" distL="0" distR="0" wp14:anchorId="05CC40CA" wp14:editId="3A98DA75">
            <wp:extent cx="7779895" cy="516662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84034" cy="5169377"/>
                    </a:xfrm>
                    <a:prstGeom prst="rect">
                      <a:avLst/>
                    </a:prstGeom>
                    <a:noFill/>
                    <a:ln>
                      <a:noFill/>
                    </a:ln>
                  </pic:spPr>
                </pic:pic>
              </a:graphicData>
            </a:graphic>
          </wp:inline>
        </w:drawing>
      </w:r>
    </w:p>
    <w:p w14:paraId="79B80A83" w14:textId="038D24B9" w:rsidR="0007525E" w:rsidRPr="00B75716" w:rsidRDefault="0007525E" w:rsidP="0007525E">
      <w:pPr>
        <w:spacing w:after="160" w:line="259" w:lineRule="auto"/>
        <w:jc w:val="center"/>
        <w:rPr>
          <w:i/>
        </w:rPr>
      </w:pPr>
      <w:r>
        <w:rPr>
          <w:b/>
          <w:i/>
        </w:rPr>
        <w:t xml:space="preserve">Figure 7: Schematic of Emission Sources and Blowing Agent Management Options for Insulating Foams </w:t>
      </w:r>
      <w:r w:rsidRPr="00B75716">
        <w:rPr>
          <w:i/>
        </w:rPr>
        <w:t xml:space="preserve">(Source: SKM </w:t>
      </w:r>
      <w:proofErr w:type="spellStart"/>
      <w:r w:rsidRPr="00B75716">
        <w:rPr>
          <w:i/>
        </w:rPr>
        <w:t>Enviros</w:t>
      </w:r>
      <w:proofErr w:type="spellEnd"/>
      <w:r w:rsidRPr="00B75716">
        <w:rPr>
          <w:i/>
        </w:rPr>
        <w:t>/Caleb)</w:t>
      </w:r>
    </w:p>
    <w:p w14:paraId="76280E43" w14:textId="487A30C9" w:rsidR="0007525E" w:rsidRPr="00B75716" w:rsidRDefault="0007525E">
      <w:pPr>
        <w:spacing w:after="160" w:line="259" w:lineRule="auto"/>
        <w:sectPr w:rsidR="0007525E" w:rsidRPr="00B75716" w:rsidSect="0007525E">
          <w:pgSz w:w="16838" w:h="11906" w:orient="landscape"/>
          <w:pgMar w:top="1440" w:right="1440" w:bottom="1440" w:left="1440" w:header="708" w:footer="708" w:gutter="0"/>
          <w:cols w:space="708"/>
          <w:titlePg/>
          <w:docGrid w:linePitch="360"/>
        </w:sectPr>
      </w:pPr>
    </w:p>
    <w:p w14:paraId="5E74D2AF" w14:textId="77777777" w:rsidR="00D151AC" w:rsidRDefault="00D151AC" w:rsidP="00D151AC">
      <w:pPr>
        <w:pStyle w:val="Heading2"/>
        <w:numPr>
          <w:ilvl w:val="0"/>
          <w:numId w:val="1"/>
        </w:numPr>
      </w:pPr>
      <w:bookmarkStart w:id="42" w:name="_Toc415441543"/>
      <w:r>
        <w:lastRenderedPageBreak/>
        <w:t>Membership of the Foams Technical Options Committee</w:t>
      </w:r>
      <w:bookmarkEnd w:id="42"/>
    </w:p>
    <w:p w14:paraId="42C362A9" w14:textId="77777777" w:rsidR="00D151AC" w:rsidRDefault="00D151AC" w:rsidP="00D151AC"/>
    <w:p w14:paraId="5CACB420" w14:textId="77777777" w:rsidR="00D151AC" w:rsidRDefault="00D151AC" w:rsidP="00D151AC">
      <w:pPr>
        <w:jc w:val="both"/>
      </w:pPr>
      <w:r>
        <w:t xml:space="preserve">The following list represents the members of the Foams Technical Options Committee who have contributed to the content of this Report through the assessment period. </w:t>
      </w:r>
    </w:p>
    <w:p w14:paraId="68871B72" w14:textId="77777777" w:rsidR="00D151AC" w:rsidRDefault="00D151AC" w:rsidP="00D151AC">
      <w:pPr>
        <w:jc w:val="both"/>
      </w:pPr>
    </w:p>
    <w:p w14:paraId="2234CCDE" w14:textId="6AC7FEFD" w:rsidR="00D151AC" w:rsidRDefault="00603229" w:rsidP="00D151AC">
      <w:pPr>
        <w:jc w:val="center"/>
      </w:pPr>
      <w:r w:rsidRPr="00603229">
        <w:rPr>
          <w:noProof/>
          <w:lang w:val="en-US"/>
        </w:rPr>
        <w:drawing>
          <wp:inline distT="0" distB="0" distL="0" distR="0" wp14:anchorId="38262B31" wp14:editId="2B53DA28">
            <wp:extent cx="5731510" cy="4254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254792"/>
                    </a:xfrm>
                    <a:prstGeom prst="rect">
                      <a:avLst/>
                    </a:prstGeom>
                    <a:noFill/>
                    <a:ln>
                      <a:noFill/>
                    </a:ln>
                  </pic:spPr>
                </pic:pic>
              </a:graphicData>
            </a:graphic>
          </wp:inline>
        </w:drawing>
      </w:r>
    </w:p>
    <w:p w14:paraId="5EA41C11" w14:textId="77777777" w:rsidR="00CC5BB2" w:rsidRPr="00CC5BB2" w:rsidRDefault="00CC5BB2" w:rsidP="00CC5BB2"/>
    <w:sectPr w:rsidR="00CC5BB2" w:rsidRPr="00CC5BB2" w:rsidSect="000752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816CC" w14:textId="77777777" w:rsidR="00822D97" w:rsidRDefault="00822D97" w:rsidP="00491BA3">
      <w:r>
        <w:separator/>
      </w:r>
    </w:p>
  </w:endnote>
  <w:endnote w:type="continuationSeparator" w:id="0">
    <w:p w14:paraId="537A03B8" w14:textId="77777777" w:rsidR="00822D97" w:rsidRDefault="00822D97" w:rsidP="0049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E6F0" w14:textId="77777777" w:rsidR="00822D97" w:rsidRDefault="00822D97">
    <w:pPr>
      <w:pStyle w:val="Footer"/>
      <w:pBdr>
        <w:top w:val="single" w:sz="4" w:space="1" w:color="D9D9D9" w:themeColor="background1" w:themeShade="D9"/>
      </w:pBdr>
      <w:rPr>
        <w:b/>
        <w:bCs/>
      </w:rPr>
    </w:pPr>
    <w:sdt>
      <w:sdtPr>
        <w:id w:val="-30763892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2B6279" w:rsidRPr="002B6279">
          <w:rPr>
            <w:b/>
            <w:bCs/>
            <w:noProof/>
          </w:rPr>
          <w:t>4</w:t>
        </w:r>
        <w:r>
          <w:rPr>
            <w:b/>
            <w:bCs/>
            <w:noProof/>
          </w:rPr>
          <w:fldChar w:fldCharType="end"/>
        </w:r>
        <w:r>
          <w:rPr>
            <w:b/>
            <w:bCs/>
          </w:rPr>
          <w:t xml:space="preserve"> | </w:t>
        </w:r>
        <w:r>
          <w:rPr>
            <w:color w:val="7F7F7F" w:themeColor="background1" w:themeShade="7F"/>
            <w:spacing w:val="60"/>
          </w:rPr>
          <w:t>Page</w:t>
        </w:r>
      </w:sdtContent>
    </w:sdt>
    <w:r>
      <w:rPr>
        <w:color w:val="7F7F7F" w:themeColor="background1" w:themeShade="7F"/>
        <w:spacing w:val="60"/>
      </w:rPr>
      <w:tab/>
    </w:r>
    <w:r>
      <w:rPr>
        <w:color w:val="7F7F7F" w:themeColor="background1" w:themeShade="7F"/>
        <w:spacing w:val="60"/>
      </w:rPr>
      <w:tab/>
      <w:t>2014 FTOC Assessment Report</w:t>
    </w:r>
  </w:p>
  <w:p w14:paraId="4E0D616C" w14:textId="77777777" w:rsidR="00822D97" w:rsidRDefault="00822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08939"/>
      <w:docPartObj>
        <w:docPartGallery w:val="Page Numbers (Bottom of Page)"/>
        <w:docPartUnique/>
      </w:docPartObj>
    </w:sdtPr>
    <w:sdtEndPr>
      <w:rPr>
        <w:color w:val="7F7F7F" w:themeColor="background1" w:themeShade="7F"/>
        <w:spacing w:val="60"/>
      </w:rPr>
    </w:sdtEndPr>
    <w:sdtContent>
      <w:p w14:paraId="4F8290DF" w14:textId="77777777" w:rsidR="00822D97" w:rsidRDefault="00822D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B6279" w:rsidRPr="002B6279">
          <w:rPr>
            <w:b/>
            <w:bCs/>
            <w:noProof/>
          </w:rPr>
          <w:t>3</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2014 FTOC Assessment Report</w:t>
        </w:r>
      </w:p>
    </w:sdtContent>
  </w:sdt>
  <w:p w14:paraId="5EFC954C" w14:textId="77777777" w:rsidR="00822D97" w:rsidRDefault="00822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03237"/>
      <w:docPartObj>
        <w:docPartGallery w:val="Page Numbers (Bottom of Page)"/>
        <w:docPartUnique/>
      </w:docPartObj>
    </w:sdtPr>
    <w:sdtEndPr>
      <w:rPr>
        <w:color w:val="7F7F7F" w:themeColor="background1" w:themeShade="7F"/>
        <w:spacing w:val="60"/>
      </w:rPr>
    </w:sdtEndPr>
    <w:sdtContent>
      <w:p w14:paraId="44D3AD91" w14:textId="42533757" w:rsidR="00822D97" w:rsidRDefault="00822D97" w:rsidP="0007525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B6279" w:rsidRPr="002B6279">
          <w:rPr>
            <w:b/>
            <w:bCs/>
            <w:noProof/>
          </w:rPr>
          <w:t>2</w:t>
        </w:r>
        <w:r>
          <w:rPr>
            <w:b/>
            <w:bCs/>
            <w:noProof/>
          </w:rPr>
          <w:fldChar w:fldCharType="end"/>
        </w:r>
        <w:r>
          <w:rPr>
            <w:b/>
            <w:bCs/>
          </w:rPr>
          <w:t xml:space="preserve"> | </w:t>
        </w:r>
        <w:r>
          <w:rPr>
            <w:color w:val="7F7F7F" w:themeColor="background1" w:themeShade="7F"/>
            <w:spacing w:val="60"/>
          </w:rPr>
          <w:t>Page                               2014 FTOC Assessment Report</w:t>
        </w:r>
      </w:p>
    </w:sdtContent>
  </w:sdt>
  <w:p w14:paraId="3C443E06" w14:textId="5E633522" w:rsidR="00822D97" w:rsidRDefault="00822D97">
    <w:pPr>
      <w:pStyle w:val="Footer"/>
    </w:pPr>
  </w:p>
  <w:p w14:paraId="6E07CCAF" w14:textId="77777777" w:rsidR="00822D97" w:rsidRDefault="0082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8621E" w14:textId="77777777" w:rsidR="00822D97" w:rsidRDefault="00822D97" w:rsidP="00491BA3">
      <w:r>
        <w:separator/>
      </w:r>
    </w:p>
  </w:footnote>
  <w:footnote w:type="continuationSeparator" w:id="0">
    <w:p w14:paraId="0C234985" w14:textId="77777777" w:rsidR="00822D97" w:rsidRDefault="00822D97" w:rsidP="00491BA3">
      <w:r>
        <w:continuationSeparator/>
      </w:r>
    </w:p>
  </w:footnote>
  <w:footnote w:id="1">
    <w:p w14:paraId="00DE5514" w14:textId="77777777" w:rsidR="00822D97" w:rsidRDefault="00822D97" w:rsidP="00D151AC">
      <w:pPr>
        <w:pStyle w:val="FootnoteText"/>
      </w:pPr>
      <w:r>
        <w:rPr>
          <w:rStyle w:val="FootnoteReference"/>
        </w:rPr>
        <w:footnoteRef/>
      </w:r>
      <w:r>
        <w:t xml:space="preserve"> RAPRA Report ‘The Future of Polymer Foams: Market Forecasts to 2019’ </w:t>
      </w:r>
    </w:p>
  </w:footnote>
  <w:footnote w:id="2">
    <w:p w14:paraId="6C7296E3" w14:textId="77777777" w:rsidR="00822D97" w:rsidRDefault="00822D97" w:rsidP="00D151AC">
      <w:pPr>
        <w:pStyle w:val="FootnoteText"/>
      </w:pPr>
      <w:r>
        <w:rPr>
          <w:rStyle w:val="FootnoteReference"/>
        </w:rPr>
        <w:footnoteRef/>
      </w:r>
      <w:r>
        <w:t xml:space="preserve"> Data adapted from Special Report on Ozone and Climate (2005) – values include hydrocarbons</w:t>
      </w:r>
    </w:p>
  </w:footnote>
  <w:footnote w:id="3">
    <w:p w14:paraId="03136C45" w14:textId="77777777" w:rsidR="00822D97" w:rsidRDefault="00822D97" w:rsidP="001463B4">
      <w:pPr>
        <w:pStyle w:val="FootnoteText"/>
      </w:pPr>
      <w:r>
        <w:rPr>
          <w:rStyle w:val="FootnoteReference"/>
        </w:rPr>
        <w:footnoteRef/>
      </w:r>
      <w:r>
        <w:t xml:space="preserve"> Rescinded in December 2012</w:t>
      </w:r>
    </w:p>
  </w:footnote>
  <w:footnote w:id="4">
    <w:p w14:paraId="1B2D3E01" w14:textId="77777777" w:rsidR="00822D97" w:rsidRDefault="00822D97" w:rsidP="001463B4">
      <w:pPr>
        <w:pStyle w:val="FootnoteText"/>
      </w:pPr>
      <w:r>
        <w:rPr>
          <w:rStyle w:val="FootnoteReference"/>
        </w:rPr>
        <w:footnoteRef/>
      </w:r>
      <w:r>
        <w:t xml:space="preserve"> RAPRA Report ‘The Future of Polymer Foams: Market Forecasts to 2019’ </w:t>
      </w:r>
    </w:p>
  </w:footnote>
  <w:footnote w:id="5">
    <w:p w14:paraId="31B062EA" w14:textId="77777777" w:rsidR="00822D97" w:rsidRDefault="00822D97" w:rsidP="00D151AC">
      <w:pPr>
        <w:pStyle w:val="FootnoteText"/>
      </w:pPr>
      <w:r>
        <w:rPr>
          <w:rStyle w:val="FootnoteReference"/>
        </w:rPr>
        <w:footnoteRef/>
      </w:r>
      <w:r>
        <w:t xml:space="preserve"> Data adapted from Special Report on Ozone and Climate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96C4A"/>
    <w:multiLevelType w:val="hybridMultilevel"/>
    <w:tmpl w:val="6FC65B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8B05D0"/>
    <w:multiLevelType w:val="hybridMultilevel"/>
    <w:tmpl w:val="8C4812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8A0202F"/>
    <w:multiLevelType w:val="hybridMultilevel"/>
    <w:tmpl w:val="B7A268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0FD70CE"/>
    <w:multiLevelType w:val="hybridMultilevel"/>
    <w:tmpl w:val="AB4C3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DC4A68"/>
    <w:multiLevelType w:val="hybridMultilevel"/>
    <w:tmpl w:val="39DE6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34590E"/>
    <w:multiLevelType w:val="hybridMultilevel"/>
    <w:tmpl w:val="8C3C72C2"/>
    <w:lvl w:ilvl="0" w:tplc="FFFFFFFF">
      <w:start w:val="2"/>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63"/>
    <w:rsid w:val="0000061D"/>
    <w:rsid w:val="00010E56"/>
    <w:rsid w:val="00024AE5"/>
    <w:rsid w:val="000275F9"/>
    <w:rsid w:val="000347E5"/>
    <w:rsid w:val="0004057D"/>
    <w:rsid w:val="000432F9"/>
    <w:rsid w:val="000433DB"/>
    <w:rsid w:val="00045187"/>
    <w:rsid w:val="000468C5"/>
    <w:rsid w:val="00050445"/>
    <w:rsid w:val="00052AAF"/>
    <w:rsid w:val="00053478"/>
    <w:rsid w:val="000565CA"/>
    <w:rsid w:val="00065866"/>
    <w:rsid w:val="00066C09"/>
    <w:rsid w:val="000679C1"/>
    <w:rsid w:val="0007525E"/>
    <w:rsid w:val="000921A7"/>
    <w:rsid w:val="00093D90"/>
    <w:rsid w:val="0009581D"/>
    <w:rsid w:val="000959AB"/>
    <w:rsid w:val="000B3E6E"/>
    <w:rsid w:val="000C1FAC"/>
    <w:rsid w:val="000C5CB0"/>
    <w:rsid w:val="000C5D64"/>
    <w:rsid w:val="000C5FA4"/>
    <w:rsid w:val="000E02F3"/>
    <w:rsid w:val="000F0FCE"/>
    <w:rsid w:val="000F169A"/>
    <w:rsid w:val="000F43E4"/>
    <w:rsid w:val="000F52DF"/>
    <w:rsid w:val="000F5BB2"/>
    <w:rsid w:val="00104337"/>
    <w:rsid w:val="00123C7D"/>
    <w:rsid w:val="0013024C"/>
    <w:rsid w:val="00135D05"/>
    <w:rsid w:val="00136E3C"/>
    <w:rsid w:val="00142F98"/>
    <w:rsid w:val="001463B4"/>
    <w:rsid w:val="0015033B"/>
    <w:rsid w:val="00164DBE"/>
    <w:rsid w:val="00170776"/>
    <w:rsid w:val="00175E05"/>
    <w:rsid w:val="00176163"/>
    <w:rsid w:val="001769CA"/>
    <w:rsid w:val="00183BC5"/>
    <w:rsid w:val="001913A7"/>
    <w:rsid w:val="001971C1"/>
    <w:rsid w:val="001A15F3"/>
    <w:rsid w:val="001A6AB8"/>
    <w:rsid w:val="001B0067"/>
    <w:rsid w:val="001B4AA2"/>
    <w:rsid w:val="001B5F57"/>
    <w:rsid w:val="001C2B14"/>
    <w:rsid w:val="001C3723"/>
    <w:rsid w:val="001C3B13"/>
    <w:rsid w:val="001D54AE"/>
    <w:rsid w:val="001E0774"/>
    <w:rsid w:val="001E1DCC"/>
    <w:rsid w:val="001E5111"/>
    <w:rsid w:val="001E51B5"/>
    <w:rsid w:val="001E6679"/>
    <w:rsid w:val="001F7DE2"/>
    <w:rsid w:val="00205F2C"/>
    <w:rsid w:val="00211521"/>
    <w:rsid w:val="0021614A"/>
    <w:rsid w:val="0022198F"/>
    <w:rsid w:val="00242F8E"/>
    <w:rsid w:val="00252F5A"/>
    <w:rsid w:val="00253F8B"/>
    <w:rsid w:val="00255C53"/>
    <w:rsid w:val="00256ADD"/>
    <w:rsid w:val="00273FD6"/>
    <w:rsid w:val="0028150A"/>
    <w:rsid w:val="00293F2A"/>
    <w:rsid w:val="00297CAC"/>
    <w:rsid w:val="002A505F"/>
    <w:rsid w:val="002B6279"/>
    <w:rsid w:val="002C100B"/>
    <w:rsid w:val="002C7521"/>
    <w:rsid w:val="002D02DA"/>
    <w:rsid w:val="002D7B5C"/>
    <w:rsid w:val="002E1BB5"/>
    <w:rsid w:val="002E2E4B"/>
    <w:rsid w:val="002E5E45"/>
    <w:rsid w:val="00304931"/>
    <w:rsid w:val="00320815"/>
    <w:rsid w:val="003237A1"/>
    <w:rsid w:val="00331A20"/>
    <w:rsid w:val="00334BB0"/>
    <w:rsid w:val="00351DF1"/>
    <w:rsid w:val="00360CA1"/>
    <w:rsid w:val="00363770"/>
    <w:rsid w:val="00375D1D"/>
    <w:rsid w:val="00377527"/>
    <w:rsid w:val="00385E10"/>
    <w:rsid w:val="00390843"/>
    <w:rsid w:val="00391386"/>
    <w:rsid w:val="00394C6B"/>
    <w:rsid w:val="003A6383"/>
    <w:rsid w:val="003B0A61"/>
    <w:rsid w:val="003B1E24"/>
    <w:rsid w:val="003B4E91"/>
    <w:rsid w:val="003D129A"/>
    <w:rsid w:val="003D65D7"/>
    <w:rsid w:val="003F73AC"/>
    <w:rsid w:val="003F7EC8"/>
    <w:rsid w:val="00402825"/>
    <w:rsid w:val="004056DC"/>
    <w:rsid w:val="0042052A"/>
    <w:rsid w:val="00436574"/>
    <w:rsid w:val="00443CAF"/>
    <w:rsid w:val="00452645"/>
    <w:rsid w:val="00452A97"/>
    <w:rsid w:val="00452BA8"/>
    <w:rsid w:val="00461342"/>
    <w:rsid w:val="00461C30"/>
    <w:rsid w:val="00473F71"/>
    <w:rsid w:val="00480166"/>
    <w:rsid w:val="00483906"/>
    <w:rsid w:val="00491BA3"/>
    <w:rsid w:val="00492026"/>
    <w:rsid w:val="004954CD"/>
    <w:rsid w:val="00497166"/>
    <w:rsid w:val="004B1269"/>
    <w:rsid w:val="004C1654"/>
    <w:rsid w:val="004C5304"/>
    <w:rsid w:val="004C5764"/>
    <w:rsid w:val="004D22DF"/>
    <w:rsid w:val="004D6F89"/>
    <w:rsid w:val="004E4714"/>
    <w:rsid w:val="004E4C4A"/>
    <w:rsid w:val="004F1C34"/>
    <w:rsid w:val="004F2242"/>
    <w:rsid w:val="004F5172"/>
    <w:rsid w:val="005064C4"/>
    <w:rsid w:val="00511DB6"/>
    <w:rsid w:val="005144DD"/>
    <w:rsid w:val="00515500"/>
    <w:rsid w:val="00517974"/>
    <w:rsid w:val="00532928"/>
    <w:rsid w:val="005345B5"/>
    <w:rsid w:val="00545C51"/>
    <w:rsid w:val="00547D8E"/>
    <w:rsid w:val="005601FB"/>
    <w:rsid w:val="005738C7"/>
    <w:rsid w:val="00574490"/>
    <w:rsid w:val="00583BBA"/>
    <w:rsid w:val="00585D72"/>
    <w:rsid w:val="00591419"/>
    <w:rsid w:val="00595419"/>
    <w:rsid w:val="0059599B"/>
    <w:rsid w:val="005A3979"/>
    <w:rsid w:val="005B112D"/>
    <w:rsid w:val="005C2B17"/>
    <w:rsid w:val="005C37B2"/>
    <w:rsid w:val="005C79C8"/>
    <w:rsid w:val="005E1861"/>
    <w:rsid w:val="005E6C61"/>
    <w:rsid w:val="005F4F7C"/>
    <w:rsid w:val="00600A40"/>
    <w:rsid w:val="00603229"/>
    <w:rsid w:val="00622409"/>
    <w:rsid w:val="0062292A"/>
    <w:rsid w:val="00624355"/>
    <w:rsid w:val="00646A36"/>
    <w:rsid w:val="006474E8"/>
    <w:rsid w:val="00650759"/>
    <w:rsid w:val="00651015"/>
    <w:rsid w:val="00655C6B"/>
    <w:rsid w:val="00656BA1"/>
    <w:rsid w:val="006605F3"/>
    <w:rsid w:val="0067660E"/>
    <w:rsid w:val="006839B9"/>
    <w:rsid w:val="006955A0"/>
    <w:rsid w:val="006977FD"/>
    <w:rsid w:val="006A2237"/>
    <w:rsid w:val="006A226B"/>
    <w:rsid w:val="006A3799"/>
    <w:rsid w:val="006A3F7C"/>
    <w:rsid w:val="006A49E9"/>
    <w:rsid w:val="006A624C"/>
    <w:rsid w:val="006B02FA"/>
    <w:rsid w:val="006C1F17"/>
    <w:rsid w:val="006C28A9"/>
    <w:rsid w:val="006C3005"/>
    <w:rsid w:val="006C572A"/>
    <w:rsid w:val="006D21A9"/>
    <w:rsid w:val="006D2BEA"/>
    <w:rsid w:val="006E19AF"/>
    <w:rsid w:val="006E3FEC"/>
    <w:rsid w:val="006F190D"/>
    <w:rsid w:val="006F2239"/>
    <w:rsid w:val="00710522"/>
    <w:rsid w:val="00713ED4"/>
    <w:rsid w:val="00717BAD"/>
    <w:rsid w:val="00726DE6"/>
    <w:rsid w:val="00726F05"/>
    <w:rsid w:val="007323E5"/>
    <w:rsid w:val="00735353"/>
    <w:rsid w:val="00744859"/>
    <w:rsid w:val="0074576F"/>
    <w:rsid w:val="00745F1E"/>
    <w:rsid w:val="0076293B"/>
    <w:rsid w:val="00776751"/>
    <w:rsid w:val="00786839"/>
    <w:rsid w:val="0079417F"/>
    <w:rsid w:val="00794DFF"/>
    <w:rsid w:val="007979A9"/>
    <w:rsid w:val="007B06A4"/>
    <w:rsid w:val="007B316E"/>
    <w:rsid w:val="007B6C4F"/>
    <w:rsid w:val="007D32D5"/>
    <w:rsid w:val="007E692E"/>
    <w:rsid w:val="007F16C0"/>
    <w:rsid w:val="007F1E9D"/>
    <w:rsid w:val="00804D78"/>
    <w:rsid w:val="00811536"/>
    <w:rsid w:val="00811EC6"/>
    <w:rsid w:val="0081305D"/>
    <w:rsid w:val="008141AF"/>
    <w:rsid w:val="0081797B"/>
    <w:rsid w:val="00822D97"/>
    <w:rsid w:val="00830C2F"/>
    <w:rsid w:val="00831142"/>
    <w:rsid w:val="0083312A"/>
    <w:rsid w:val="008403B8"/>
    <w:rsid w:val="00846EE0"/>
    <w:rsid w:val="008471CF"/>
    <w:rsid w:val="0085587E"/>
    <w:rsid w:val="008620F9"/>
    <w:rsid w:val="008653B8"/>
    <w:rsid w:val="00872EB1"/>
    <w:rsid w:val="008731A4"/>
    <w:rsid w:val="008740E7"/>
    <w:rsid w:val="00880946"/>
    <w:rsid w:val="0088227E"/>
    <w:rsid w:val="0088284E"/>
    <w:rsid w:val="00883B6C"/>
    <w:rsid w:val="00885B5A"/>
    <w:rsid w:val="0088641B"/>
    <w:rsid w:val="00892394"/>
    <w:rsid w:val="008927DA"/>
    <w:rsid w:val="0089387A"/>
    <w:rsid w:val="00894499"/>
    <w:rsid w:val="008A3D7A"/>
    <w:rsid w:val="008A4575"/>
    <w:rsid w:val="008C0C24"/>
    <w:rsid w:val="008C2002"/>
    <w:rsid w:val="008C3C2B"/>
    <w:rsid w:val="008C4338"/>
    <w:rsid w:val="008D1DDE"/>
    <w:rsid w:val="008E4585"/>
    <w:rsid w:val="008E79FA"/>
    <w:rsid w:val="008F1976"/>
    <w:rsid w:val="008F7E07"/>
    <w:rsid w:val="00905A2F"/>
    <w:rsid w:val="00910CD4"/>
    <w:rsid w:val="00923120"/>
    <w:rsid w:val="009272B5"/>
    <w:rsid w:val="009274E2"/>
    <w:rsid w:val="00930057"/>
    <w:rsid w:val="00931620"/>
    <w:rsid w:val="009365BE"/>
    <w:rsid w:val="00941CCE"/>
    <w:rsid w:val="0094768C"/>
    <w:rsid w:val="009518D5"/>
    <w:rsid w:val="00956B67"/>
    <w:rsid w:val="00957C26"/>
    <w:rsid w:val="00962629"/>
    <w:rsid w:val="009633DB"/>
    <w:rsid w:val="009667A2"/>
    <w:rsid w:val="00966BAE"/>
    <w:rsid w:val="009679AB"/>
    <w:rsid w:val="0097141D"/>
    <w:rsid w:val="00975D2A"/>
    <w:rsid w:val="00977FE3"/>
    <w:rsid w:val="00985579"/>
    <w:rsid w:val="009876F4"/>
    <w:rsid w:val="009937E5"/>
    <w:rsid w:val="009B4061"/>
    <w:rsid w:val="009B677D"/>
    <w:rsid w:val="009C24C5"/>
    <w:rsid w:val="009D3ECD"/>
    <w:rsid w:val="009D7763"/>
    <w:rsid w:val="009E75D8"/>
    <w:rsid w:val="009F2054"/>
    <w:rsid w:val="00A06561"/>
    <w:rsid w:val="00A14B77"/>
    <w:rsid w:val="00A15B3B"/>
    <w:rsid w:val="00A234F8"/>
    <w:rsid w:val="00A23D48"/>
    <w:rsid w:val="00A31F44"/>
    <w:rsid w:val="00A32C42"/>
    <w:rsid w:val="00A5112C"/>
    <w:rsid w:val="00A554EB"/>
    <w:rsid w:val="00A55BC3"/>
    <w:rsid w:val="00A6240C"/>
    <w:rsid w:val="00A720E0"/>
    <w:rsid w:val="00A74CA4"/>
    <w:rsid w:val="00A75592"/>
    <w:rsid w:val="00A76000"/>
    <w:rsid w:val="00A7616E"/>
    <w:rsid w:val="00A762E4"/>
    <w:rsid w:val="00A8048D"/>
    <w:rsid w:val="00A84889"/>
    <w:rsid w:val="00A85AC2"/>
    <w:rsid w:val="00A93E33"/>
    <w:rsid w:val="00AA7824"/>
    <w:rsid w:val="00AB1AB6"/>
    <w:rsid w:val="00AB1B18"/>
    <w:rsid w:val="00AB3C27"/>
    <w:rsid w:val="00AC10B9"/>
    <w:rsid w:val="00AC1AD5"/>
    <w:rsid w:val="00AC4534"/>
    <w:rsid w:val="00AC52B6"/>
    <w:rsid w:val="00AD51A5"/>
    <w:rsid w:val="00AD6A20"/>
    <w:rsid w:val="00AD7DF6"/>
    <w:rsid w:val="00AF1014"/>
    <w:rsid w:val="00B05A5B"/>
    <w:rsid w:val="00B05E76"/>
    <w:rsid w:val="00B21A22"/>
    <w:rsid w:val="00B23DB7"/>
    <w:rsid w:val="00B36165"/>
    <w:rsid w:val="00B36EF2"/>
    <w:rsid w:val="00B43080"/>
    <w:rsid w:val="00B564D7"/>
    <w:rsid w:val="00B75716"/>
    <w:rsid w:val="00B75C7A"/>
    <w:rsid w:val="00B82772"/>
    <w:rsid w:val="00BB34B3"/>
    <w:rsid w:val="00BB35FF"/>
    <w:rsid w:val="00BC6325"/>
    <w:rsid w:val="00BC6C42"/>
    <w:rsid w:val="00BD3D9E"/>
    <w:rsid w:val="00BD4FB5"/>
    <w:rsid w:val="00BD739C"/>
    <w:rsid w:val="00BE1A41"/>
    <w:rsid w:val="00C0070F"/>
    <w:rsid w:val="00C05A5D"/>
    <w:rsid w:val="00C11437"/>
    <w:rsid w:val="00C11C92"/>
    <w:rsid w:val="00C161AE"/>
    <w:rsid w:val="00C17E10"/>
    <w:rsid w:val="00C24540"/>
    <w:rsid w:val="00C24FB6"/>
    <w:rsid w:val="00C27B0F"/>
    <w:rsid w:val="00C30751"/>
    <w:rsid w:val="00C341A5"/>
    <w:rsid w:val="00C36B37"/>
    <w:rsid w:val="00C469A8"/>
    <w:rsid w:val="00C552CE"/>
    <w:rsid w:val="00C60157"/>
    <w:rsid w:val="00C66F1F"/>
    <w:rsid w:val="00C843BE"/>
    <w:rsid w:val="00C84976"/>
    <w:rsid w:val="00CA131D"/>
    <w:rsid w:val="00CB0FB2"/>
    <w:rsid w:val="00CC4DAA"/>
    <w:rsid w:val="00CC5BB2"/>
    <w:rsid w:val="00CD12C8"/>
    <w:rsid w:val="00CD4215"/>
    <w:rsid w:val="00CE291E"/>
    <w:rsid w:val="00CE432F"/>
    <w:rsid w:val="00CE62FE"/>
    <w:rsid w:val="00CE724E"/>
    <w:rsid w:val="00CF5408"/>
    <w:rsid w:val="00CF56FD"/>
    <w:rsid w:val="00D02D00"/>
    <w:rsid w:val="00D06949"/>
    <w:rsid w:val="00D12E50"/>
    <w:rsid w:val="00D14503"/>
    <w:rsid w:val="00D151AC"/>
    <w:rsid w:val="00D1701E"/>
    <w:rsid w:val="00D21D13"/>
    <w:rsid w:val="00D2448F"/>
    <w:rsid w:val="00D34964"/>
    <w:rsid w:val="00D34A24"/>
    <w:rsid w:val="00D44FF1"/>
    <w:rsid w:val="00D5512C"/>
    <w:rsid w:val="00D56F52"/>
    <w:rsid w:val="00D6527F"/>
    <w:rsid w:val="00D6535B"/>
    <w:rsid w:val="00D75A85"/>
    <w:rsid w:val="00D7702E"/>
    <w:rsid w:val="00D80612"/>
    <w:rsid w:val="00D87997"/>
    <w:rsid w:val="00D91624"/>
    <w:rsid w:val="00DA12A5"/>
    <w:rsid w:val="00DB6CE3"/>
    <w:rsid w:val="00DC03F8"/>
    <w:rsid w:val="00DC529A"/>
    <w:rsid w:val="00E0548D"/>
    <w:rsid w:val="00E11564"/>
    <w:rsid w:val="00E15502"/>
    <w:rsid w:val="00E31F51"/>
    <w:rsid w:val="00E60E73"/>
    <w:rsid w:val="00E647EF"/>
    <w:rsid w:val="00E672AE"/>
    <w:rsid w:val="00E70362"/>
    <w:rsid w:val="00E71186"/>
    <w:rsid w:val="00E81F17"/>
    <w:rsid w:val="00E84DF8"/>
    <w:rsid w:val="00E85592"/>
    <w:rsid w:val="00EA120C"/>
    <w:rsid w:val="00EA25EA"/>
    <w:rsid w:val="00EA6CDB"/>
    <w:rsid w:val="00EA7AF7"/>
    <w:rsid w:val="00EB33B3"/>
    <w:rsid w:val="00EC189F"/>
    <w:rsid w:val="00ED0331"/>
    <w:rsid w:val="00EE17EE"/>
    <w:rsid w:val="00EE1B35"/>
    <w:rsid w:val="00EE46D6"/>
    <w:rsid w:val="00EF5259"/>
    <w:rsid w:val="00F04672"/>
    <w:rsid w:val="00F22386"/>
    <w:rsid w:val="00F40ECE"/>
    <w:rsid w:val="00F40F3E"/>
    <w:rsid w:val="00F4343B"/>
    <w:rsid w:val="00F454D6"/>
    <w:rsid w:val="00F500A3"/>
    <w:rsid w:val="00F511B5"/>
    <w:rsid w:val="00F53EB9"/>
    <w:rsid w:val="00F57B84"/>
    <w:rsid w:val="00F636AC"/>
    <w:rsid w:val="00F73E3F"/>
    <w:rsid w:val="00F77BE6"/>
    <w:rsid w:val="00F82492"/>
    <w:rsid w:val="00F8352D"/>
    <w:rsid w:val="00F842A0"/>
    <w:rsid w:val="00F855C8"/>
    <w:rsid w:val="00FA0ADC"/>
    <w:rsid w:val="00FB128F"/>
    <w:rsid w:val="00FB38AC"/>
    <w:rsid w:val="00FC0E37"/>
    <w:rsid w:val="00FC1811"/>
    <w:rsid w:val="00FC3237"/>
    <w:rsid w:val="00FD4953"/>
    <w:rsid w:val="00FD495C"/>
    <w:rsid w:val="00FE4030"/>
    <w:rsid w:val="00FE52AF"/>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0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63"/>
    <w:pPr>
      <w:spacing w:after="0" w:line="240" w:lineRule="auto"/>
    </w:pPr>
  </w:style>
  <w:style w:type="paragraph" w:styleId="Heading1">
    <w:name w:val="heading 1"/>
    <w:basedOn w:val="Normal"/>
    <w:next w:val="Normal"/>
    <w:link w:val="Heading1Char"/>
    <w:uiPriority w:val="9"/>
    <w:qFormat/>
    <w:rsid w:val="00491B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5B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5B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5B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163"/>
    <w:rPr>
      <w:color w:val="0563C1" w:themeColor="hyperlink"/>
      <w:u w:val="single"/>
    </w:rPr>
  </w:style>
  <w:style w:type="paragraph" w:styleId="Header">
    <w:name w:val="header"/>
    <w:basedOn w:val="Normal"/>
    <w:link w:val="HeaderChar"/>
    <w:uiPriority w:val="99"/>
    <w:unhideWhenUsed/>
    <w:rsid w:val="00491BA3"/>
    <w:pPr>
      <w:tabs>
        <w:tab w:val="center" w:pos="4513"/>
        <w:tab w:val="right" w:pos="9026"/>
      </w:tabs>
    </w:pPr>
  </w:style>
  <w:style w:type="character" w:customStyle="1" w:styleId="HeaderChar">
    <w:name w:val="Header Char"/>
    <w:basedOn w:val="DefaultParagraphFont"/>
    <w:link w:val="Header"/>
    <w:uiPriority w:val="99"/>
    <w:rsid w:val="00491BA3"/>
  </w:style>
  <w:style w:type="paragraph" w:styleId="Footer">
    <w:name w:val="footer"/>
    <w:basedOn w:val="Normal"/>
    <w:link w:val="FooterChar"/>
    <w:uiPriority w:val="99"/>
    <w:unhideWhenUsed/>
    <w:rsid w:val="00491BA3"/>
    <w:pPr>
      <w:tabs>
        <w:tab w:val="center" w:pos="4513"/>
        <w:tab w:val="right" w:pos="9026"/>
      </w:tabs>
    </w:pPr>
  </w:style>
  <w:style w:type="character" w:customStyle="1" w:styleId="FooterChar">
    <w:name w:val="Footer Char"/>
    <w:basedOn w:val="DefaultParagraphFont"/>
    <w:link w:val="Footer"/>
    <w:uiPriority w:val="99"/>
    <w:rsid w:val="00491BA3"/>
  </w:style>
  <w:style w:type="character" w:customStyle="1" w:styleId="Heading1Char">
    <w:name w:val="Heading 1 Char"/>
    <w:basedOn w:val="DefaultParagraphFont"/>
    <w:link w:val="Heading1"/>
    <w:uiPriority w:val="9"/>
    <w:rsid w:val="00491BA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91BA3"/>
    <w:pPr>
      <w:spacing w:line="259" w:lineRule="auto"/>
      <w:outlineLvl w:val="9"/>
    </w:pPr>
    <w:rPr>
      <w:lang w:val="en-US"/>
    </w:rPr>
  </w:style>
  <w:style w:type="character" w:customStyle="1" w:styleId="Heading2Char">
    <w:name w:val="Heading 2 Char"/>
    <w:basedOn w:val="DefaultParagraphFont"/>
    <w:link w:val="Heading2"/>
    <w:uiPriority w:val="9"/>
    <w:rsid w:val="00CC5B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C5B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C5BB2"/>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0E02F3"/>
    <w:pPr>
      <w:spacing w:after="100"/>
      <w:ind w:left="220"/>
    </w:pPr>
  </w:style>
  <w:style w:type="paragraph" w:styleId="TOC1">
    <w:name w:val="toc 1"/>
    <w:basedOn w:val="Normal"/>
    <w:next w:val="Normal"/>
    <w:autoRedefine/>
    <w:uiPriority w:val="39"/>
    <w:unhideWhenUsed/>
    <w:rsid w:val="000E02F3"/>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024AE5"/>
    <w:pPr>
      <w:tabs>
        <w:tab w:val="right" w:leader="dot" w:pos="9016"/>
      </w:tabs>
      <w:spacing w:after="100" w:line="259" w:lineRule="auto"/>
      <w:ind w:left="440"/>
    </w:pPr>
    <w:rPr>
      <w:rFonts w:eastAsiaTheme="minorEastAsia" w:cs="Times New Roman"/>
      <w:lang w:val="en-US"/>
    </w:rPr>
  </w:style>
  <w:style w:type="paragraph" w:styleId="FootnoteText">
    <w:name w:val="footnote text"/>
    <w:basedOn w:val="Normal"/>
    <w:link w:val="FootnoteTextChar"/>
    <w:uiPriority w:val="99"/>
    <w:semiHidden/>
    <w:unhideWhenUsed/>
    <w:rsid w:val="00BC6C42"/>
    <w:rPr>
      <w:sz w:val="20"/>
      <w:szCs w:val="20"/>
    </w:rPr>
  </w:style>
  <w:style w:type="character" w:customStyle="1" w:styleId="FootnoteTextChar">
    <w:name w:val="Footnote Text Char"/>
    <w:basedOn w:val="DefaultParagraphFont"/>
    <w:link w:val="FootnoteText"/>
    <w:uiPriority w:val="99"/>
    <w:semiHidden/>
    <w:rsid w:val="00BC6C42"/>
    <w:rPr>
      <w:sz w:val="20"/>
      <w:szCs w:val="20"/>
    </w:rPr>
  </w:style>
  <w:style w:type="character" w:styleId="FootnoteReference">
    <w:name w:val="footnote reference"/>
    <w:basedOn w:val="DefaultParagraphFont"/>
    <w:uiPriority w:val="99"/>
    <w:semiHidden/>
    <w:unhideWhenUsed/>
    <w:rsid w:val="00BC6C42"/>
    <w:rPr>
      <w:vertAlign w:val="superscript"/>
    </w:rPr>
  </w:style>
  <w:style w:type="paragraph" w:styleId="BalloonText">
    <w:name w:val="Balloon Text"/>
    <w:basedOn w:val="Normal"/>
    <w:link w:val="BalloonTextChar"/>
    <w:uiPriority w:val="99"/>
    <w:semiHidden/>
    <w:unhideWhenUsed/>
    <w:rsid w:val="001C37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723"/>
    <w:rPr>
      <w:rFonts w:ascii="Lucida Grande" w:hAnsi="Lucida Grande" w:cs="Lucida Grande"/>
      <w:sz w:val="18"/>
      <w:szCs w:val="18"/>
    </w:rPr>
  </w:style>
  <w:style w:type="character" w:styleId="CommentReference">
    <w:name w:val="annotation reference"/>
    <w:basedOn w:val="DefaultParagraphFont"/>
    <w:semiHidden/>
    <w:unhideWhenUsed/>
    <w:rsid w:val="0015033B"/>
    <w:rPr>
      <w:sz w:val="18"/>
      <w:szCs w:val="18"/>
    </w:rPr>
  </w:style>
  <w:style w:type="paragraph" w:styleId="CommentText">
    <w:name w:val="annotation text"/>
    <w:basedOn w:val="Normal"/>
    <w:link w:val="CommentTextChar"/>
    <w:semiHidden/>
    <w:unhideWhenUsed/>
    <w:rsid w:val="0015033B"/>
    <w:rPr>
      <w:sz w:val="24"/>
      <w:szCs w:val="24"/>
    </w:rPr>
  </w:style>
  <w:style w:type="character" w:customStyle="1" w:styleId="CommentTextChar">
    <w:name w:val="Comment Text Char"/>
    <w:basedOn w:val="DefaultParagraphFont"/>
    <w:link w:val="CommentText"/>
    <w:uiPriority w:val="99"/>
    <w:semiHidden/>
    <w:rsid w:val="0015033B"/>
    <w:rPr>
      <w:sz w:val="24"/>
      <w:szCs w:val="24"/>
    </w:rPr>
  </w:style>
  <w:style w:type="paragraph" w:styleId="CommentSubject">
    <w:name w:val="annotation subject"/>
    <w:basedOn w:val="CommentText"/>
    <w:next w:val="CommentText"/>
    <w:link w:val="CommentSubjectChar"/>
    <w:uiPriority w:val="99"/>
    <w:semiHidden/>
    <w:unhideWhenUsed/>
    <w:rsid w:val="0015033B"/>
    <w:rPr>
      <w:b/>
      <w:bCs/>
      <w:sz w:val="20"/>
      <w:szCs w:val="20"/>
    </w:rPr>
  </w:style>
  <w:style w:type="character" w:customStyle="1" w:styleId="CommentSubjectChar">
    <w:name w:val="Comment Subject Char"/>
    <w:basedOn w:val="CommentTextChar"/>
    <w:link w:val="CommentSubject"/>
    <w:uiPriority w:val="99"/>
    <w:semiHidden/>
    <w:rsid w:val="0015033B"/>
    <w:rPr>
      <w:b/>
      <w:bCs/>
      <w:sz w:val="20"/>
      <w:szCs w:val="20"/>
    </w:rPr>
  </w:style>
  <w:style w:type="paragraph" w:styleId="ListParagraph">
    <w:name w:val="List Paragraph"/>
    <w:basedOn w:val="Normal"/>
    <w:uiPriority w:val="34"/>
    <w:qFormat/>
    <w:rsid w:val="001463B4"/>
    <w:pPr>
      <w:ind w:left="720"/>
      <w:contextualSpacing/>
    </w:pPr>
  </w:style>
  <w:style w:type="paragraph" w:customStyle="1" w:styleId="Ballontekst">
    <w:name w:val="Ballontekst"/>
    <w:basedOn w:val="Normal"/>
    <w:semiHidden/>
    <w:unhideWhenUsed/>
    <w:rsid w:val="004B1269"/>
    <w:rPr>
      <w:rFonts w:ascii="Tahoma" w:eastAsia="SimSun" w:hAnsi="Tahoma" w:cs="Palatino Linotype"/>
      <w:color w:val="000000"/>
      <w:sz w:val="16"/>
      <w:szCs w:val="16"/>
      <w:lang w:eastAsia="nl-NL"/>
    </w:rPr>
  </w:style>
  <w:style w:type="paragraph" w:styleId="Revision">
    <w:name w:val="Revision"/>
    <w:hidden/>
    <w:uiPriority w:val="99"/>
    <w:semiHidden/>
    <w:rsid w:val="00547D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63"/>
    <w:pPr>
      <w:spacing w:after="0" w:line="240" w:lineRule="auto"/>
    </w:pPr>
  </w:style>
  <w:style w:type="paragraph" w:styleId="Heading1">
    <w:name w:val="heading 1"/>
    <w:basedOn w:val="Normal"/>
    <w:next w:val="Normal"/>
    <w:link w:val="Heading1Char"/>
    <w:uiPriority w:val="9"/>
    <w:qFormat/>
    <w:rsid w:val="00491B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5B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5B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5B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163"/>
    <w:rPr>
      <w:color w:val="0563C1" w:themeColor="hyperlink"/>
      <w:u w:val="single"/>
    </w:rPr>
  </w:style>
  <w:style w:type="paragraph" w:styleId="Header">
    <w:name w:val="header"/>
    <w:basedOn w:val="Normal"/>
    <w:link w:val="HeaderChar"/>
    <w:uiPriority w:val="99"/>
    <w:unhideWhenUsed/>
    <w:rsid w:val="00491BA3"/>
    <w:pPr>
      <w:tabs>
        <w:tab w:val="center" w:pos="4513"/>
        <w:tab w:val="right" w:pos="9026"/>
      </w:tabs>
    </w:pPr>
  </w:style>
  <w:style w:type="character" w:customStyle="1" w:styleId="HeaderChar">
    <w:name w:val="Header Char"/>
    <w:basedOn w:val="DefaultParagraphFont"/>
    <w:link w:val="Header"/>
    <w:uiPriority w:val="99"/>
    <w:rsid w:val="00491BA3"/>
  </w:style>
  <w:style w:type="paragraph" w:styleId="Footer">
    <w:name w:val="footer"/>
    <w:basedOn w:val="Normal"/>
    <w:link w:val="FooterChar"/>
    <w:uiPriority w:val="99"/>
    <w:unhideWhenUsed/>
    <w:rsid w:val="00491BA3"/>
    <w:pPr>
      <w:tabs>
        <w:tab w:val="center" w:pos="4513"/>
        <w:tab w:val="right" w:pos="9026"/>
      </w:tabs>
    </w:pPr>
  </w:style>
  <w:style w:type="character" w:customStyle="1" w:styleId="FooterChar">
    <w:name w:val="Footer Char"/>
    <w:basedOn w:val="DefaultParagraphFont"/>
    <w:link w:val="Footer"/>
    <w:uiPriority w:val="99"/>
    <w:rsid w:val="00491BA3"/>
  </w:style>
  <w:style w:type="character" w:customStyle="1" w:styleId="Heading1Char">
    <w:name w:val="Heading 1 Char"/>
    <w:basedOn w:val="DefaultParagraphFont"/>
    <w:link w:val="Heading1"/>
    <w:uiPriority w:val="9"/>
    <w:rsid w:val="00491BA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91BA3"/>
    <w:pPr>
      <w:spacing w:line="259" w:lineRule="auto"/>
      <w:outlineLvl w:val="9"/>
    </w:pPr>
    <w:rPr>
      <w:lang w:val="en-US"/>
    </w:rPr>
  </w:style>
  <w:style w:type="character" w:customStyle="1" w:styleId="Heading2Char">
    <w:name w:val="Heading 2 Char"/>
    <w:basedOn w:val="DefaultParagraphFont"/>
    <w:link w:val="Heading2"/>
    <w:uiPriority w:val="9"/>
    <w:rsid w:val="00CC5B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C5B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C5BB2"/>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0E02F3"/>
    <w:pPr>
      <w:spacing w:after="100"/>
      <w:ind w:left="220"/>
    </w:pPr>
  </w:style>
  <w:style w:type="paragraph" w:styleId="TOC1">
    <w:name w:val="toc 1"/>
    <w:basedOn w:val="Normal"/>
    <w:next w:val="Normal"/>
    <w:autoRedefine/>
    <w:uiPriority w:val="39"/>
    <w:unhideWhenUsed/>
    <w:rsid w:val="000E02F3"/>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024AE5"/>
    <w:pPr>
      <w:tabs>
        <w:tab w:val="right" w:leader="dot" w:pos="9016"/>
      </w:tabs>
      <w:spacing w:after="100" w:line="259" w:lineRule="auto"/>
      <w:ind w:left="440"/>
    </w:pPr>
    <w:rPr>
      <w:rFonts w:eastAsiaTheme="minorEastAsia" w:cs="Times New Roman"/>
      <w:lang w:val="en-US"/>
    </w:rPr>
  </w:style>
  <w:style w:type="paragraph" w:styleId="FootnoteText">
    <w:name w:val="footnote text"/>
    <w:basedOn w:val="Normal"/>
    <w:link w:val="FootnoteTextChar"/>
    <w:uiPriority w:val="99"/>
    <w:semiHidden/>
    <w:unhideWhenUsed/>
    <w:rsid w:val="00BC6C42"/>
    <w:rPr>
      <w:sz w:val="20"/>
      <w:szCs w:val="20"/>
    </w:rPr>
  </w:style>
  <w:style w:type="character" w:customStyle="1" w:styleId="FootnoteTextChar">
    <w:name w:val="Footnote Text Char"/>
    <w:basedOn w:val="DefaultParagraphFont"/>
    <w:link w:val="FootnoteText"/>
    <w:uiPriority w:val="99"/>
    <w:semiHidden/>
    <w:rsid w:val="00BC6C42"/>
    <w:rPr>
      <w:sz w:val="20"/>
      <w:szCs w:val="20"/>
    </w:rPr>
  </w:style>
  <w:style w:type="character" w:styleId="FootnoteReference">
    <w:name w:val="footnote reference"/>
    <w:basedOn w:val="DefaultParagraphFont"/>
    <w:uiPriority w:val="99"/>
    <w:semiHidden/>
    <w:unhideWhenUsed/>
    <w:rsid w:val="00BC6C42"/>
    <w:rPr>
      <w:vertAlign w:val="superscript"/>
    </w:rPr>
  </w:style>
  <w:style w:type="paragraph" w:styleId="BalloonText">
    <w:name w:val="Balloon Text"/>
    <w:basedOn w:val="Normal"/>
    <w:link w:val="BalloonTextChar"/>
    <w:uiPriority w:val="99"/>
    <w:semiHidden/>
    <w:unhideWhenUsed/>
    <w:rsid w:val="001C37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723"/>
    <w:rPr>
      <w:rFonts w:ascii="Lucida Grande" w:hAnsi="Lucida Grande" w:cs="Lucida Grande"/>
      <w:sz w:val="18"/>
      <w:szCs w:val="18"/>
    </w:rPr>
  </w:style>
  <w:style w:type="character" w:styleId="CommentReference">
    <w:name w:val="annotation reference"/>
    <w:basedOn w:val="DefaultParagraphFont"/>
    <w:semiHidden/>
    <w:unhideWhenUsed/>
    <w:rsid w:val="0015033B"/>
    <w:rPr>
      <w:sz w:val="18"/>
      <w:szCs w:val="18"/>
    </w:rPr>
  </w:style>
  <w:style w:type="paragraph" w:styleId="CommentText">
    <w:name w:val="annotation text"/>
    <w:basedOn w:val="Normal"/>
    <w:link w:val="CommentTextChar"/>
    <w:semiHidden/>
    <w:unhideWhenUsed/>
    <w:rsid w:val="0015033B"/>
    <w:rPr>
      <w:sz w:val="24"/>
      <w:szCs w:val="24"/>
    </w:rPr>
  </w:style>
  <w:style w:type="character" w:customStyle="1" w:styleId="CommentTextChar">
    <w:name w:val="Comment Text Char"/>
    <w:basedOn w:val="DefaultParagraphFont"/>
    <w:link w:val="CommentText"/>
    <w:uiPriority w:val="99"/>
    <w:semiHidden/>
    <w:rsid w:val="0015033B"/>
    <w:rPr>
      <w:sz w:val="24"/>
      <w:szCs w:val="24"/>
    </w:rPr>
  </w:style>
  <w:style w:type="paragraph" w:styleId="CommentSubject">
    <w:name w:val="annotation subject"/>
    <w:basedOn w:val="CommentText"/>
    <w:next w:val="CommentText"/>
    <w:link w:val="CommentSubjectChar"/>
    <w:uiPriority w:val="99"/>
    <w:semiHidden/>
    <w:unhideWhenUsed/>
    <w:rsid w:val="0015033B"/>
    <w:rPr>
      <w:b/>
      <w:bCs/>
      <w:sz w:val="20"/>
      <w:szCs w:val="20"/>
    </w:rPr>
  </w:style>
  <w:style w:type="character" w:customStyle="1" w:styleId="CommentSubjectChar">
    <w:name w:val="Comment Subject Char"/>
    <w:basedOn w:val="CommentTextChar"/>
    <w:link w:val="CommentSubject"/>
    <w:uiPriority w:val="99"/>
    <w:semiHidden/>
    <w:rsid w:val="0015033B"/>
    <w:rPr>
      <w:b/>
      <w:bCs/>
      <w:sz w:val="20"/>
      <w:szCs w:val="20"/>
    </w:rPr>
  </w:style>
  <w:style w:type="paragraph" w:styleId="ListParagraph">
    <w:name w:val="List Paragraph"/>
    <w:basedOn w:val="Normal"/>
    <w:uiPriority w:val="34"/>
    <w:qFormat/>
    <w:rsid w:val="001463B4"/>
    <w:pPr>
      <w:ind w:left="720"/>
      <w:contextualSpacing/>
    </w:pPr>
  </w:style>
  <w:style w:type="paragraph" w:customStyle="1" w:styleId="Ballontekst">
    <w:name w:val="Ballontekst"/>
    <w:basedOn w:val="Normal"/>
    <w:semiHidden/>
    <w:unhideWhenUsed/>
    <w:rsid w:val="004B1269"/>
    <w:rPr>
      <w:rFonts w:ascii="Tahoma" w:eastAsia="SimSun" w:hAnsi="Tahoma" w:cs="Palatino Linotype"/>
      <w:color w:val="000000"/>
      <w:sz w:val="16"/>
      <w:szCs w:val="16"/>
      <w:lang w:eastAsia="nl-NL"/>
    </w:rPr>
  </w:style>
  <w:style w:type="paragraph" w:styleId="Revision">
    <w:name w:val="Revision"/>
    <w:hidden/>
    <w:uiPriority w:val="99"/>
    <w:semiHidden/>
    <w:rsid w:val="00547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54388">
      <w:bodyDiv w:val="1"/>
      <w:marLeft w:val="0"/>
      <w:marRight w:val="0"/>
      <w:marTop w:val="0"/>
      <w:marBottom w:val="0"/>
      <w:divBdr>
        <w:top w:val="none" w:sz="0" w:space="0" w:color="auto"/>
        <w:left w:val="none" w:sz="0" w:space="0" w:color="auto"/>
        <w:bottom w:val="none" w:sz="0" w:space="0" w:color="auto"/>
        <w:right w:val="none" w:sz="0" w:space="0" w:color="auto"/>
      </w:divBdr>
    </w:div>
    <w:div w:id="10153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41B55FE99C54E93DE29B467D22272" ma:contentTypeVersion="" ma:contentTypeDescription="Create a new document." ma:contentTypeScope="" ma:versionID="b554937088ca6025dd5355180122e0a1">
  <xsd:schema xmlns:xsd="http://www.w3.org/2001/XMLSchema" xmlns:xs="http://www.w3.org/2001/XMLSchema" xmlns:p="http://schemas.microsoft.com/office/2006/metadata/properties" xmlns:ns2="AAE2A87B-C228-4834-B79E-C01691B0EDED" targetNamespace="http://schemas.microsoft.com/office/2006/metadata/properties" ma:root="true" ma:fieldsID="7c84a55b605c1df865cab37fb149a814" ns2:_="">
    <xsd:import namespace="AAE2A87B-C228-4834-B79E-C01691B0EDED"/>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2A87B-C228-4834-B79E-C01691B0EDED"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AAE2A87B-C228-4834-B79E-C01691B0EDED">FTOC</Document_x0020_Symbol>
  </documentManagement>
</p:properties>
</file>

<file path=customXml/itemProps1.xml><?xml version="1.0" encoding="utf-8"?>
<ds:datastoreItem xmlns:ds="http://schemas.openxmlformats.org/officeDocument/2006/customXml" ds:itemID="{6F82CA8D-8CEC-4D5B-A56D-319A16BB4118}"/>
</file>

<file path=customXml/itemProps2.xml><?xml version="1.0" encoding="utf-8"?>
<ds:datastoreItem xmlns:ds="http://schemas.openxmlformats.org/officeDocument/2006/customXml" ds:itemID="{5DE0935E-60CC-405B-8BA9-6EF4C980B475}"/>
</file>

<file path=customXml/itemProps3.xml><?xml version="1.0" encoding="utf-8"?>
<ds:datastoreItem xmlns:ds="http://schemas.openxmlformats.org/officeDocument/2006/customXml" ds:itemID="{A66C5716-080C-4EBE-BDB5-06A6808754F1}"/>
</file>

<file path=customXml/itemProps4.xml><?xml version="1.0" encoding="utf-8"?>
<ds:datastoreItem xmlns:ds="http://schemas.openxmlformats.org/officeDocument/2006/customXml" ds:itemID="{272C4904-F44B-4BE5-978C-C4B43FBAA56C}"/>
</file>

<file path=docProps/app.xml><?xml version="1.0" encoding="utf-8"?>
<Properties xmlns="http://schemas.openxmlformats.org/officeDocument/2006/extended-properties" xmlns:vt="http://schemas.openxmlformats.org/officeDocument/2006/docPropsVTypes">
  <Template>Normal.dotm</Template>
  <TotalTime>59</TotalTime>
  <Pages>42</Pages>
  <Words>15069</Words>
  <Characters>85897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Honeywell</Company>
  <LinksUpToDate>false</LinksUpToDate>
  <CharactersWithSpaces>100765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FTOC 2014 Assessment Report</dc:title>
  <dc:creator>Paul Ashford</dc:creator>
  <cp:lastModifiedBy>Martha Adila</cp:lastModifiedBy>
  <cp:revision>13</cp:revision>
  <cp:lastPrinted>2015-04-01T07:23:00Z</cp:lastPrinted>
  <dcterms:created xsi:type="dcterms:W3CDTF">2015-03-31T08:06:00Z</dcterms:created>
  <dcterms:modified xsi:type="dcterms:W3CDTF">2015-04-01T07:24:00Z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0x010100E5641B55FE99C54E93DE29B467D22272</vt:lpwstr>
  </property>
</Properties>
</file>