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96F26"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bookmarkStart w:id="0" w:name="_GoBack"/>
      <w:bookmarkEnd w:id="0"/>
      <w:r w:rsidRPr="00E54845">
        <w:rPr>
          <w:rFonts w:ascii="Times New Roman" w:eastAsia="Times New Roman" w:hAnsi="Times New Roman" w:cs="Times New Roman"/>
          <w:b/>
          <w:color w:val="000000"/>
          <w:sz w:val="31"/>
          <w:szCs w:val="20"/>
          <w:lang w:val="en-GB" w:eastAsia="nl-NL"/>
        </w:rPr>
        <w:t>MONTREAL PROTOCOL</w:t>
      </w:r>
    </w:p>
    <w:p w14:paraId="1199E371"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p>
    <w:p w14:paraId="57B72956"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r w:rsidRPr="00E54845">
        <w:rPr>
          <w:rFonts w:ascii="Times New Roman" w:eastAsia="Times New Roman" w:hAnsi="Times New Roman" w:cs="Times New Roman"/>
          <w:b/>
          <w:color w:val="000000"/>
          <w:sz w:val="31"/>
          <w:szCs w:val="20"/>
          <w:lang w:val="en-GB" w:eastAsia="nl-NL"/>
        </w:rPr>
        <w:t>ON SUBSTANCES THAT DEPLETE</w:t>
      </w:r>
    </w:p>
    <w:p w14:paraId="28B9A66E"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p>
    <w:p w14:paraId="753289CC"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r w:rsidRPr="00E54845">
        <w:rPr>
          <w:rFonts w:ascii="Times New Roman" w:eastAsia="Times New Roman" w:hAnsi="Times New Roman" w:cs="Times New Roman"/>
          <w:b/>
          <w:color w:val="000000"/>
          <w:sz w:val="31"/>
          <w:szCs w:val="20"/>
          <w:lang w:val="en-GB" w:eastAsia="nl-NL"/>
        </w:rPr>
        <w:t>THE OZONE LAYER</w:t>
      </w:r>
    </w:p>
    <w:p w14:paraId="2EDD4E06" w14:textId="77777777" w:rsidR="00E54845" w:rsidRPr="00E54845" w:rsidRDefault="00E54845" w:rsidP="00E54845">
      <w:pPr>
        <w:spacing w:after="0" w:line="240" w:lineRule="atLeast"/>
        <w:jc w:val="center"/>
        <w:rPr>
          <w:rFonts w:ascii="Times New Roman" w:eastAsia="Times New Roman" w:hAnsi="Times New Roman" w:cs="Times New Roman"/>
          <w:b/>
          <w:smallCaps/>
          <w:color w:val="000000"/>
          <w:sz w:val="35"/>
          <w:szCs w:val="20"/>
          <w:lang w:val="en-GB" w:eastAsia="nl-NL"/>
        </w:rPr>
      </w:pPr>
    </w:p>
    <w:p w14:paraId="7B06F9D8" w14:textId="3EC37085" w:rsidR="00E54845" w:rsidRPr="00E54845" w:rsidRDefault="00E54845" w:rsidP="00E54845">
      <w:pPr>
        <w:spacing w:after="0" w:line="240" w:lineRule="atLeast"/>
        <w:jc w:val="center"/>
        <w:rPr>
          <w:rFonts w:ascii="Times New Roman" w:eastAsia="Times New Roman" w:hAnsi="Times New Roman" w:cs="Times New Roman"/>
          <w:color w:val="000000"/>
          <w:sz w:val="176"/>
          <w:szCs w:val="20"/>
          <w:lang w:val="en-GB" w:eastAsia="nl-NL"/>
        </w:rPr>
      </w:pPr>
      <w:r>
        <w:rPr>
          <w:rFonts w:ascii="Times New Roman" w:eastAsia="Times New Roman" w:hAnsi="Times New Roman" w:cs="Times New Roman"/>
          <w:noProof/>
          <w:color w:val="000000"/>
          <w:sz w:val="176"/>
          <w:szCs w:val="20"/>
        </w:rPr>
        <w:drawing>
          <wp:inline distT="0" distB="0" distL="0" distR="0" wp14:anchorId="4506E91A" wp14:editId="4E2A1062">
            <wp:extent cx="2910840" cy="24828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2482850"/>
                    </a:xfrm>
                    <a:prstGeom prst="rect">
                      <a:avLst/>
                    </a:prstGeom>
                    <a:noFill/>
                    <a:ln>
                      <a:noFill/>
                    </a:ln>
                  </pic:spPr>
                </pic:pic>
              </a:graphicData>
            </a:graphic>
          </wp:inline>
        </w:drawing>
      </w:r>
    </w:p>
    <w:p w14:paraId="55ABC01D" w14:textId="77777777" w:rsidR="00E54845" w:rsidRPr="00E54845" w:rsidRDefault="00E54845" w:rsidP="00E54845">
      <w:pPr>
        <w:spacing w:after="0" w:line="240" w:lineRule="atLeast"/>
        <w:jc w:val="center"/>
        <w:rPr>
          <w:rFonts w:ascii="Times New Roman" w:eastAsia="Times New Roman" w:hAnsi="Times New Roman" w:cs="Times New Roman"/>
          <w:color w:val="000000"/>
          <w:sz w:val="176"/>
          <w:szCs w:val="20"/>
          <w:lang w:val="en-GB" w:eastAsia="nl-NL"/>
        </w:rPr>
      </w:pPr>
      <w:r w:rsidRPr="00E54845">
        <w:rPr>
          <w:rFonts w:ascii="Times New Roman" w:eastAsia="Times New Roman" w:hAnsi="Times New Roman" w:cs="Times New Roman"/>
          <w:color w:val="000000"/>
          <w:sz w:val="176"/>
          <w:szCs w:val="20"/>
          <w:lang w:val="en-GB" w:eastAsia="nl-NL"/>
        </w:rPr>
        <w:t>UNEP</w:t>
      </w:r>
    </w:p>
    <w:p w14:paraId="38F60110"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31"/>
          <w:szCs w:val="20"/>
          <w:lang w:val="en-GB" w:eastAsia="nl-NL"/>
        </w:rPr>
      </w:pPr>
      <w:r w:rsidRPr="00E54845">
        <w:rPr>
          <w:rFonts w:ascii="Times New Roman" w:eastAsia="Times New Roman" w:hAnsi="Times New Roman" w:cs="Times New Roman"/>
          <w:b/>
          <w:color w:val="000000"/>
          <w:sz w:val="31"/>
          <w:szCs w:val="20"/>
          <w:lang w:val="en-GB" w:eastAsia="nl-NL"/>
        </w:rPr>
        <w:t>Technology and Economic Assessment Panel</w:t>
      </w:r>
    </w:p>
    <w:p w14:paraId="50938533"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29"/>
          <w:szCs w:val="20"/>
          <w:lang w:val="en-GB" w:eastAsia="nl-NL"/>
        </w:rPr>
      </w:pPr>
    </w:p>
    <w:p w14:paraId="4669CCD2" w14:textId="77777777" w:rsidR="00E54845" w:rsidRPr="00E54845" w:rsidRDefault="00E54845" w:rsidP="00E54845">
      <w:pPr>
        <w:spacing w:after="0" w:line="240" w:lineRule="atLeast"/>
        <w:jc w:val="center"/>
        <w:rPr>
          <w:rFonts w:ascii="Times New Roman" w:eastAsia="Times New Roman" w:hAnsi="Times New Roman" w:cs="Times New Roman"/>
          <w:b/>
          <w:color w:val="000000"/>
          <w:sz w:val="29"/>
          <w:szCs w:val="20"/>
          <w:lang w:val="en-GB" w:eastAsia="nl-NL"/>
        </w:rPr>
      </w:pPr>
    </w:p>
    <w:p w14:paraId="68F22EBB" w14:textId="2C101021" w:rsidR="00E54845" w:rsidRPr="0045392B" w:rsidRDefault="00E54845" w:rsidP="00BD3B40">
      <w:pPr>
        <w:jc w:val="center"/>
        <w:rPr>
          <w:rFonts w:ascii="Times New Roman" w:hAnsi="Times New Roman" w:cs="Times New Roman"/>
          <w:b/>
          <w:sz w:val="28"/>
          <w:szCs w:val="28"/>
        </w:rPr>
      </w:pPr>
      <w:r w:rsidRPr="00740297">
        <w:rPr>
          <w:rFonts w:ascii="Times New Roman" w:hAnsi="Times New Roman" w:cs="Times New Roman"/>
          <w:b/>
          <w:bCs/>
          <w:sz w:val="28"/>
          <w:szCs w:val="28"/>
        </w:rPr>
        <w:t>A</w:t>
      </w:r>
      <w:r>
        <w:rPr>
          <w:rFonts w:ascii="Times New Roman" w:hAnsi="Times New Roman" w:cs="Times New Roman"/>
          <w:b/>
          <w:bCs/>
          <w:sz w:val="28"/>
          <w:szCs w:val="28"/>
        </w:rPr>
        <w:t>DDENDUM TO THE</w:t>
      </w:r>
      <w:r w:rsidR="00DE6677">
        <w:rPr>
          <w:rFonts w:ascii="Times New Roman" w:hAnsi="Times New Roman" w:cs="Times New Roman"/>
          <w:b/>
          <w:bCs/>
          <w:sz w:val="28"/>
          <w:szCs w:val="28"/>
        </w:rPr>
        <w:t xml:space="preserve"> </w:t>
      </w:r>
      <w:r>
        <w:rPr>
          <w:rFonts w:ascii="Times New Roman" w:hAnsi="Times New Roman" w:cs="Times New Roman"/>
          <w:b/>
          <w:bCs/>
          <w:sz w:val="28"/>
          <w:szCs w:val="28"/>
        </w:rPr>
        <w:t>JUNE 2015 TEAP REPORT</w:t>
      </w:r>
      <w:r w:rsidR="00DE6677">
        <w:rPr>
          <w:rFonts w:ascii="Times New Roman" w:hAnsi="Times New Roman" w:cs="Times New Roman"/>
          <w:b/>
          <w:bCs/>
          <w:sz w:val="28"/>
          <w:szCs w:val="28"/>
        </w:rPr>
        <w:t xml:space="preserve">: </w:t>
      </w:r>
      <w:r w:rsidR="00DE6677">
        <w:rPr>
          <w:rFonts w:ascii="Times New Roman" w:hAnsi="Times New Roman" w:cs="Times New Roman"/>
          <w:b/>
          <w:bCs/>
          <w:sz w:val="28"/>
          <w:szCs w:val="28"/>
        </w:rPr>
        <w:br/>
        <w:t xml:space="preserve">VOLUME 1, </w:t>
      </w:r>
      <w:r w:rsidR="00DE6677" w:rsidRPr="00DE6677">
        <w:rPr>
          <w:rFonts w:ascii="Times New Roman" w:hAnsi="Times New Roman" w:cs="Times New Roman"/>
          <w:b/>
          <w:bCs/>
          <w:sz w:val="28"/>
          <w:szCs w:val="28"/>
        </w:rPr>
        <w:t>PROGRESS</w:t>
      </w:r>
      <w:r w:rsidR="00DE6677">
        <w:rPr>
          <w:rFonts w:ascii="Times New Roman" w:hAnsi="Times New Roman" w:cs="Times New Roman"/>
          <w:b/>
          <w:bCs/>
          <w:sz w:val="28"/>
          <w:szCs w:val="28"/>
        </w:rPr>
        <w:t xml:space="preserve"> REPORT</w:t>
      </w:r>
    </w:p>
    <w:p w14:paraId="4297118B" w14:textId="21CA01D1" w:rsidR="00E54845" w:rsidRPr="00E54845" w:rsidRDefault="00E54845" w:rsidP="00BD3B40">
      <w:pPr>
        <w:spacing w:after="0" w:line="240" w:lineRule="atLeast"/>
        <w:jc w:val="center"/>
        <w:rPr>
          <w:rFonts w:ascii="Times New Roman" w:eastAsia="Times New Roman" w:hAnsi="Times New Roman" w:cs="Times New Roman"/>
          <w:b/>
          <w:smallCaps/>
          <w:color w:val="000000"/>
          <w:sz w:val="35"/>
          <w:szCs w:val="20"/>
          <w:lang w:val="en-GB" w:eastAsia="nl-NL"/>
        </w:rPr>
      </w:pPr>
    </w:p>
    <w:p w14:paraId="73E91435" w14:textId="77777777" w:rsidR="00E54845" w:rsidRPr="00E54845" w:rsidRDefault="00E54845" w:rsidP="00BD3B40">
      <w:pPr>
        <w:tabs>
          <w:tab w:val="left" w:pos="1890"/>
        </w:tabs>
        <w:spacing w:after="0" w:line="240" w:lineRule="auto"/>
        <w:jc w:val="center"/>
        <w:rPr>
          <w:rFonts w:ascii="Times New Roman" w:eastAsia="Times New Roman" w:hAnsi="Times New Roman" w:cs="Times New Roman"/>
          <w:b/>
          <w:smallCaps/>
          <w:color w:val="000000"/>
          <w:sz w:val="27"/>
          <w:szCs w:val="20"/>
          <w:lang w:val="en-GB" w:eastAsia="nl-NL"/>
        </w:rPr>
      </w:pPr>
    </w:p>
    <w:p w14:paraId="4FB9232C" w14:textId="49FFF1E3" w:rsidR="00E54845" w:rsidRPr="00E54845" w:rsidRDefault="00E54845" w:rsidP="00BD3B40">
      <w:pPr>
        <w:spacing w:after="0" w:line="240" w:lineRule="auto"/>
        <w:jc w:val="center"/>
        <w:rPr>
          <w:rFonts w:ascii="Times New Roman" w:eastAsia="Times New Roman" w:hAnsi="Times New Roman" w:cs="Times New Roman"/>
          <w:b/>
          <w:color w:val="000000"/>
          <w:sz w:val="31"/>
          <w:szCs w:val="20"/>
          <w:lang w:val="en-GB" w:eastAsia="nl-NL"/>
        </w:rPr>
      </w:pPr>
      <w:r>
        <w:rPr>
          <w:rFonts w:ascii="Times New Roman" w:eastAsia="Times New Roman" w:hAnsi="Times New Roman" w:cs="Times New Roman"/>
          <w:b/>
          <w:color w:val="000000"/>
          <w:sz w:val="31"/>
          <w:szCs w:val="20"/>
          <w:lang w:val="en-GB" w:eastAsia="nl-NL"/>
        </w:rPr>
        <w:t>SEPTEMBER 2015</w:t>
      </w:r>
    </w:p>
    <w:p w14:paraId="0A128AB6" w14:textId="77777777" w:rsidR="00E54845" w:rsidRDefault="00E54845">
      <w:pPr>
        <w:rPr>
          <w:rFonts w:ascii="Times New Roman" w:hAnsi="Times New Roman" w:cs="Times New Roman"/>
          <w:b/>
          <w:bCs/>
          <w:sz w:val="28"/>
          <w:szCs w:val="28"/>
        </w:rPr>
        <w:sectPr w:rsidR="00E54845" w:rsidSect="00E54845">
          <w:footerReference w:type="default" r:id="rId10"/>
          <w:pgSz w:w="11907" w:h="16839" w:code="9"/>
          <w:pgMar w:top="1440" w:right="1440" w:bottom="1440" w:left="1440" w:header="720" w:footer="720" w:gutter="0"/>
          <w:cols w:space="720"/>
          <w:titlePg/>
          <w:docGrid w:linePitch="360"/>
        </w:sectPr>
      </w:pPr>
    </w:p>
    <w:p w14:paraId="60E45FEB" w14:textId="77777777" w:rsidR="00DE6677" w:rsidRPr="00DE6677" w:rsidRDefault="00DE6677" w:rsidP="00DE6677">
      <w:pPr>
        <w:spacing w:after="360"/>
        <w:jc w:val="center"/>
        <w:rPr>
          <w:rFonts w:ascii="Times New Roman" w:hAnsi="Times New Roman" w:cs="Times New Roman"/>
          <w:b/>
          <w:sz w:val="28"/>
          <w:szCs w:val="28"/>
        </w:rPr>
      </w:pPr>
      <w:r w:rsidRPr="00DE6677">
        <w:rPr>
          <w:rFonts w:ascii="Times New Roman" w:hAnsi="Times New Roman" w:cs="Times New Roman"/>
          <w:b/>
          <w:bCs/>
          <w:sz w:val="28"/>
          <w:szCs w:val="28"/>
        </w:rPr>
        <w:lastRenderedPageBreak/>
        <w:t xml:space="preserve">ADDENDUM TO THE JUNE 2015 TEAP REPORT: </w:t>
      </w:r>
      <w:r w:rsidRPr="00DE6677">
        <w:rPr>
          <w:rFonts w:ascii="Times New Roman" w:hAnsi="Times New Roman" w:cs="Times New Roman"/>
          <w:b/>
          <w:bCs/>
          <w:sz w:val="28"/>
          <w:szCs w:val="28"/>
        </w:rPr>
        <w:br/>
        <w:t>VOLUME 1, PROGRESS REPORT</w:t>
      </w:r>
    </w:p>
    <w:p w14:paraId="4C35411F" w14:textId="276AB70C" w:rsidR="0045392B" w:rsidRPr="005E2EC8" w:rsidRDefault="00740297" w:rsidP="00740297">
      <w:pPr>
        <w:rPr>
          <w:rFonts w:ascii="Times New Roman" w:hAnsi="Times New Roman" w:cs="Times New Roman"/>
          <w:sz w:val="24"/>
          <w:szCs w:val="24"/>
        </w:rPr>
      </w:pPr>
      <w:r w:rsidRPr="005E2EC8">
        <w:rPr>
          <w:rFonts w:ascii="Times New Roman" w:hAnsi="Times New Roman" w:cs="Times New Roman"/>
          <w:sz w:val="24"/>
          <w:szCs w:val="24"/>
        </w:rPr>
        <w:t>In its June 2015 Progress Report, TEAP provided updates to the Parties on the status of reappointments, specific issues relevant for particular T</w:t>
      </w:r>
      <w:r w:rsidR="000F6426" w:rsidRPr="005E2EC8">
        <w:rPr>
          <w:rFonts w:ascii="Times New Roman" w:hAnsi="Times New Roman" w:cs="Times New Roman"/>
          <w:sz w:val="24"/>
          <w:szCs w:val="24"/>
        </w:rPr>
        <w:t>echnical Options Committees (T</w:t>
      </w:r>
      <w:r w:rsidRPr="005E2EC8">
        <w:rPr>
          <w:rFonts w:ascii="Times New Roman" w:hAnsi="Times New Roman" w:cs="Times New Roman"/>
          <w:sz w:val="24"/>
          <w:szCs w:val="24"/>
        </w:rPr>
        <w:t>OCs</w:t>
      </w:r>
      <w:r w:rsidR="000F6426" w:rsidRPr="005E2EC8">
        <w:rPr>
          <w:rFonts w:ascii="Times New Roman" w:hAnsi="Times New Roman" w:cs="Times New Roman"/>
          <w:sz w:val="24"/>
          <w:szCs w:val="24"/>
        </w:rPr>
        <w:t>)</w:t>
      </w:r>
      <w:r w:rsidRPr="005E2EC8">
        <w:rPr>
          <w:rFonts w:ascii="Times New Roman" w:hAnsi="Times New Roman" w:cs="Times New Roman"/>
          <w:sz w:val="24"/>
          <w:szCs w:val="24"/>
        </w:rPr>
        <w:t>, and continuing challenges</w:t>
      </w:r>
      <w:r w:rsidR="00843A6C" w:rsidRPr="005E2EC8">
        <w:rPr>
          <w:rFonts w:ascii="Times New Roman" w:hAnsi="Times New Roman" w:cs="Times New Roman"/>
          <w:sz w:val="24"/>
          <w:szCs w:val="24"/>
        </w:rPr>
        <w:t xml:space="preserve"> to its organization and operations</w:t>
      </w:r>
      <w:r w:rsidRPr="005E2EC8">
        <w:rPr>
          <w:rFonts w:ascii="Times New Roman" w:hAnsi="Times New Roman" w:cs="Times New Roman"/>
          <w:sz w:val="24"/>
          <w:szCs w:val="24"/>
        </w:rPr>
        <w:t xml:space="preserve">. In this addendum, TEAP is providing for the consideration of Parties its recommendations to address the specific </w:t>
      </w:r>
      <w:r w:rsidR="00843A6C" w:rsidRPr="005E2EC8">
        <w:rPr>
          <w:rFonts w:ascii="Times New Roman" w:hAnsi="Times New Roman" w:cs="Times New Roman"/>
          <w:sz w:val="24"/>
          <w:szCs w:val="24"/>
        </w:rPr>
        <w:t xml:space="preserve">challenges </w:t>
      </w:r>
      <w:r w:rsidRPr="005E2EC8">
        <w:rPr>
          <w:rFonts w:ascii="Times New Roman" w:hAnsi="Times New Roman" w:cs="Times New Roman"/>
          <w:sz w:val="24"/>
          <w:szCs w:val="24"/>
        </w:rPr>
        <w:t>for particular TOCs that were raised in that report</w:t>
      </w:r>
      <w:r w:rsidR="0045392B" w:rsidRPr="005E2EC8">
        <w:rPr>
          <w:rFonts w:ascii="Times New Roman" w:hAnsi="Times New Roman" w:cs="Times New Roman"/>
          <w:sz w:val="24"/>
          <w:szCs w:val="24"/>
        </w:rPr>
        <w:t xml:space="preserve">. </w:t>
      </w:r>
      <w:r w:rsidR="005C550E">
        <w:rPr>
          <w:rFonts w:ascii="Times New Roman" w:hAnsi="Times New Roman" w:cs="Times New Roman"/>
          <w:sz w:val="24"/>
          <w:szCs w:val="24"/>
        </w:rPr>
        <w:t xml:space="preserve"> </w:t>
      </w:r>
      <w:r w:rsidR="0045392B" w:rsidRPr="005E2EC8">
        <w:rPr>
          <w:rFonts w:ascii="Times New Roman" w:hAnsi="Times New Roman" w:cs="Times New Roman"/>
          <w:sz w:val="24"/>
          <w:szCs w:val="24"/>
        </w:rPr>
        <w:t xml:space="preserve">These recommendations follow TEAP’s continuing commitment to </w:t>
      </w:r>
      <w:r w:rsidRPr="005E2EC8">
        <w:rPr>
          <w:rFonts w:ascii="Times New Roman" w:hAnsi="Times New Roman" w:cs="Times New Roman"/>
          <w:sz w:val="24"/>
          <w:szCs w:val="24"/>
        </w:rPr>
        <w:t>work so that its TOCs are structured to support future efforts of the Parties</w:t>
      </w:r>
      <w:r w:rsidR="0045392B" w:rsidRPr="005E2EC8">
        <w:rPr>
          <w:rFonts w:ascii="Times New Roman" w:hAnsi="Times New Roman" w:cs="Times New Roman"/>
          <w:sz w:val="24"/>
          <w:szCs w:val="24"/>
        </w:rPr>
        <w:t>.</w:t>
      </w:r>
    </w:p>
    <w:p w14:paraId="397DEF07" w14:textId="77777777" w:rsidR="005E2EC8" w:rsidRDefault="0045392B">
      <w:pPr>
        <w:rPr>
          <w:rFonts w:ascii="Times New Roman" w:hAnsi="Times New Roman" w:cs="Times New Roman"/>
          <w:sz w:val="24"/>
          <w:szCs w:val="24"/>
          <w:u w:val="single"/>
        </w:rPr>
      </w:pPr>
      <w:r>
        <w:rPr>
          <w:rFonts w:ascii="Times New Roman" w:hAnsi="Times New Roman" w:cs="Times New Roman"/>
          <w:sz w:val="24"/>
          <w:szCs w:val="24"/>
          <w:u w:val="single"/>
        </w:rPr>
        <w:t>Recommendations</w:t>
      </w:r>
    </w:p>
    <w:p w14:paraId="3D76C52E" w14:textId="7AD897CF" w:rsidR="002A3216" w:rsidRDefault="00B8294B">
      <w:pPr>
        <w:rPr>
          <w:rFonts w:ascii="Times New Roman" w:hAnsi="Times New Roman" w:cs="Times New Roman"/>
          <w:sz w:val="24"/>
          <w:szCs w:val="24"/>
        </w:rPr>
      </w:pPr>
      <w:r>
        <w:rPr>
          <w:rFonts w:ascii="Times New Roman" w:hAnsi="Times New Roman" w:cs="Times New Roman"/>
          <w:sz w:val="24"/>
          <w:szCs w:val="24"/>
        </w:rPr>
        <w:t>The TEAP is recommending the following to stren</w:t>
      </w:r>
      <w:r w:rsidR="00D17BAB">
        <w:rPr>
          <w:rFonts w:ascii="Times New Roman" w:hAnsi="Times New Roman" w:cs="Times New Roman"/>
          <w:sz w:val="24"/>
          <w:szCs w:val="24"/>
        </w:rPr>
        <w:t>g</w:t>
      </w:r>
      <w:r>
        <w:rPr>
          <w:rFonts w:ascii="Times New Roman" w:hAnsi="Times New Roman" w:cs="Times New Roman"/>
          <w:sz w:val="24"/>
          <w:szCs w:val="24"/>
        </w:rPr>
        <w:t>then its ability to provide necessary support to the Parties</w:t>
      </w:r>
      <w:r w:rsidR="005E2EC8">
        <w:rPr>
          <w:rFonts w:ascii="Times New Roman" w:hAnsi="Times New Roman" w:cs="Times New Roman"/>
          <w:sz w:val="24"/>
          <w:szCs w:val="24"/>
        </w:rPr>
        <w:t>,</w:t>
      </w:r>
      <w:r w:rsidR="0045392B">
        <w:rPr>
          <w:rFonts w:ascii="Times New Roman" w:hAnsi="Times New Roman" w:cs="Times New Roman"/>
          <w:sz w:val="24"/>
          <w:szCs w:val="24"/>
        </w:rPr>
        <w:t xml:space="preserve"> and provides further background information below</w:t>
      </w:r>
      <w:r>
        <w:rPr>
          <w:rFonts w:ascii="Times New Roman" w:hAnsi="Times New Roman" w:cs="Times New Roman"/>
          <w:sz w:val="24"/>
          <w:szCs w:val="24"/>
        </w:rPr>
        <w:t>:</w:t>
      </w:r>
    </w:p>
    <w:p w14:paraId="10775699" w14:textId="77777777" w:rsidR="002A3216" w:rsidRDefault="00B8294B" w:rsidP="00C357B8">
      <w:pPr>
        <w:rPr>
          <w:rFonts w:ascii="Times New Roman" w:hAnsi="Times New Roman" w:cs="Times New Roman"/>
          <w:sz w:val="24"/>
          <w:szCs w:val="24"/>
        </w:rPr>
      </w:pPr>
      <w:r>
        <w:rPr>
          <w:rFonts w:ascii="Times New Roman" w:hAnsi="Times New Roman" w:cs="Times New Roman"/>
          <w:sz w:val="24"/>
          <w:szCs w:val="24"/>
        </w:rPr>
        <w:t xml:space="preserve">1. In recognition of the challenges to the </w:t>
      </w:r>
      <w:r w:rsidR="006916F1">
        <w:rPr>
          <w:rFonts w:ascii="Times New Roman" w:hAnsi="Times New Roman" w:cs="Times New Roman"/>
          <w:sz w:val="24"/>
          <w:szCs w:val="24"/>
        </w:rPr>
        <w:t>Chemicals Technical Options Committee (</w:t>
      </w:r>
      <w:r>
        <w:rPr>
          <w:rFonts w:ascii="Times New Roman" w:hAnsi="Times New Roman" w:cs="Times New Roman"/>
          <w:sz w:val="24"/>
          <w:szCs w:val="24"/>
        </w:rPr>
        <w:t>CTOC</w:t>
      </w:r>
      <w:r w:rsidR="006916F1">
        <w:rPr>
          <w:rFonts w:ascii="Times New Roman" w:hAnsi="Times New Roman" w:cs="Times New Roman"/>
          <w:sz w:val="24"/>
          <w:szCs w:val="24"/>
        </w:rPr>
        <w:t>)</w:t>
      </w:r>
      <w:r>
        <w:rPr>
          <w:rFonts w:ascii="Times New Roman" w:hAnsi="Times New Roman" w:cs="Times New Roman"/>
          <w:sz w:val="24"/>
          <w:szCs w:val="24"/>
        </w:rPr>
        <w:t xml:space="preserve"> and M</w:t>
      </w:r>
      <w:r w:rsidR="006916F1">
        <w:rPr>
          <w:rFonts w:ascii="Times New Roman" w:hAnsi="Times New Roman" w:cs="Times New Roman"/>
          <w:sz w:val="24"/>
          <w:szCs w:val="24"/>
        </w:rPr>
        <w:t>edical Technical Options Committee (M</w:t>
      </w:r>
      <w:r>
        <w:rPr>
          <w:rFonts w:ascii="Times New Roman" w:hAnsi="Times New Roman" w:cs="Times New Roman"/>
          <w:sz w:val="24"/>
          <w:szCs w:val="24"/>
        </w:rPr>
        <w:t>TOC</w:t>
      </w:r>
      <w:r w:rsidR="00C357B8">
        <w:rPr>
          <w:rFonts w:ascii="Times New Roman" w:hAnsi="Times New Roman" w:cs="Times New Roman"/>
          <w:sz w:val="24"/>
          <w:szCs w:val="24"/>
        </w:rPr>
        <w:t>)</w:t>
      </w:r>
      <w:r>
        <w:rPr>
          <w:rFonts w:ascii="Times New Roman" w:hAnsi="Times New Roman" w:cs="Times New Roman"/>
          <w:sz w:val="24"/>
          <w:szCs w:val="24"/>
        </w:rPr>
        <w:t xml:space="preserve">, the TEAP </w:t>
      </w:r>
      <w:r w:rsidR="009117A2">
        <w:rPr>
          <w:rFonts w:ascii="Times New Roman" w:hAnsi="Times New Roman" w:cs="Times New Roman"/>
          <w:sz w:val="24"/>
          <w:szCs w:val="24"/>
        </w:rPr>
        <w:t xml:space="preserve">would like </w:t>
      </w:r>
      <w:r w:rsidR="006916F1">
        <w:rPr>
          <w:rFonts w:ascii="Times New Roman" w:hAnsi="Times New Roman" w:cs="Times New Roman"/>
          <w:sz w:val="24"/>
          <w:szCs w:val="24"/>
        </w:rPr>
        <w:t xml:space="preserve">the Parties </w:t>
      </w:r>
      <w:r w:rsidR="009117A2">
        <w:rPr>
          <w:rFonts w:ascii="Times New Roman" w:hAnsi="Times New Roman" w:cs="Times New Roman"/>
          <w:sz w:val="24"/>
          <w:szCs w:val="24"/>
        </w:rPr>
        <w:t xml:space="preserve">to </w:t>
      </w:r>
      <w:r>
        <w:rPr>
          <w:rFonts w:ascii="Times New Roman" w:hAnsi="Times New Roman" w:cs="Times New Roman"/>
          <w:sz w:val="24"/>
          <w:szCs w:val="24"/>
        </w:rPr>
        <w:t>consider forming a single new TOC from the existing CTOC and MTOC, to be called the Chemicals and Medical TOC (</w:t>
      </w:r>
      <w:r w:rsidR="003C549D">
        <w:rPr>
          <w:rFonts w:ascii="Times New Roman" w:hAnsi="Times New Roman" w:cs="Times New Roman"/>
          <w:sz w:val="24"/>
          <w:szCs w:val="24"/>
        </w:rPr>
        <w:t>CMTOC</w:t>
      </w:r>
      <w:r>
        <w:rPr>
          <w:rFonts w:ascii="Times New Roman" w:hAnsi="Times New Roman" w:cs="Times New Roman"/>
          <w:sz w:val="24"/>
          <w:szCs w:val="24"/>
        </w:rPr>
        <w:t>).</w:t>
      </w:r>
    </w:p>
    <w:p w14:paraId="4D41D9BD" w14:textId="77777777" w:rsidR="002A3216" w:rsidRDefault="00B8294B">
      <w:pPr>
        <w:rPr>
          <w:rFonts w:ascii="Times New Roman" w:hAnsi="Times New Roman" w:cs="Times New Roman"/>
          <w:sz w:val="24"/>
          <w:szCs w:val="24"/>
        </w:rPr>
      </w:pPr>
      <w:r>
        <w:rPr>
          <w:rFonts w:ascii="Times New Roman" w:hAnsi="Times New Roman" w:cs="Times New Roman"/>
          <w:sz w:val="24"/>
          <w:szCs w:val="24"/>
        </w:rPr>
        <w:t xml:space="preserve">2. TEAP </w:t>
      </w:r>
      <w:r w:rsidR="00832C17">
        <w:rPr>
          <w:rFonts w:ascii="Times New Roman" w:hAnsi="Times New Roman" w:cs="Times New Roman"/>
          <w:sz w:val="24"/>
          <w:szCs w:val="24"/>
        </w:rPr>
        <w:t>understands</w:t>
      </w:r>
      <w:r>
        <w:rPr>
          <w:rFonts w:ascii="Times New Roman" w:hAnsi="Times New Roman" w:cs="Times New Roman"/>
          <w:sz w:val="24"/>
          <w:szCs w:val="24"/>
        </w:rPr>
        <w:t xml:space="preserve"> that the </w:t>
      </w:r>
      <w:r w:rsidR="00762631">
        <w:rPr>
          <w:rFonts w:ascii="Times New Roman" w:hAnsi="Times New Roman" w:cs="Times New Roman"/>
          <w:sz w:val="24"/>
          <w:szCs w:val="24"/>
        </w:rPr>
        <w:t xml:space="preserve">terms of appointment for the existing </w:t>
      </w:r>
      <w:r>
        <w:rPr>
          <w:rFonts w:ascii="Times New Roman" w:hAnsi="Times New Roman" w:cs="Times New Roman"/>
          <w:sz w:val="24"/>
          <w:szCs w:val="24"/>
        </w:rPr>
        <w:t xml:space="preserve">co-chairs of the </w:t>
      </w:r>
      <w:r w:rsidR="00762631">
        <w:rPr>
          <w:rFonts w:ascii="Times New Roman" w:hAnsi="Times New Roman" w:cs="Times New Roman"/>
          <w:sz w:val="24"/>
          <w:szCs w:val="24"/>
        </w:rPr>
        <w:t xml:space="preserve">CTOC and MTOC </w:t>
      </w:r>
      <w:r w:rsidR="00EC53EC">
        <w:rPr>
          <w:rFonts w:ascii="Times New Roman" w:hAnsi="Times New Roman" w:cs="Times New Roman"/>
          <w:sz w:val="24"/>
          <w:szCs w:val="24"/>
        </w:rPr>
        <w:t>would</w:t>
      </w:r>
      <w:r w:rsidR="00832C17">
        <w:rPr>
          <w:rFonts w:ascii="Times New Roman" w:hAnsi="Times New Roman" w:cs="Times New Roman"/>
          <w:sz w:val="24"/>
          <w:szCs w:val="24"/>
        </w:rPr>
        <w:t xml:space="preserve"> expire upon establishment of the new TOC.  TEAP recommends that the Parties consider appointing </w:t>
      </w:r>
      <w:r>
        <w:rPr>
          <w:rFonts w:ascii="Times New Roman" w:hAnsi="Times New Roman" w:cs="Times New Roman"/>
          <w:sz w:val="24"/>
          <w:szCs w:val="24"/>
        </w:rPr>
        <w:t>Helen Tope, Keiichi Ohnishi, and Jianjun Zhang</w:t>
      </w:r>
      <w:r w:rsidR="00832C17">
        <w:rPr>
          <w:rFonts w:ascii="Times New Roman" w:hAnsi="Times New Roman" w:cs="Times New Roman"/>
          <w:sz w:val="24"/>
          <w:szCs w:val="24"/>
        </w:rPr>
        <w:t xml:space="preserve"> as co-chairs of the </w:t>
      </w:r>
      <w:r w:rsidR="003C549D">
        <w:rPr>
          <w:rFonts w:ascii="Times New Roman" w:hAnsi="Times New Roman" w:cs="Times New Roman"/>
          <w:sz w:val="24"/>
          <w:szCs w:val="24"/>
        </w:rPr>
        <w:t>CMTOC</w:t>
      </w:r>
      <w:r w:rsidR="00832C17">
        <w:rPr>
          <w:rFonts w:ascii="Times New Roman" w:hAnsi="Times New Roman" w:cs="Times New Roman"/>
          <w:sz w:val="24"/>
          <w:szCs w:val="24"/>
        </w:rPr>
        <w:t xml:space="preserve"> for a period not to exceed four years</w:t>
      </w:r>
      <w:r>
        <w:rPr>
          <w:rFonts w:ascii="Times New Roman" w:hAnsi="Times New Roman" w:cs="Times New Roman"/>
          <w:sz w:val="24"/>
          <w:szCs w:val="24"/>
        </w:rPr>
        <w:t>.</w:t>
      </w:r>
    </w:p>
    <w:p w14:paraId="724AFD4D" w14:textId="4D4668B0" w:rsidR="002A3216" w:rsidRDefault="00B8294B">
      <w:pPr>
        <w:rPr>
          <w:rFonts w:ascii="Times New Roman" w:hAnsi="Times New Roman" w:cs="Times New Roman"/>
          <w:sz w:val="24"/>
          <w:szCs w:val="24"/>
        </w:rPr>
      </w:pPr>
      <w:r>
        <w:rPr>
          <w:rFonts w:ascii="Times New Roman" w:hAnsi="Times New Roman" w:cs="Times New Roman"/>
          <w:sz w:val="24"/>
          <w:szCs w:val="24"/>
        </w:rPr>
        <w:t xml:space="preserve">3. TEAP </w:t>
      </w:r>
      <w:r w:rsidR="003C549D">
        <w:rPr>
          <w:rFonts w:ascii="Times New Roman" w:hAnsi="Times New Roman" w:cs="Times New Roman"/>
          <w:sz w:val="24"/>
          <w:szCs w:val="24"/>
        </w:rPr>
        <w:t xml:space="preserve">wishes to inform the Parties that the outgoing MTOC co-chairs, </w:t>
      </w:r>
      <w:r>
        <w:rPr>
          <w:rFonts w:ascii="Times New Roman" w:hAnsi="Times New Roman" w:cs="Times New Roman"/>
          <w:sz w:val="24"/>
          <w:szCs w:val="24"/>
        </w:rPr>
        <w:t xml:space="preserve">Jose Pons Pons </w:t>
      </w:r>
      <w:r w:rsidR="003C549D">
        <w:rPr>
          <w:rFonts w:ascii="Times New Roman" w:hAnsi="Times New Roman" w:cs="Times New Roman"/>
          <w:sz w:val="24"/>
          <w:szCs w:val="24"/>
        </w:rPr>
        <w:t xml:space="preserve">and </w:t>
      </w:r>
      <w:r w:rsidR="003C549D">
        <w:rPr>
          <w:rFonts w:ascii="Times New Roman" w:hAnsi="Times New Roman" w:cs="Times New Roman"/>
          <w:bCs/>
          <w:sz w:val="24"/>
          <w:szCs w:val="24"/>
        </w:rPr>
        <w:t xml:space="preserve">Ashley Woodcock </w:t>
      </w:r>
      <w:r w:rsidR="009A358F">
        <w:rPr>
          <w:rFonts w:ascii="Times New Roman" w:hAnsi="Times New Roman" w:cs="Times New Roman"/>
          <w:bCs/>
          <w:sz w:val="24"/>
          <w:szCs w:val="24"/>
        </w:rPr>
        <w:t>have agreed to</w:t>
      </w:r>
      <w:r w:rsidR="003C549D" w:rsidRPr="003C549D">
        <w:rPr>
          <w:rFonts w:ascii="Times New Roman" w:hAnsi="Times New Roman" w:cs="Times New Roman"/>
          <w:bCs/>
          <w:sz w:val="24"/>
          <w:szCs w:val="24"/>
        </w:rPr>
        <w:t xml:space="preserve"> provide support to the co-chairs of the newly merg</w:t>
      </w:r>
      <w:r w:rsidR="003C549D">
        <w:rPr>
          <w:rFonts w:ascii="Times New Roman" w:hAnsi="Times New Roman" w:cs="Times New Roman"/>
          <w:bCs/>
          <w:sz w:val="24"/>
          <w:szCs w:val="24"/>
        </w:rPr>
        <w:t xml:space="preserve">ed </w:t>
      </w:r>
      <w:r w:rsidR="009A358F">
        <w:rPr>
          <w:rFonts w:ascii="Times New Roman" w:hAnsi="Times New Roman" w:cs="Times New Roman"/>
          <w:bCs/>
          <w:sz w:val="24"/>
          <w:szCs w:val="24"/>
        </w:rPr>
        <w:t>CM</w:t>
      </w:r>
      <w:r w:rsidR="003C549D">
        <w:rPr>
          <w:rFonts w:ascii="Times New Roman" w:hAnsi="Times New Roman" w:cs="Times New Roman"/>
          <w:bCs/>
          <w:sz w:val="24"/>
          <w:szCs w:val="24"/>
        </w:rPr>
        <w:t>TOC for a period of time, anticipated to be about a year</w:t>
      </w:r>
      <w:r w:rsidR="009A358F">
        <w:rPr>
          <w:rFonts w:ascii="Times New Roman" w:hAnsi="Times New Roman" w:cs="Times New Roman"/>
          <w:bCs/>
          <w:sz w:val="24"/>
          <w:szCs w:val="24"/>
        </w:rPr>
        <w:t xml:space="preserve"> to allow for a smooth transition</w:t>
      </w:r>
      <w:r w:rsidR="003C549D" w:rsidRPr="003C549D">
        <w:rPr>
          <w:rFonts w:ascii="Times New Roman" w:hAnsi="Times New Roman" w:cs="Times New Roman"/>
          <w:bCs/>
          <w:sz w:val="24"/>
          <w:szCs w:val="24"/>
        </w:rPr>
        <w:t xml:space="preserve">. </w:t>
      </w:r>
      <w:r w:rsidR="005C550E">
        <w:rPr>
          <w:rFonts w:ascii="Times New Roman" w:hAnsi="Times New Roman" w:cs="Times New Roman"/>
          <w:bCs/>
          <w:sz w:val="24"/>
          <w:szCs w:val="24"/>
        </w:rPr>
        <w:t xml:space="preserve"> </w:t>
      </w:r>
      <w:r w:rsidR="00EB776C">
        <w:rPr>
          <w:rFonts w:ascii="Times New Roman" w:hAnsi="Times New Roman" w:cs="Times New Roman"/>
          <w:bCs/>
          <w:sz w:val="24"/>
          <w:szCs w:val="24"/>
        </w:rPr>
        <w:t xml:space="preserve">TEAP believes that keeping former TOC co-chairs </w:t>
      </w:r>
      <w:r w:rsidR="003C549D">
        <w:rPr>
          <w:rFonts w:ascii="Times New Roman" w:hAnsi="Times New Roman" w:cs="Times New Roman"/>
          <w:bCs/>
          <w:sz w:val="24"/>
          <w:szCs w:val="24"/>
        </w:rPr>
        <w:t>available to the</w:t>
      </w:r>
      <w:r w:rsidR="00EB776C">
        <w:rPr>
          <w:rFonts w:ascii="Times New Roman" w:hAnsi="Times New Roman" w:cs="Times New Roman"/>
          <w:bCs/>
          <w:sz w:val="24"/>
          <w:szCs w:val="24"/>
        </w:rPr>
        <w:t xml:space="preserve"> TOC</w:t>
      </w:r>
      <w:r w:rsidR="003C549D">
        <w:rPr>
          <w:rFonts w:ascii="Times New Roman" w:hAnsi="Times New Roman" w:cs="Times New Roman"/>
          <w:bCs/>
          <w:sz w:val="24"/>
          <w:szCs w:val="24"/>
        </w:rPr>
        <w:t xml:space="preserve"> for a</w:t>
      </w:r>
      <w:r w:rsidR="009A358F">
        <w:rPr>
          <w:rFonts w:ascii="Times New Roman" w:hAnsi="Times New Roman" w:cs="Times New Roman"/>
          <w:bCs/>
          <w:sz w:val="24"/>
          <w:szCs w:val="24"/>
        </w:rPr>
        <w:t xml:space="preserve"> </w:t>
      </w:r>
      <w:r w:rsidR="003C549D">
        <w:rPr>
          <w:rFonts w:ascii="Times New Roman" w:hAnsi="Times New Roman" w:cs="Times New Roman"/>
          <w:bCs/>
          <w:sz w:val="24"/>
          <w:szCs w:val="24"/>
        </w:rPr>
        <w:t>period of time</w:t>
      </w:r>
      <w:r w:rsidR="00EB776C">
        <w:rPr>
          <w:rFonts w:ascii="Times New Roman" w:hAnsi="Times New Roman" w:cs="Times New Roman"/>
          <w:bCs/>
          <w:sz w:val="24"/>
          <w:szCs w:val="24"/>
        </w:rPr>
        <w:t xml:space="preserve"> can help to smooth out the transition to new TOC co-chairs and avoid some of the difficulties the CTOC co-chairs experienced.  </w:t>
      </w:r>
    </w:p>
    <w:p w14:paraId="41E4646A" w14:textId="7FE7957C" w:rsidR="009A358F" w:rsidRDefault="000B03F8">
      <w:pPr>
        <w:rPr>
          <w:rFonts w:ascii="Times New Roman" w:hAnsi="Times New Roman" w:cs="Times New Roman"/>
          <w:bCs/>
          <w:sz w:val="24"/>
          <w:szCs w:val="24"/>
        </w:rPr>
      </w:pPr>
      <w:r>
        <w:rPr>
          <w:rFonts w:ascii="Times New Roman" w:hAnsi="Times New Roman" w:cs="Times New Roman"/>
          <w:sz w:val="24"/>
          <w:szCs w:val="24"/>
        </w:rPr>
        <w:t xml:space="preserve">4. </w:t>
      </w:r>
      <w:r w:rsidR="0045392B">
        <w:rPr>
          <w:rFonts w:ascii="Times New Roman" w:hAnsi="Times New Roman" w:cs="Times New Roman"/>
          <w:sz w:val="24"/>
          <w:szCs w:val="24"/>
        </w:rPr>
        <w:t xml:space="preserve">TEAP has sought, but has received </w:t>
      </w:r>
      <w:r w:rsidR="00D43244">
        <w:rPr>
          <w:rFonts w:ascii="Times New Roman" w:hAnsi="Times New Roman" w:cs="Times New Roman"/>
          <w:sz w:val="24"/>
          <w:szCs w:val="24"/>
        </w:rPr>
        <w:t>n</w:t>
      </w:r>
      <w:r w:rsidR="00B8294B">
        <w:rPr>
          <w:rFonts w:ascii="Times New Roman" w:hAnsi="Times New Roman" w:cs="Times New Roman"/>
          <w:sz w:val="24"/>
          <w:szCs w:val="24"/>
        </w:rPr>
        <w:t xml:space="preserve">o nominations </w:t>
      </w:r>
      <w:r w:rsidR="00D43244">
        <w:rPr>
          <w:rFonts w:ascii="Times New Roman" w:hAnsi="Times New Roman" w:cs="Times New Roman"/>
          <w:sz w:val="24"/>
          <w:szCs w:val="24"/>
        </w:rPr>
        <w:t xml:space="preserve">to date </w:t>
      </w:r>
      <w:r w:rsidR="00B8294B">
        <w:rPr>
          <w:rFonts w:ascii="Times New Roman" w:hAnsi="Times New Roman" w:cs="Times New Roman"/>
          <w:sz w:val="24"/>
          <w:szCs w:val="24"/>
        </w:rPr>
        <w:t>for co-chair</w:t>
      </w:r>
      <w:r w:rsidR="00D43244">
        <w:rPr>
          <w:rFonts w:ascii="Times New Roman" w:hAnsi="Times New Roman" w:cs="Times New Roman"/>
          <w:sz w:val="24"/>
          <w:szCs w:val="24"/>
        </w:rPr>
        <w:t>s</w:t>
      </w:r>
      <w:r w:rsidR="00B8294B">
        <w:rPr>
          <w:rFonts w:ascii="Times New Roman" w:hAnsi="Times New Roman" w:cs="Times New Roman"/>
          <w:sz w:val="24"/>
          <w:szCs w:val="24"/>
        </w:rPr>
        <w:t xml:space="preserve"> of </w:t>
      </w:r>
      <w:r w:rsidR="000F6426">
        <w:rPr>
          <w:rFonts w:ascii="Times New Roman" w:hAnsi="Times New Roman" w:cs="Times New Roman"/>
          <w:sz w:val="24"/>
          <w:szCs w:val="24"/>
        </w:rPr>
        <w:t xml:space="preserve">the </w:t>
      </w:r>
      <w:r w:rsidR="00B8294B">
        <w:rPr>
          <w:rFonts w:ascii="Times New Roman" w:hAnsi="Times New Roman" w:cs="Times New Roman"/>
          <w:sz w:val="24"/>
          <w:szCs w:val="24"/>
        </w:rPr>
        <w:t>F</w:t>
      </w:r>
      <w:r w:rsidR="000F6426">
        <w:rPr>
          <w:rFonts w:ascii="Times New Roman" w:hAnsi="Times New Roman" w:cs="Times New Roman"/>
          <w:sz w:val="24"/>
          <w:szCs w:val="24"/>
        </w:rPr>
        <w:t xml:space="preserve">lexible and Rigid Foams </w:t>
      </w:r>
      <w:r w:rsidR="00B8294B">
        <w:rPr>
          <w:rFonts w:ascii="Times New Roman" w:hAnsi="Times New Roman" w:cs="Times New Roman"/>
          <w:sz w:val="24"/>
          <w:szCs w:val="24"/>
        </w:rPr>
        <w:t xml:space="preserve">TOC </w:t>
      </w:r>
      <w:r w:rsidR="000F6426">
        <w:rPr>
          <w:rFonts w:ascii="Times New Roman" w:hAnsi="Times New Roman" w:cs="Times New Roman"/>
          <w:sz w:val="24"/>
          <w:szCs w:val="24"/>
        </w:rPr>
        <w:t>(FTOC)</w:t>
      </w:r>
      <w:r>
        <w:rPr>
          <w:rFonts w:ascii="Times New Roman" w:hAnsi="Times New Roman" w:cs="Times New Roman"/>
          <w:sz w:val="24"/>
          <w:szCs w:val="24"/>
        </w:rPr>
        <w:t xml:space="preserve">.  </w:t>
      </w:r>
      <w:r w:rsidR="0045392B">
        <w:rPr>
          <w:rFonts w:ascii="Times New Roman" w:hAnsi="Times New Roman" w:cs="Times New Roman"/>
          <w:sz w:val="24"/>
          <w:szCs w:val="24"/>
        </w:rPr>
        <w:t>As allowed under its</w:t>
      </w:r>
      <w:r w:rsidR="00C34B00">
        <w:rPr>
          <w:rFonts w:ascii="Times New Roman" w:hAnsi="Times New Roman" w:cs="Times New Roman"/>
          <w:sz w:val="24"/>
          <w:szCs w:val="24"/>
        </w:rPr>
        <w:t xml:space="preserve"> Terms of Reference</w:t>
      </w:r>
      <w:r w:rsidR="00F309B9">
        <w:rPr>
          <w:rFonts w:ascii="Times New Roman" w:hAnsi="Times New Roman" w:cs="Times New Roman"/>
          <w:sz w:val="24"/>
          <w:szCs w:val="24"/>
        </w:rPr>
        <w:t xml:space="preserve"> (TOR)</w:t>
      </w:r>
      <w:r w:rsidR="00405E6E">
        <w:rPr>
          <w:rFonts w:ascii="Times New Roman" w:hAnsi="Times New Roman" w:cs="Times New Roman"/>
          <w:sz w:val="24"/>
          <w:szCs w:val="24"/>
        </w:rPr>
        <w:t xml:space="preserve"> and after consultation with the </w:t>
      </w:r>
      <w:r w:rsidR="005E2EC8">
        <w:rPr>
          <w:rFonts w:ascii="Times New Roman" w:hAnsi="Times New Roman" w:cs="Times New Roman"/>
          <w:sz w:val="24"/>
          <w:szCs w:val="24"/>
        </w:rPr>
        <w:t xml:space="preserve">appropriate </w:t>
      </w:r>
      <w:r w:rsidR="00405E6E">
        <w:rPr>
          <w:rFonts w:ascii="Times New Roman" w:hAnsi="Times New Roman" w:cs="Times New Roman"/>
          <w:sz w:val="24"/>
          <w:szCs w:val="24"/>
        </w:rPr>
        <w:t xml:space="preserve">party, </w:t>
      </w:r>
      <w:r w:rsidR="00C34B00">
        <w:rPr>
          <w:rFonts w:ascii="Times New Roman" w:hAnsi="Times New Roman" w:cs="Times New Roman"/>
          <w:sz w:val="24"/>
          <w:szCs w:val="24"/>
        </w:rPr>
        <w:t xml:space="preserve">TEAP proposes to </w:t>
      </w:r>
      <w:r w:rsidR="006463B6">
        <w:rPr>
          <w:rFonts w:ascii="Times New Roman" w:hAnsi="Times New Roman" w:cs="Times New Roman"/>
          <w:sz w:val="24"/>
          <w:szCs w:val="24"/>
        </w:rPr>
        <w:t>appoint</w:t>
      </w:r>
      <w:r w:rsidR="00C34B00">
        <w:rPr>
          <w:rFonts w:ascii="Times New Roman" w:hAnsi="Times New Roman" w:cs="Times New Roman"/>
          <w:sz w:val="24"/>
          <w:szCs w:val="24"/>
        </w:rPr>
        <w:t xml:space="preserve"> temporary </w:t>
      </w:r>
      <w:r w:rsidR="00EB776C">
        <w:rPr>
          <w:rFonts w:ascii="Times New Roman" w:hAnsi="Times New Roman" w:cs="Times New Roman"/>
          <w:sz w:val="24"/>
          <w:szCs w:val="24"/>
        </w:rPr>
        <w:t>FTOC co-chair</w:t>
      </w:r>
      <w:r w:rsidR="00405E6E">
        <w:rPr>
          <w:rFonts w:ascii="Times New Roman" w:hAnsi="Times New Roman" w:cs="Times New Roman"/>
          <w:sz w:val="24"/>
          <w:szCs w:val="24"/>
        </w:rPr>
        <w:t>(</w:t>
      </w:r>
      <w:r w:rsidR="006463B6">
        <w:rPr>
          <w:rFonts w:ascii="Times New Roman" w:hAnsi="Times New Roman" w:cs="Times New Roman"/>
          <w:sz w:val="24"/>
          <w:szCs w:val="24"/>
        </w:rPr>
        <w:t>s</w:t>
      </w:r>
      <w:r w:rsidR="00405E6E">
        <w:rPr>
          <w:rFonts w:ascii="Times New Roman" w:hAnsi="Times New Roman" w:cs="Times New Roman"/>
          <w:sz w:val="24"/>
          <w:szCs w:val="24"/>
        </w:rPr>
        <w:t>) from among its bodies</w:t>
      </w:r>
      <w:r w:rsidR="00EB776C">
        <w:rPr>
          <w:rFonts w:ascii="Times New Roman" w:hAnsi="Times New Roman" w:cs="Times New Roman"/>
          <w:sz w:val="24"/>
          <w:szCs w:val="24"/>
        </w:rPr>
        <w:t xml:space="preserve"> </w:t>
      </w:r>
      <w:r w:rsidR="008F4B98">
        <w:rPr>
          <w:rFonts w:ascii="Times New Roman" w:hAnsi="Times New Roman" w:cs="Times New Roman"/>
          <w:sz w:val="24"/>
          <w:szCs w:val="24"/>
        </w:rPr>
        <w:t xml:space="preserve">as an interim measure </w:t>
      </w:r>
      <w:r>
        <w:rPr>
          <w:rFonts w:ascii="Times New Roman" w:hAnsi="Times New Roman" w:cs="Times New Roman"/>
          <w:sz w:val="24"/>
          <w:szCs w:val="24"/>
        </w:rPr>
        <w:t>until the 28</w:t>
      </w:r>
      <w:r w:rsidRPr="000B03F8">
        <w:rPr>
          <w:rFonts w:ascii="Times New Roman" w:hAnsi="Times New Roman" w:cs="Times New Roman"/>
          <w:sz w:val="24"/>
          <w:szCs w:val="24"/>
          <w:vertAlign w:val="superscript"/>
        </w:rPr>
        <w:t>th</w:t>
      </w:r>
      <w:r>
        <w:rPr>
          <w:rFonts w:ascii="Times New Roman" w:hAnsi="Times New Roman" w:cs="Times New Roman"/>
          <w:sz w:val="24"/>
          <w:szCs w:val="24"/>
        </w:rPr>
        <w:t xml:space="preserve"> Meeting of the Parties </w:t>
      </w:r>
      <w:r w:rsidR="00EB776C">
        <w:rPr>
          <w:rFonts w:ascii="Times New Roman" w:hAnsi="Times New Roman" w:cs="Times New Roman"/>
          <w:sz w:val="24"/>
          <w:szCs w:val="24"/>
        </w:rPr>
        <w:t>to assist in th</w:t>
      </w:r>
      <w:r w:rsidR="00C34B00">
        <w:rPr>
          <w:rFonts w:ascii="Times New Roman" w:hAnsi="Times New Roman" w:cs="Times New Roman"/>
          <w:sz w:val="24"/>
          <w:szCs w:val="24"/>
        </w:rPr>
        <w:t>e</w:t>
      </w:r>
      <w:r w:rsidR="00EB776C">
        <w:rPr>
          <w:rFonts w:ascii="Times New Roman" w:hAnsi="Times New Roman" w:cs="Times New Roman"/>
          <w:sz w:val="24"/>
          <w:szCs w:val="24"/>
        </w:rPr>
        <w:t xml:space="preserve"> transition period to new co-chairs</w:t>
      </w:r>
      <w:r>
        <w:rPr>
          <w:rFonts w:ascii="Times New Roman" w:hAnsi="Times New Roman" w:cs="Times New Roman"/>
          <w:sz w:val="24"/>
          <w:szCs w:val="24"/>
        </w:rPr>
        <w:t xml:space="preserve"> and to maintain continuity of work</w:t>
      </w:r>
      <w:r w:rsidR="00EB776C">
        <w:rPr>
          <w:rFonts w:ascii="Times New Roman" w:hAnsi="Times New Roman" w:cs="Times New Roman"/>
          <w:sz w:val="24"/>
          <w:szCs w:val="24"/>
        </w:rPr>
        <w:t xml:space="preserve">.  </w:t>
      </w:r>
      <w:r w:rsidR="003C549D">
        <w:rPr>
          <w:rFonts w:ascii="Times New Roman" w:hAnsi="Times New Roman" w:cs="Times New Roman"/>
          <w:sz w:val="24"/>
          <w:szCs w:val="24"/>
        </w:rPr>
        <w:t xml:space="preserve">Similarly as for the outgoing MTOC co-chairs, </w:t>
      </w:r>
      <w:r w:rsidR="009A358F">
        <w:rPr>
          <w:rFonts w:ascii="Times New Roman" w:hAnsi="Times New Roman" w:cs="Times New Roman"/>
          <w:sz w:val="24"/>
          <w:szCs w:val="24"/>
        </w:rPr>
        <w:t xml:space="preserve">outgoing FTOC co-chairs, </w:t>
      </w:r>
      <w:r w:rsidR="00B8294B">
        <w:rPr>
          <w:rFonts w:ascii="Times New Roman" w:hAnsi="Times New Roman" w:cs="Times New Roman"/>
          <w:sz w:val="24"/>
          <w:szCs w:val="24"/>
        </w:rPr>
        <w:t>Paul Ashford and Miguel Quintero</w:t>
      </w:r>
      <w:r w:rsidR="009A358F">
        <w:rPr>
          <w:rFonts w:ascii="Times New Roman" w:hAnsi="Times New Roman" w:cs="Times New Roman"/>
          <w:sz w:val="24"/>
          <w:szCs w:val="24"/>
        </w:rPr>
        <w:t>,</w:t>
      </w:r>
      <w:r w:rsidR="003C549D" w:rsidRPr="003C549D">
        <w:rPr>
          <w:rFonts w:ascii="Times New Roman" w:hAnsi="Times New Roman" w:cs="Times New Roman"/>
          <w:bCs/>
          <w:sz w:val="24"/>
          <w:szCs w:val="24"/>
        </w:rPr>
        <w:t xml:space="preserve"> </w:t>
      </w:r>
      <w:r w:rsidR="009A358F">
        <w:rPr>
          <w:rFonts w:ascii="Times New Roman" w:hAnsi="Times New Roman" w:cs="Times New Roman"/>
          <w:bCs/>
          <w:sz w:val="24"/>
          <w:szCs w:val="24"/>
        </w:rPr>
        <w:t xml:space="preserve">have agreed to </w:t>
      </w:r>
      <w:r w:rsidR="003C549D" w:rsidRPr="003C549D">
        <w:rPr>
          <w:rFonts w:ascii="Times New Roman" w:hAnsi="Times New Roman" w:cs="Times New Roman"/>
          <w:bCs/>
          <w:sz w:val="24"/>
          <w:szCs w:val="24"/>
        </w:rPr>
        <w:t>provide support to</w:t>
      </w:r>
      <w:r w:rsidR="003C549D">
        <w:rPr>
          <w:rFonts w:ascii="Times New Roman" w:hAnsi="Times New Roman" w:cs="Times New Roman"/>
          <w:bCs/>
          <w:sz w:val="24"/>
          <w:szCs w:val="24"/>
        </w:rPr>
        <w:t xml:space="preserve"> the co-chairs </w:t>
      </w:r>
      <w:r w:rsidR="00E67C74">
        <w:rPr>
          <w:rFonts w:ascii="Times New Roman" w:hAnsi="Times New Roman" w:cs="Times New Roman"/>
          <w:bCs/>
          <w:sz w:val="24"/>
          <w:szCs w:val="24"/>
        </w:rPr>
        <w:t xml:space="preserve">of </w:t>
      </w:r>
      <w:r w:rsidR="003C549D">
        <w:rPr>
          <w:rFonts w:ascii="Times New Roman" w:hAnsi="Times New Roman" w:cs="Times New Roman"/>
          <w:bCs/>
          <w:sz w:val="24"/>
          <w:szCs w:val="24"/>
        </w:rPr>
        <w:t>FTOC for a period of time to allow for a smooth transition to non-temporary co-chairs.</w:t>
      </w:r>
    </w:p>
    <w:p w14:paraId="71ED10A5" w14:textId="77777777" w:rsidR="002A3216" w:rsidRPr="008974A5" w:rsidRDefault="009A358F">
      <w:pPr>
        <w:rPr>
          <w:rFonts w:ascii="Times New Roman" w:hAnsi="Times New Roman" w:cs="Times New Roman"/>
          <w:sz w:val="24"/>
          <w:szCs w:val="24"/>
        </w:rPr>
      </w:pPr>
      <w:r>
        <w:rPr>
          <w:rFonts w:ascii="Times New Roman" w:hAnsi="Times New Roman" w:cs="Times New Roman"/>
          <w:bCs/>
          <w:sz w:val="24"/>
          <w:szCs w:val="24"/>
        </w:rPr>
        <w:t>5</w:t>
      </w:r>
      <w:r w:rsidR="00B8294B" w:rsidRPr="008974A5">
        <w:rPr>
          <w:rFonts w:ascii="Times New Roman" w:hAnsi="Times New Roman" w:cs="Times New Roman"/>
          <w:sz w:val="24"/>
          <w:szCs w:val="24"/>
        </w:rPr>
        <w:t xml:space="preserve">. </w:t>
      </w:r>
      <w:r w:rsidR="000B03F8">
        <w:rPr>
          <w:rFonts w:ascii="Times New Roman" w:hAnsi="Times New Roman" w:cs="Times New Roman"/>
          <w:sz w:val="24"/>
          <w:szCs w:val="24"/>
        </w:rPr>
        <w:t xml:space="preserve">TEAP requests </w:t>
      </w:r>
      <w:r w:rsidR="00A7040A">
        <w:rPr>
          <w:rFonts w:ascii="Times New Roman" w:hAnsi="Times New Roman" w:cs="Times New Roman"/>
          <w:sz w:val="24"/>
          <w:szCs w:val="24"/>
        </w:rPr>
        <w:t xml:space="preserve">that </w:t>
      </w:r>
      <w:r w:rsidR="000B03F8">
        <w:rPr>
          <w:rFonts w:ascii="Times New Roman" w:hAnsi="Times New Roman" w:cs="Times New Roman"/>
          <w:sz w:val="24"/>
          <w:szCs w:val="24"/>
        </w:rPr>
        <w:t xml:space="preserve">the Parties consider creating an enduring funding mechanism </w:t>
      </w:r>
      <w:r w:rsidR="00A7040A">
        <w:rPr>
          <w:rFonts w:ascii="Times New Roman" w:hAnsi="Times New Roman" w:cs="Times New Roman"/>
          <w:sz w:val="24"/>
          <w:szCs w:val="24"/>
        </w:rPr>
        <w:t>for TEAP so that it</w:t>
      </w:r>
      <w:r w:rsidR="000B03F8">
        <w:rPr>
          <w:rFonts w:ascii="Times New Roman" w:hAnsi="Times New Roman" w:cs="Times New Roman"/>
          <w:sz w:val="24"/>
          <w:szCs w:val="24"/>
        </w:rPr>
        <w:t xml:space="preserve"> can remain ready to provide the outputs the Parties need into the future</w:t>
      </w:r>
      <w:r w:rsidR="00B8294B" w:rsidRPr="008974A5">
        <w:rPr>
          <w:rFonts w:ascii="Times New Roman" w:hAnsi="Times New Roman" w:cs="Times New Roman"/>
          <w:sz w:val="24"/>
          <w:szCs w:val="24"/>
        </w:rPr>
        <w:t xml:space="preserve">. </w:t>
      </w:r>
    </w:p>
    <w:p w14:paraId="2EA4777D" w14:textId="16275C04" w:rsidR="002A3216" w:rsidRDefault="00B8294B">
      <w:pPr>
        <w:rPr>
          <w:rFonts w:ascii="Times New Roman" w:hAnsi="Times New Roman" w:cs="Times New Roman"/>
          <w:sz w:val="24"/>
          <w:szCs w:val="24"/>
        </w:rPr>
      </w:pPr>
      <w:r>
        <w:rPr>
          <w:rFonts w:ascii="Times New Roman" w:hAnsi="Times New Roman" w:cs="Times New Roman"/>
          <w:sz w:val="24"/>
          <w:szCs w:val="24"/>
          <w:u w:val="single"/>
        </w:rPr>
        <w:t>Background</w:t>
      </w:r>
      <w:r w:rsidR="00405E6E">
        <w:rPr>
          <w:rFonts w:ascii="Times New Roman" w:hAnsi="Times New Roman" w:cs="Times New Roman"/>
          <w:sz w:val="24"/>
          <w:szCs w:val="24"/>
          <w:u w:val="single"/>
        </w:rPr>
        <w:t xml:space="preserve"> to Recommendations</w:t>
      </w:r>
    </w:p>
    <w:p w14:paraId="7688BF76" w14:textId="13F20879" w:rsidR="002A3216" w:rsidRDefault="00B8294B">
      <w:pPr>
        <w:rPr>
          <w:rFonts w:ascii="Times New Roman" w:hAnsi="Times New Roman" w:cs="Times New Roman"/>
          <w:sz w:val="24"/>
          <w:szCs w:val="24"/>
        </w:rPr>
      </w:pPr>
      <w:r>
        <w:rPr>
          <w:rFonts w:ascii="Times New Roman" w:hAnsi="Times New Roman" w:cs="Times New Roman"/>
          <w:sz w:val="24"/>
          <w:szCs w:val="24"/>
        </w:rPr>
        <w:t xml:space="preserve">TEAP is very mindful of the ongoing operational and organizational constraints on its TOCs.  From time to time, the Parties have re-organized TEAP to maintain an effective and efficient structure to provide the Parties with the technical and economic information they need.  As </w:t>
      </w:r>
      <w:r>
        <w:rPr>
          <w:rFonts w:ascii="Times New Roman" w:hAnsi="Times New Roman" w:cs="Times New Roman"/>
          <w:sz w:val="24"/>
          <w:szCs w:val="24"/>
        </w:rPr>
        <w:lastRenderedPageBreak/>
        <w:t>part of this on-going process to meet changing needs, TEAP believes Parties may wish to consider adjustments to the</w:t>
      </w:r>
      <w:r w:rsidR="009A358F">
        <w:rPr>
          <w:rFonts w:ascii="Times New Roman" w:hAnsi="Times New Roman" w:cs="Times New Roman"/>
          <w:sz w:val="24"/>
          <w:szCs w:val="24"/>
        </w:rPr>
        <w:t xml:space="preserve"> current</w:t>
      </w:r>
      <w:r>
        <w:rPr>
          <w:rFonts w:ascii="Times New Roman" w:hAnsi="Times New Roman" w:cs="Times New Roman"/>
          <w:sz w:val="24"/>
          <w:szCs w:val="24"/>
        </w:rPr>
        <w:t xml:space="preserve"> structure of TEAP and its TOCs.  With the great success of the Montreal Protocol in the almost full transition out of CFCs for medical inhaler devices, the consequence is a greatly reduced, but not eliminated, future output</w:t>
      </w:r>
      <w:r w:rsidR="0086570C">
        <w:rPr>
          <w:rFonts w:ascii="Times New Roman" w:hAnsi="Times New Roman" w:cs="Times New Roman"/>
          <w:sz w:val="24"/>
          <w:szCs w:val="24"/>
        </w:rPr>
        <w:t xml:space="preserve"> </w:t>
      </w:r>
      <w:r>
        <w:rPr>
          <w:rFonts w:ascii="Times New Roman" w:hAnsi="Times New Roman" w:cs="Times New Roman"/>
          <w:sz w:val="24"/>
          <w:szCs w:val="24"/>
        </w:rPr>
        <w:t>for the MTOC.  While the MTOC had recently reported to the Parties that it would prefer to remain a stand-alone TOC and that it believed that it could move to a completely corresponding or telework concept, after moving to implement that concept, the MTOC has come to the conclusion that it does not function effectively.  The MTOC co-chairs and members see value in remaining a cohesive organization and also to having the ability to hold periodic meetings.  TEAP and MTOC do not think that it is efficient to keep the entire membership of three or possibly even two co-chairs of the MTOC with its greatly reduced, but not eliminated workload.  However, having only one co-chair is not as appropriate for A5 and non-A5 balance, and places an extreme load on an individual.</w:t>
      </w:r>
    </w:p>
    <w:p w14:paraId="772615E3" w14:textId="5C5A606A" w:rsidR="002A3216" w:rsidRDefault="00B8294B">
      <w:pPr>
        <w:rPr>
          <w:rFonts w:ascii="Times New Roman" w:hAnsi="Times New Roman" w:cs="Times New Roman"/>
          <w:bCs/>
          <w:sz w:val="24"/>
          <w:szCs w:val="24"/>
        </w:rPr>
      </w:pPr>
      <w:r>
        <w:rPr>
          <w:rFonts w:ascii="Times New Roman" w:hAnsi="Times New Roman" w:cs="Times New Roman"/>
          <w:sz w:val="24"/>
          <w:szCs w:val="24"/>
        </w:rPr>
        <w:t xml:space="preserve">Meanwhile, the CTOC recognizes that it would benefit from some restructure as well: institutional strengthening, including enhanced program management capabilities in managing the TOC outputs, and expanded technical capabilities through increased membership.  Since both current CTOC co-chairs </w:t>
      </w:r>
      <w:r w:rsidR="00EC53EC">
        <w:rPr>
          <w:rFonts w:ascii="Times New Roman" w:hAnsi="Times New Roman" w:cs="Times New Roman"/>
          <w:sz w:val="24"/>
          <w:szCs w:val="24"/>
        </w:rPr>
        <w:t>had</w:t>
      </w:r>
      <w:r>
        <w:rPr>
          <w:rFonts w:ascii="Times New Roman" w:hAnsi="Times New Roman" w:cs="Times New Roman"/>
          <w:sz w:val="24"/>
          <w:szCs w:val="24"/>
        </w:rPr>
        <w:t xml:space="preserve"> minimal previous experience with the Montreal Protocol </w:t>
      </w:r>
      <w:r w:rsidR="00EC53EC">
        <w:rPr>
          <w:rFonts w:ascii="Times New Roman" w:hAnsi="Times New Roman" w:cs="Times New Roman"/>
          <w:bCs/>
          <w:sz w:val="24"/>
          <w:szCs w:val="24"/>
        </w:rPr>
        <w:t xml:space="preserve">processes, </w:t>
      </w:r>
      <w:r>
        <w:rPr>
          <w:rFonts w:ascii="Times New Roman" w:hAnsi="Times New Roman" w:cs="Times New Roman"/>
          <w:sz w:val="24"/>
          <w:szCs w:val="24"/>
        </w:rPr>
        <w:t xml:space="preserve">or managing a TOC, they believe that they would also benefit from a better understanding and increased knowledge of Montreal Protocol institutions, functions and mechanisms.  </w:t>
      </w:r>
    </w:p>
    <w:p w14:paraId="0B22A7C5" w14:textId="725EB592" w:rsidR="002A3216" w:rsidRDefault="00B8294B">
      <w:pPr>
        <w:rPr>
          <w:rFonts w:ascii="Times New Roman" w:hAnsi="Times New Roman" w:cs="Times New Roman"/>
          <w:bCs/>
          <w:sz w:val="24"/>
          <w:szCs w:val="24"/>
        </w:rPr>
      </w:pPr>
      <w:r>
        <w:rPr>
          <w:rFonts w:ascii="Times New Roman" w:hAnsi="Times New Roman" w:cs="Times New Roman"/>
          <w:sz w:val="24"/>
          <w:szCs w:val="24"/>
        </w:rPr>
        <w:t>One particular technical area for CTOC is in aerosols</w:t>
      </w:r>
      <w:r w:rsidR="00E67C74">
        <w:rPr>
          <w:rFonts w:ascii="Times New Roman" w:hAnsi="Times New Roman" w:cs="Times New Roman"/>
          <w:sz w:val="24"/>
          <w:szCs w:val="24"/>
        </w:rPr>
        <w:t xml:space="preserve"> that</w:t>
      </w:r>
      <w:r>
        <w:rPr>
          <w:rFonts w:ascii="Times New Roman" w:hAnsi="Times New Roman" w:cs="Times New Roman"/>
          <w:sz w:val="24"/>
          <w:szCs w:val="24"/>
        </w:rPr>
        <w:t xml:space="preserve"> had been covered under the former Aerosols</w:t>
      </w:r>
      <w:r>
        <w:rPr>
          <w:rFonts w:ascii="Times New Roman" w:hAnsi="Times New Roman" w:cs="Times New Roman"/>
          <w:bCs/>
          <w:sz w:val="24"/>
          <w:szCs w:val="24"/>
        </w:rPr>
        <w:t xml:space="preserve">, Sterilants, Miscellaneous Uses and Carbon Tetrachloride TOC (ATOC), </w:t>
      </w:r>
      <w:r w:rsidR="005C550E">
        <w:rPr>
          <w:rFonts w:ascii="Times New Roman" w:hAnsi="Times New Roman" w:cs="Times New Roman"/>
          <w:bCs/>
          <w:sz w:val="24"/>
          <w:szCs w:val="24"/>
        </w:rPr>
        <w:t xml:space="preserve">and </w:t>
      </w:r>
      <w:r>
        <w:rPr>
          <w:rFonts w:ascii="Times New Roman" w:hAnsi="Times New Roman" w:cs="Times New Roman"/>
          <w:bCs/>
          <w:sz w:val="24"/>
          <w:szCs w:val="24"/>
        </w:rPr>
        <w:t>which</w:t>
      </w:r>
      <w:r w:rsidR="00E67C74">
        <w:rPr>
          <w:rFonts w:ascii="Times New Roman" w:hAnsi="Times New Roman" w:cs="Times New Roman"/>
          <w:bCs/>
          <w:sz w:val="24"/>
          <w:szCs w:val="24"/>
        </w:rPr>
        <w:t>,</w:t>
      </w:r>
      <w:r>
        <w:rPr>
          <w:rFonts w:ascii="Times New Roman" w:hAnsi="Times New Roman" w:cs="Times New Roman"/>
          <w:bCs/>
          <w:sz w:val="24"/>
          <w:szCs w:val="24"/>
        </w:rPr>
        <w:t xml:space="preserve"> due to re-organization, is only now covered by the expertise of one co-chair of the MTOC, Jose Pons Pons.  The remainder of the increased technical capabilities for the CTOC will need to come from additional new members. </w:t>
      </w:r>
      <w:r w:rsidR="005C550E">
        <w:rPr>
          <w:rFonts w:ascii="Times New Roman" w:hAnsi="Times New Roman" w:cs="Times New Roman"/>
          <w:bCs/>
          <w:sz w:val="24"/>
          <w:szCs w:val="24"/>
        </w:rPr>
        <w:t xml:space="preserve"> </w:t>
      </w:r>
      <w:r>
        <w:rPr>
          <w:rFonts w:ascii="Times New Roman" w:hAnsi="Times New Roman" w:cs="Times New Roman"/>
          <w:bCs/>
          <w:sz w:val="24"/>
          <w:szCs w:val="24"/>
        </w:rPr>
        <w:t xml:space="preserve">Furthermore, </w:t>
      </w:r>
      <w:r>
        <w:rPr>
          <w:rFonts w:ascii="Times New Roman" w:hAnsi="Times New Roman" w:cs="Times New Roman" w:hint="eastAsia"/>
          <w:sz w:val="24"/>
          <w:szCs w:val="24"/>
          <w:lang w:eastAsia="ja-JP"/>
        </w:rPr>
        <w:t>CTOC</w:t>
      </w:r>
      <w:r>
        <w:rPr>
          <w:rFonts w:ascii="Times New Roman" w:hAnsi="Times New Roman" w:cs="Times New Roman"/>
          <w:sz w:val="24"/>
          <w:szCs w:val="24"/>
          <w:lang w:eastAsia="ja-JP"/>
        </w:rPr>
        <w:t xml:space="preserve"> </w:t>
      </w:r>
      <w:r>
        <w:rPr>
          <w:rFonts w:ascii="Times New Roman" w:hAnsi="Times New Roman" w:cs="Times New Roman" w:hint="eastAsia"/>
          <w:sz w:val="24"/>
          <w:szCs w:val="24"/>
          <w:lang w:eastAsia="ja-JP"/>
        </w:rPr>
        <w:t xml:space="preserve">has lost </w:t>
      </w:r>
      <w:r>
        <w:rPr>
          <w:rFonts w:ascii="Times New Roman" w:hAnsi="Times New Roman" w:cs="Times New Roman"/>
          <w:sz w:val="24"/>
          <w:szCs w:val="24"/>
          <w:lang w:eastAsia="ja-JP"/>
        </w:rPr>
        <w:t xml:space="preserve">much of </w:t>
      </w:r>
      <w:r>
        <w:rPr>
          <w:rFonts w:ascii="Times New Roman" w:hAnsi="Times New Roman" w:cs="Times New Roman" w:hint="eastAsia"/>
          <w:sz w:val="24"/>
          <w:szCs w:val="24"/>
          <w:lang w:eastAsia="ja-JP"/>
        </w:rPr>
        <w:t>its expertise</w:t>
      </w:r>
      <w:r>
        <w:rPr>
          <w:rFonts w:ascii="Times New Roman" w:hAnsi="Times New Roman" w:cs="Times New Roman"/>
          <w:sz w:val="24"/>
          <w:szCs w:val="24"/>
          <w:lang w:eastAsia="ja-JP"/>
        </w:rPr>
        <w:t xml:space="preserve"> over the last few years </w:t>
      </w:r>
      <w:r>
        <w:rPr>
          <w:rFonts w:ascii="Times New Roman" w:hAnsi="Times New Roman" w:cs="Times New Roman" w:hint="eastAsia"/>
          <w:sz w:val="24"/>
          <w:szCs w:val="24"/>
          <w:lang w:eastAsia="ja-JP"/>
        </w:rPr>
        <w:t>in the field</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 xml:space="preserve"> of </w:t>
      </w:r>
      <w:r>
        <w:rPr>
          <w:rFonts w:ascii="Times New Roman" w:hAnsi="Times New Roman" w:cs="Times New Roman"/>
          <w:sz w:val="24"/>
          <w:szCs w:val="24"/>
          <w:lang w:eastAsia="ja-JP"/>
        </w:rPr>
        <w:t>destruction</w:t>
      </w:r>
      <w:r>
        <w:rPr>
          <w:rFonts w:ascii="Times New Roman" w:hAnsi="Times New Roman" w:cs="Times New Roman" w:hint="eastAsia"/>
          <w:sz w:val="24"/>
          <w:szCs w:val="24"/>
          <w:lang w:eastAsia="ja-JP"/>
        </w:rPr>
        <w:t xml:space="preserve"> technology and laboratory and analytical use</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 xml:space="preserve">as a result of </w:t>
      </w:r>
      <w:r>
        <w:rPr>
          <w:rFonts w:ascii="Times New Roman" w:hAnsi="Times New Roman" w:cs="Times New Roman" w:hint="eastAsia"/>
          <w:sz w:val="24"/>
          <w:szCs w:val="24"/>
          <w:lang w:eastAsia="ja-JP"/>
        </w:rPr>
        <w:t>retirement</w:t>
      </w:r>
      <w:r>
        <w:rPr>
          <w:rFonts w:ascii="Times New Roman" w:hAnsi="Times New Roman" w:cs="Times New Roman"/>
          <w:sz w:val="24"/>
          <w:szCs w:val="24"/>
          <w:lang w:eastAsia="ja-JP"/>
        </w:rPr>
        <w:t xml:space="preserve"> of the members</w:t>
      </w:r>
      <w:r>
        <w:rPr>
          <w:rFonts w:ascii="Times New Roman" w:hAnsi="Times New Roman" w:cs="Times New Roman" w:hint="eastAsia"/>
          <w:sz w:val="24"/>
          <w:szCs w:val="24"/>
          <w:lang w:eastAsia="ja-JP"/>
        </w:rPr>
        <w:t xml:space="preserve"> who ha</w:t>
      </w:r>
      <w:r>
        <w:rPr>
          <w:rFonts w:ascii="Times New Roman" w:hAnsi="Times New Roman" w:cs="Times New Roman"/>
          <w:sz w:val="24"/>
          <w:szCs w:val="24"/>
          <w:lang w:eastAsia="ja-JP"/>
        </w:rPr>
        <w:t>d</w:t>
      </w:r>
      <w:r>
        <w:rPr>
          <w:rFonts w:ascii="Times New Roman" w:hAnsi="Times New Roman" w:cs="Times New Roman" w:hint="eastAsia"/>
          <w:sz w:val="24"/>
          <w:szCs w:val="24"/>
          <w:lang w:eastAsia="ja-JP"/>
        </w:rPr>
        <w:t xml:space="preserve"> professional knowledge in those fields</w:t>
      </w:r>
      <w:r>
        <w:rPr>
          <w:rFonts w:ascii="Times New Roman" w:hAnsi="Times New Roman" w:cs="Times New Roman"/>
          <w:sz w:val="24"/>
          <w:szCs w:val="24"/>
          <w:lang w:eastAsia="ja-JP"/>
        </w:rPr>
        <w:t>.  CTOC believes that i</w:t>
      </w:r>
      <w:r>
        <w:rPr>
          <w:rFonts w:ascii="Times New Roman" w:hAnsi="Times New Roman" w:cs="Times New Roman" w:hint="eastAsia"/>
          <w:sz w:val="24"/>
          <w:szCs w:val="24"/>
          <w:lang w:eastAsia="ja-JP"/>
        </w:rPr>
        <w:t>t is very critical</w:t>
      </w:r>
      <w:r>
        <w:rPr>
          <w:rFonts w:ascii="Times New Roman" w:hAnsi="Times New Roman" w:cs="Times New Roman"/>
          <w:sz w:val="24"/>
          <w:szCs w:val="24"/>
          <w:lang w:eastAsia="ja-JP"/>
        </w:rPr>
        <w:t xml:space="preserve"> to rebuild that expertise,</w:t>
      </w:r>
      <w:r>
        <w:rPr>
          <w:rFonts w:ascii="Times New Roman" w:hAnsi="Times New Roman" w:cs="Times New Roman" w:hint="eastAsia"/>
          <w:sz w:val="24"/>
          <w:szCs w:val="24"/>
          <w:lang w:eastAsia="ja-JP"/>
        </w:rPr>
        <w:t xml:space="preserve"> especially in laboratory and analytical use</w:t>
      </w:r>
      <w:r>
        <w:rPr>
          <w:rFonts w:ascii="Times New Roman" w:hAnsi="Times New Roman" w:cs="Times New Roman"/>
          <w:sz w:val="24"/>
          <w:szCs w:val="24"/>
          <w:lang w:eastAsia="ja-JP"/>
        </w:rPr>
        <w:t>s,</w:t>
      </w:r>
      <w:r>
        <w:rPr>
          <w:rFonts w:ascii="Times New Roman" w:hAnsi="Times New Roman" w:cs="Times New Roman" w:hint="eastAsia"/>
          <w:sz w:val="24"/>
          <w:szCs w:val="24"/>
          <w:lang w:eastAsia="ja-JP"/>
        </w:rPr>
        <w:t xml:space="preserve"> as the transition from ODS to non-ODS </w:t>
      </w:r>
      <w:r>
        <w:rPr>
          <w:rFonts w:ascii="Times New Roman" w:hAnsi="Times New Roman" w:cs="Times New Roman"/>
          <w:sz w:val="24"/>
          <w:szCs w:val="24"/>
          <w:lang w:eastAsia="ja-JP"/>
        </w:rPr>
        <w:t>is</w:t>
      </w:r>
      <w:r>
        <w:rPr>
          <w:rFonts w:ascii="Times New Roman" w:hAnsi="Times New Roman" w:cs="Times New Roman" w:hint="eastAsia"/>
          <w:sz w:val="24"/>
          <w:szCs w:val="24"/>
          <w:lang w:eastAsia="ja-JP"/>
        </w:rPr>
        <w:t xml:space="preserve"> on-going in A5 </w:t>
      </w:r>
      <w:r>
        <w:rPr>
          <w:rFonts w:ascii="Times New Roman" w:hAnsi="Times New Roman" w:cs="Times New Roman"/>
          <w:sz w:val="24"/>
          <w:szCs w:val="24"/>
          <w:lang w:eastAsia="ja-JP"/>
        </w:rPr>
        <w:t>P</w:t>
      </w:r>
      <w:r>
        <w:rPr>
          <w:rFonts w:ascii="Times New Roman" w:hAnsi="Times New Roman" w:cs="Times New Roman" w:hint="eastAsia"/>
          <w:sz w:val="24"/>
          <w:szCs w:val="24"/>
          <w:lang w:eastAsia="ja-JP"/>
        </w:rPr>
        <w:t xml:space="preserve">arties. </w:t>
      </w:r>
      <w:r w:rsidR="005C550E">
        <w:rPr>
          <w:rFonts w:ascii="Times New Roman" w:hAnsi="Times New Roman" w:cs="Times New Roman"/>
          <w:sz w:val="24"/>
          <w:szCs w:val="24"/>
          <w:lang w:eastAsia="ja-JP"/>
        </w:rPr>
        <w:t xml:space="preserve"> </w:t>
      </w:r>
      <w:r>
        <w:rPr>
          <w:rFonts w:ascii="Times New Roman" w:hAnsi="Times New Roman" w:cs="Times New Roman" w:hint="eastAsia"/>
          <w:sz w:val="24"/>
          <w:szCs w:val="24"/>
          <w:lang w:eastAsia="ja-JP"/>
        </w:rPr>
        <w:t xml:space="preserve">CTOC needs at least two experts in each field to </w:t>
      </w:r>
      <w:r>
        <w:rPr>
          <w:rFonts w:ascii="Times New Roman" w:hAnsi="Times New Roman" w:cs="Times New Roman"/>
          <w:sz w:val="24"/>
          <w:szCs w:val="24"/>
          <w:lang w:eastAsia="ja-JP"/>
        </w:rPr>
        <w:t>cover those areas adequately</w:t>
      </w:r>
      <w:r>
        <w:rPr>
          <w:rFonts w:ascii="Times New Roman" w:hAnsi="Times New Roman" w:cs="Times New Roman" w:hint="eastAsia"/>
          <w:sz w:val="24"/>
          <w:szCs w:val="24"/>
          <w:lang w:eastAsia="ja-JP"/>
        </w:rPr>
        <w:t xml:space="preserve">.  </w:t>
      </w:r>
      <w:r>
        <w:rPr>
          <w:rFonts w:ascii="Times New Roman" w:hAnsi="Times New Roman" w:cs="Times New Roman"/>
          <w:sz w:val="24"/>
          <w:szCs w:val="24"/>
          <w:lang w:eastAsia="ja-JP"/>
        </w:rPr>
        <w:t>In addition</w:t>
      </w:r>
      <w:r>
        <w:rPr>
          <w:rFonts w:ascii="Times New Roman" w:hAnsi="Times New Roman" w:cs="Times New Roman" w:hint="eastAsia"/>
          <w:sz w:val="24"/>
          <w:szCs w:val="24"/>
          <w:lang w:eastAsia="ja-JP"/>
        </w:rPr>
        <w:t xml:space="preserve">, two </w:t>
      </w:r>
      <w:r>
        <w:rPr>
          <w:rFonts w:ascii="Times New Roman" w:hAnsi="Times New Roman" w:cs="Times New Roman"/>
          <w:sz w:val="24"/>
          <w:szCs w:val="24"/>
          <w:lang w:eastAsia="ja-JP"/>
        </w:rPr>
        <w:t xml:space="preserve">of the three </w:t>
      </w:r>
      <w:r>
        <w:rPr>
          <w:rFonts w:ascii="Times New Roman" w:hAnsi="Times New Roman" w:cs="Times New Roman" w:hint="eastAsia"/>
          <w:sz w:val="24"/>
          <w:szCs w:val="24"/>
          <w:lang w:eastAsia="ja-JP"/>
        </w:rPr>
        <w:t xml:space="preserve">solvent experts have left CTOC recently. </w:t>
      </w:r>
      <w:r w:rsidR="005C550E">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Therefore, CTOC also needs a</w:t>
      </w:r>
      <w:r>
        <w:rPr>
          <w:rFonts w:ascii="Times New Roman" w:hAnsi="Times New Roman" w:cs="Times New Roman" w:hint="eastAsia"/>
          <w:sz w:val="24"/>
          <w:szCs w:val="24"/>
          <w:lang w:eastAsia="ja-JP"/>
        </w:rPr>
        <w:t>t</w:t>
      </w:r>
      <w:r>
        <w:rPr>
          <w:rFonts w:ascii="Times New Roman" w:hAnsi="Times New Roman" w:cs="Times New Roman"/>
          <w:sz w:val="24"/>
          <w:szCs w:val="24"/>
          <w:lang w:eastAsia="ja-JP"/>
        </w:rPr>
        <w:t xml:space="preserve"> </w:t>
      </w:r>
      <w:r>
        <w:rPr>
          <w:rFonts w:ascii="Times New Roman" w:hAnsi="Times New Roman" w:cs="Times New Roman" w:hint="eastAsia"/>
          <w:sz w:val="24"/>
          <w:szCs w:val="24"/>
          <w:lang w:eastAsia="ja-JP"/>
        </w:rPr>
        <w:t xml:space="preserve">least one additional expert </w:t>
      </w:r>
      <w:r>
        <w:rPr>
          <w:rFonts w:ascii="Times New Roman" w:hAnsi="Times New Roman" w:cs="Times New Roman"/>
          <w:sz w:val="24"/>
          <w:szCs w:val="24"/>
          <w:lang w:eastAsia="ja-JP"/>
        </w:rPr>
        <w:t>t</w:t>
      </w:r>
      <w:r>
        <w:rPr>
          <w:rFonts w:ascii="Times New Roman" w:hAnsi="Times New Roman" w:cs="Times New Roman" w:hint="eastAsia"/>
          <w:sz w:val="24"/>
          <w:szCs w:val="24"/>
          <w:lang w:eastAsia="ja-JP"/>
        </w:rPr>
        <w:t xml:space="preserve">o </w:t>
      </w:r>
      <w:r>
        <w:rPr>
          <w:rFonts w:ascii="Times New Roman" w:hAnsi="Times New Roman" w:cs="Times New Roman"/>
          <w:sz w:val="24"/>
          <w:szCs w:val="24"/>
          <w:lang w:eastAsia="ja-JP"/>
        </w:rPr>
        <w:t>monitor</w:t>
      </w:r>
      <w:r>
        <w:rPr>
          <w:rFonts w:ascii="Times New Roman" w:hAnsi="Times New Roman" w:cs="Times New Roman" w:hint="eastAsia"/>
          <w:sz w:val="24"/>
          <w:szCs w:val="24"/>
          <w:lang w:eastAsia="ja-JP"/>
        </w:rPr>
        <w:t xml:space="preserve"> the phase</w:t>
      </w:r>
      <w:r>
        <w:rPr>
          <w:rFonts w:ascii="Times New Roman" w:hAnsi="Times New Roman" w:cs="Times New Roman"/>
          <w:sz w:val="24"/>
          <w:szCs w:val="24"/>
          <w:lang w:eastAsia="ja-JP"/>
        </w:rPr>
        <w:t>-</w:t>
      </w:r>
      <w:r>
        <w:rPr>
          <w:rFonts w:ascii="Times New Roman" w:hAnsi="Times New Roman" w:cs="Times New Roman" w:hint="eastAsia"/>
          <w:sz w:val="24"/>
          <w:szCs w:val="24"/>
          <w:lang w:eastAsia="ja-JP"/>
        </w:rPr>
        <w:t xml:space="preserve">out of HCFC solvents in A5 </w:t>
      </w:r>
      <w:r>
        <w:rPr>
          <w:rFonts w:ascii="Times New Roman" w:hAnsi="Times New Roman" w:cs="Times New Roman"/>
          <w:sz w:val="24"/>
          <w:szCs w:val="24"/>
          <w:lang w:eastAsia="ja-JP"/>
        </w:rPr>
        <w:t>P</w:t>
      </w:r>
      <w:r>
        <w:rPr>
          <w:rFonts w:ascii="Times New Roman" w:hAnsi="Times New Roman" w:cs="Times New Roman" w:hint="eastAsia"/>
          <w:sz w:val="24"/>
          <w:szCs w:val="24"/>
          <w:lang w:eastAsia="ja-JP"/>
        </w:rPr>
        <w:t>arties</w:t>
      </w:r>
      <w:r>
        <w:rPr>
          <w:rFonts w:ascii="Times New Roman" w:hAnsi="Times New Roman" w:cs="Times New Roman"/>
          <w:sz w:val="24"/>
          <w:szCs w:val="24"/>
          <w:lang w:eastAsia="ja-JP"/>
        </w:rPr>
        <w:t>,</w:t>
      </w:r>
      <w:r>
        <w:rPr>
          <w:rFonts w:ascii="Times New Roman" w:hAnsi="Times New Roman" w:cs="Times New Roman" w:hint="eastAsia"/>
          <w:sz w:val="24"/>
          <w:szCs w:val="24"/>
          <w:lang w:eastAsia="ja-JP"/>
        </w:rPr>
        <w:t xml:space="preserve"> and to observe if the current HCFCs and high</w:t>
      </w:r>
      <w:r>
        <w:rPr>
          <w:rFonts w:ascii="Times New Roman" w:hAnsi="Times New Roman" w:cs="Times New Roman"/>
          <w:sz w:val="24"/>
          <w:szCs w:val="24"/>
          <w:lang w:eastAsia="ja-JP"/>
        </w:rPr>
        <w:t>-</w:t>
      </w:r>
      <w:r>
        <w:rPr>
          <w:rFonts w:ascii="Times New Roman" w:hAnsi="Times New Roman" w:cs="Times New Roman" w:hint="eastAsia"/>
          <w:sz w:val="24"/>
          <w:szCs w:val="24"/>
          <w:lang w:eastAsia="ja-JP"/>
        </w:rPr>
        <w:t xml:space="preserve">GWP HFC and HFE solvents </w:t>
      </w:r>
      <w:r>
        <w:rPr>
          <w:rFonts w:ascii="Times New Roman" w:hAnsi="Times New Roman" w:cs="Times New Roman"/>
          <w:sz w:val="24"/>
          <w:szCs w:val="24"/>
          <w:lang w:eastAsia="ja-JP"/>
        </w:rPr>
        <w:t xml:space="preserve">are </w:t>
      </w:r>
      <w:r>
        <w:rPr>
          <w:rFonts w:ascii="Times New Roman" w:hAnsi="Times New Roman" w:cs="Times New Roman" w:hint="eastAsia"/>
          <w:sz w:val="24"/>
          <w:szCs w:val="24"/>
          <w:lang w:eastAsia="ja-JP"/>
        </w:rPr>
        <w:t>be</w:t>
      </w:r>
      <w:r>
        <w:rPr>
          <w:rFonts w:ascii="Times New Roman" w:hAnsi="Times New Roman" w:cs="Times New Roman"/>
          <w:sz w:val="24"/>
          <w:szCs w:val="24"/>
          <w:lang w:eastAsia="ja-JP"/>
        </w:rPr>
        <w:t>ing</w:t>
      </w:r>
      <w:r>
        <w:rPr>
          <w:rFonts w:ascii="Times New Roman" w:hAnsi="Times New Roman" w:cs="Times New Roman" w:hint="eastAsia"/>
          <w:sz w:val="24"/>
          <w:szCs w:val="24"/>
          <w:lang w:eastAsia="ja-JP"/>
        </w:rPr>
        <w:t xml:space="preserve"> replaced by </w:t>
      </w:r>
      <w:r>
        <w:rPr>
          <w:rFonts w:ascii="Times New Roman" w:hAnsi="Times New Roman" w:cs="Times New Roman"/>
          <w:sz w:val="24"/>
          <w:szCs w:val="24"/>
          <w:lang w:eastAsia="ja-JP"/>
        </w:rPr>
        <w:t>unsaturated</w:t>
      </w:r>
      <w:r>
        <w:rPr>
          <w:rFonts w:ascii="Times New Roman" w:hAnsi="Times New Roman" w:cs="Times New Roman" w:hint="eastAsia"/>
          <w:sz w:val="24"/>
          <w:szCs w:val="24"/>
          <w:lang w:eastAsia="ja-JP"/>
        </w:rPr>
        <w:t xml:space="preserve"> HFCs and/or unsaturated HCFCs in the near future.  </w:t>
      </w:r>
      <w:r>
        <w:rPr>
          <w:rFonts w:ascii="Times New Roman" w:hAnsi="Times New Roman" w:cs="Times New Roman"/>
          <w:sz w:val="24"/>
          <w:szCs w:val="24"/>
        </w:rPr>
        <w:t>TEAP has updated the need for additional expertise for CTOC in its Matrix of Expertise Needed, which is posted on the Ozone Secretariat website at:</w:t>
      </w:r>
      <w:r w:rsidR="009117A2">
        <w:rPr>
          <w:rFonts w:ascii="Times New Roman" w:hAnsi="Times New Roman" w:cs="Times New Roman"/>
          <w:sz w:val="24"/>
          <w:szCs w:val="24"/>
        </w:rPr>
        <w:t xml:space="preserve"> </w:t>
      </w:r>
      <w:hyperlink r:id="rId11" w:history="1">
        <w:r>
          <w:rPr>
            <w:rStyle w:val="Hyperlink"/>
            <w:rFonts w:ascii="Times New Roman" w:eastAsia="Times New Roman" w:hAnsi="Times New Roman" w:cs="Times New Roman"/>
            <w:sz w:val="24"/>
            <w:szCs w:val="24"/>
          </w:rPr>
          <w:t>http://ozone.unep.org/en/teap-experts-required</w:t>
        </w:r>
      </w:hyperlink>
      <w:r w:rsidR="009117A2">
        <w:t xml:space="preserve">.  </w:t>
      </w:r>
      <w:r>
        <w:rPr>
          <w:rFonts w:ascii="Times New Roman" w:hAnsi="Times New Roman" w:cs="Times New Roman"/>
          <w:sz w:val="24"/>
          <w:szCs w:val="24"/>
        </w:rPr>
        <w:t>TEAP requests that Parties consider providing nominations for potential experts for the committee.</w:t>
      </w:r>
    </w:p>
    <w:p w14:paraId="4B8ADF3F" w14:textId="77777777" w:rsidR="002A3216" w:rsidRDefault="00B8294B">
      <w:pPr>
        <w:rPr>
          <w:rFonts w:ascii="Times New Roman" w:hAnsi="Times New Roman" w:cs="Times New Roman"/>
          <w:bCs/>
          <w:sz w:val="24"/>
          <w:szCs w:val="24"/>
        </w:rPr>
      </w:pPr>
      <w:r>
        <w:rPr>
          <w:rFonts w:ascii="Times New Roman" w:hAnsi="Times New Roman" w:cs="Times New Roman"/>
          <w:bCs/>
          <w:sz w:val="24"/>
          <w:szCs w:val="24"/>
        </w:rPr>
        <w:t>In recognition of the challenges to the CTOC and MTOC, the TEAP would like Parties to consider forming a single new TOC from the existing CTOC and MTOC, to be called the Chemicals and Medical TOC (</w:t>
      </w:r>
      <w:r w:rsidR="003C549D">
        <w:rPr>
          <w:rFonts w:ascii="Times New Roman" w:hAnsi="Times New Roman" w:cs="Times New Roman"/>
          <w:bCs/>
          <w:sz w:val="24"/>
          <w:szCs w:val="24"/>
        </w:rPr>
        <w:t>CMTOC</w:t>
      </w:r>
      <w:r>
        <w:rPr>
          <w:rFonts w:ascii="Times New Roman" w:hAnsi="Times New Roman" w:cs="Times New Roman"/>
          <w:bCs/>
          <w:sz w:val="24"/>
          <w:szCs w:val="24"/>
        </w:rPr>
        <w:t xml:space="preserve">).  TEAP recommends that both of the now existing CTOC co-chairs and one of the existing MTOC co-chairs be appointed as co-chairs of the new TOC for a term of four years to provide continuity for the next assessment period and report.  The recommended </w:t>
      </w:r>
      <w:r w:rsidR="000821AF">
        <w:rPr>
          <w:rFonts w:ascii="Times New Roman" w:hAnsi="Times New Roman" w:cs="Times New Roman"/>
          <w:bCs/>
          <w:sz w:val="24"/>
          <w:szCs w:val="24"/>
        </w:rPr>
        <w:t>nomination</w:t>
      </w:r>
      <w:r>
        <w:rPr>
          <w:rFonts w:ascii="Times New Roman" w:hAnsi="Times New Roman" w:cs="Times New Roman"/>
          <w:bCs/>
          <w:sz w:val="24"/>
          <w:szCs w:val="24"/>
        </w:rPr>
        <w:t xml:space="preserve"> from the MTOC is Helen Tope, who has suitable qualifications in chemistry and </w:t>
      </w:r>
      <w:r w:rsidR="00E67C74">
        <w:rPr>
          <w:rFonts w:ascii="Times New Roman" w:hAnsi="Times New Roman" w:cs="Times New Roman"/>
          <w:bCs/>
          <w:sz w:val="24"/>
          <w:szCs w:val="24"/>
        </w:rPr>
        <w:t xml:space="preserve">professional regulatory experience that can </w:t>
      </w:r>
      <w:r>
        <w:rPr>
          <w:rFonts w:ascii="Times New Roman" w:hAnsi="Times New Roman" w:cs="Times New Roman"/>
          <w:bCs/>
          <w:sz w:val="24"/>
          <w:szCs w:val="24"/>
        </w:rPr>
        <w:t xml:space="preserve">provide additional </w:t>
      </w:r>
      <w:r>
        <w:rPr>
          <w:rFonts w:ascii="Times New Roman" w:hAnsi="Times New Roman" w:cs="Times New Roman"/>
          <w:bCs/>
          <w:sz w:val="24"/>
          <w:szCs w:val="24"/>
        </w:rPr>
        <w:lastRenderedPageBreak/>
        <w:t xml:space="preserve">technical expertise to the </w:t>
      </w:r>
      <w:r w:rsidR="003C549D">
        <w:rPr>
          <w:rFonts w:ascii="Times New Roman" w:hAnsi="Times New Roman" w:cs="Times New Roman"/>
          <w:bCs/>
          <w:sz w:val="24"/>
          <w:szCs w:val="24"/>
        </w:rPr>
        <w:t>CMTOC</w:t>
      </w:r>
      <w:r>
        <w:rPr>
          <w:rFonts w:ascii="Times New Roman" w:hAnsi="Times New Roman" w:cs="Times New Roman"/>
          <w:bCs/>
          <w:sz w:val="24"/>
          <w:szCs w:val="24"/>
        </w:rPr>
        <w:t xml:space="preserve">.  She would be in the best position to continue to manage the Medical portion of the TOC and help build up any aerosol capabilities needed for the new TOC.  In addition, Helen Tope </w:t>
      </w:r>
      <w:r w:rsidR="003236F9">
        <w:rPr>
          <w:rFonts w:ascii="Times New Roman" w:hAnsi="Times New Roman" w:cs="Times New Roman"/>
          <w:bCs/>
          <w:sz w:val="24"/>
          <w:szCs w:val="24"/>
        </w:rPr>
        <w:t xml:space="preserve">will </w:t>
      </w:r>
      <w:r>
        <w:rPr>
          <w:rFonts w:ascii="Times New Roman" w:hAnsi="Times New Roman" w:cs="Times New Roman"/>
          <w:bCs/>
          <w:sz w:val="24"/>
          <w:szCs w:val="24"/>
        </w:rPr>
        <w:t xml:space="preserve">also be able to assist the other two co-chairs with the institutional knowledge and expectations of the Montreal Protocol, </w:t>
      </w:r>
      <w:r w:rsidR="000821AF">
        <w:rPr>
          <w:rFonts w:ascii="Times New Roman" w:hAnsi="Times New Roman" w:cs="Times New Roman"/>
          <w:bCs/>
          <w:sz w:val="24"/>
          <w:szCs w:val="24"/>
        </w:rPr>
        <w:t>meeting the standards expected of TEAP reports</w:t>
      </w:r>
      <w:r w:rsidR="00932280">
        <w:rPr>
          <w:rFonts w:ascii="Times New Roman" w:hAnsi="Times New Roman" w:cs="Times New Roman"/>
          <w:bCs/>
          <w:sz w:val="24"/>
          <w:szCs w:val="24"/>
        </w:rPr>
        <w:t xml:space="preserve"> and presentations to the Parties</w:t>
      </w:r>
      <w:r w:rsidR="000821AF">
        <w:rPr>
          <w:rFonts w:ascii="Times New Roman" w:hAnsi="Times New Roman" w:cs="Times New Roman"/>
          <w:bCs/>
          <w:sz w:val="24"/>
          <w:szCs w:val="24"/>
        </w:rPr>
        <w:t xml:space="preserve">, </w:t>
      </w:r>
      <w:r>
        <w:rPr>
          <w:rFonts w:ascii="Times New Roman" w:hAnsi="Times New Roman" w:cs="Times New Roman"/>
          <w:bCs/>
          <w:sz w:val="24"/>
          <w:szCs w:val="24"/>
        </w:rPr>
        <w:t>and program management of the TOC for Essential Use Nominations, Temporary Subsidiary Body (TSB) reports, assessment of process agents, etc.  TEAP believes this new construct would provide increased capabilities to the Parties in an effective and efficient manner.</w:t>
      </w:r>
    </w:p>
    <w:p w14:paraId="29A353F2" w14:textId="1231A5DE" w:rsidR="002A3216" w:rsidRDefault="00B8294B">
      <w:pPr>
        <w:rPr>
          <w:rFonts w:ascii="Times New Roman" w:hAnsi="Times New Roman" w:cs="Times New Roman"/>
          <w:bCs/>
          <w:sz w:val="24"/>
          <w:szCs w:val="24"/>
        </w:rPr>
      </w:pPr>
      <w:r>
        <w:rPr>
          <w:rFonts w:ascii="Times New Roman" w:hAnsi="Times New Roman" w:cs="Times New Roman"/>
          <w:bCs/>
          <w:sz w:val="24"/>
          <w:szCs w:val="24"/>
        </w:rPr>
        <w:t xml:space="preserve">In recommending merging the MTOC with CTOC, TEAP wishes to recognize the significant contributions that all three MTOC co-chairs, Jose Pons Pons, Ashley Woodcock and Helen Tope have made.  </w:t>
      </w:r>
      <w:r w:rsidR="009A358F">
        <w:rPr>
          <w:rFonts w:ascii="Times New Roman" w:hAnsi="Times New Roman" w:cs="Times New Roman"/>
          <w:bCs/>
          <w:sz w:val="24"/>
          <w:szCs w:val="24"/>
        </w:rPr>
        <w:t>TEAP recognizes that integrating two existing TOCs into one will be a significant commitment of effort for the co-chairs.  TEAP believes that in the first year or so, these integration efforts will require significantly more time than would otherwise be the case.  In recognition of this, b</w:t>
      </w:r>
      <w:r w:rsidR="003C549D">
        <w:rPr>
          <w:rFonts w:ascii="Times New Roman" w:hAnsi="Times New Roman" w:cs="Times New Roman"/>
          <w:bCs/>
          <w:sz w:val="24"/>
          <w:szCs w:val="24"/>
        </w:rPr>
        <w:t>oth outgoing MTOC co-chairs J</w:t>
      </w:r>
      <w:r w:rsidR="009A358F">
        <w:rPr>
          <w:rFonts w:ascii="Times New Roman" w:hAnsi="Times New Roman" w:cs="Times New Roman"/>
          <w:bCs/>
          <w:sz w:val="24"/>
          <w:szCs w:val="24"/>
        </w:rPr>
        <w:t>o</w:t>
      </w:r>
      <w:r w:rsidR="003C549D">
        <w:rPr>
          <w:rFonts w:ascii="Times New Roman" w:hAnsi="Times New Roman" w:cs="Times New Roman"/>
          <w:bCs/>
          <w:sz w:val="24"/>
          <w:szCs w:val="24"/>
        </w:rPr>
        <w:t xml:space="preserve">se Pons Pons and Ashley </w:t>
      </w:r>
      <w:r w:rsidR="009A358F">
        <w:rPr>
          <w:rFonts w:ascii="Times New Roman" w:hAnsi="Times New Roman" w:cs="Times New Roman"/>
          <w:bCs/>
          <w:sz w:val="24"/>
          <w:szCs w:val="24"/>
        </w:rPr>
        <w:t xml:space="preserve">Woodcock have agreed to </w:t>
      </w:r>
      <w:r w:rsidR="009A358F" w:rsidRPr="009A358F">
        <w:rPr>
          <w:rFonts w:ascii="Times New Roman" w:hAnsi="Times New Roman" w:cs="Times New Roman"/>
          <w:bCs/>
          <w:sz w:val="24"/>
          <w:szCs w:val="24"/>
        </w:rPr>
        <w:t>provide support to the co-chairs of the newly merged TOC for a period of time</w:t>
      </w:r>
      <w:r w:rsidR="009A358F">
        <w:rPr>
          <w:rFonts w:ascii="Times New Roman" w:hAnsi="Times New Roman" w:cs="Times New Roman"/>
          <w:bCs/>
          <w:sz w:val="24"/>
          <w:szCs w:val="24"/>
        </w:rPr>
        <w:t>, anticipated to be about a year</w:t>
      </w:r>
      <w:r w:rsidR="009A358F" w:rsidRPr="009A358F">
        <w:rPr>
          <w:rFonts w:ascii="Times New Roman" w:hAnsi="Times New Roman" w:cs="Times New Roman"/>
          <w:bCs/>
          <w:sz w:val="24"/>
          <w:szCs w:val="24"/>
        </w:rPr>
        <w:t>.</w:t>
      </w:r>
      <w:r w:rsidR="009A358F" w:rsidRPr="009A358F" w:rsidDel="003C549D">
        <w:rPr>
          <w:rFonts w:ascii="Times New Roman" w:hAnsi="Times New Roman" w:cs="Times New Roman"/>
          <w:bCs/>
          <w:sz w:val="24"/>
          <w:szCs w:val="24"/>
        </w:rPr>
        <w:t xml:space="preserve"> </w:t>
      </w:r>
      <w:r>
        <w:rPr>
          <w:rFonts w:ascii="Times New Roman" w:hAnsi="Times New Roman" w:cs="Times New Roman"/>
          <w:bCs/>
          <w:sz w:val="24"/>
          <w:szCs w:val="24"/>
        </w:rPr>
        <w:t>TEAP believes that keeping former TOC co-chairs on a TOC can help to smooth the transition to new TOC co-chairs</w:t>
      </w:r>
      <w:r w:rsidR="000821AF">
        <w:rPr>
          <w:rFonts w:ascii="Times New Roman" w:hAnsi="Times New Roman" w:cs="Times New Roman"/>
          <w:bCs/>
          <w:sz w:val="24"/>
          <w:szCs w:val="24"/>
        </w:rPr>
        <w:t>, ensure continuity in</w:t>
      </w:r>
      <w:r w:rsidR="0086570C">
        <w:rPr>
          <w:rFonts w:ascii="Times New Roman" w:hAnsi="Times New Roman" w:cs="Times New Roman"/>
          <w:bCs/>
          <w:sz w:val="24"/>
          <w:szCs w:val="24"/>
        </w:rPr>
        <w:t xml:space="preserve"> the work of the committee for P</w:t>
      </w:r>
      <w:r w:rsidR="000821AF">
        <w:rPr>
          <w:rFonts w:ascii="Times New Roman" w:hAnsi="Times New Roman" w:cs="Times New Roman"/>
          <w:bCs/>
          <w:sz w:val="24"/>
          <w:szCs w:val="24"/>
        </w:rPr>
        <w:t>arties,</w:t>
      </w:r>
      <w:r>
        <w:rPr>
          <w:rFonts w:ascii="Times New Roman" w:hAnsi="Times New Roman" w:cs="Times New Roman"/>
          <w:bCs/>
          <w:sz w:val="24"/>
          <w:szCs w:val="24"/>
        </w:rPr>
        <w:t xml:space="preserve"> and avoid some of the difficulties the CTOC co-chairs experienced.  Regarding membership, at this stage, TEAP is not proposing to reduce further the number of members with expertise on </w:t>
      </w:r>
      <w:r w:rsidR="008F4B98">
        <w:rPr>
          <w:rFonts w:ascii="Times New Roman" w:hAnsi="Times New Roman" w:cs="Times New Roman"/>
          <w:bCs/>
          <w:sz w:val="24"/>
          <w:szCs w:val="24"/>
        </w:rPr>
        <w:t>metered dose inhalers</w:t>
      </w:r>
      <w:r>
        <w:rPr>
          <w:rFonts w:ascii="Times New Roman" w:hAnsi="Times New Roman" w:cs="Times New Roman"/>
          <w:bCs/>
          <w:sz w:val="24"/>
          <w:szCs w:val="24"/>
        </w:rPr>
        <w:t xml:space="preserve">, sterilants, and medical aerosols for a merged </w:t>
      </w:r>
      <w:r w:rsidR="003C549D">
        <w:rPr>
          <w:rFonts w:ascii="Times New Roman" w:hAnsi="Times New Roman" w:cs="Times New Roman"/>
          <w:bCs/>
          <w:sz w:val="24"/>
          <w:szCs w:val="24"/>
        </w:rPr>
        <w:t>CMTOC</w:t>
      </w:r>
      <w:r>
        <w:rPr>
          <w:rFonts w:ascii="Times New Roman" w:hAnsi="Times New Roman" w:cs="Times New Roman"/>
          <w:bCs/>
          <w:sz w:val="24"/>
          <w:szCs w:val="24"/>
        </w:rPr>
        <w:t>, having already recently reviewed and reduced its membership for this next assessment period.</w:t>
      </w:r>
    </w:p>
    <w:p w14:paraId="79D83F81" w14:textId="7A7E86A2" w:rsidR="002A3216" w:rsidRDefault="00B8294B">
      <w:pPr>
        <w:rPr>
          <w:rFonts w:ascii="Times New Roman" w:hAnsi="Times New Roman" w:cs="Times New Roman"/>
          <w:bCs/>
          <w:sz w:val="24"/>
          <w:szCs w:val="24"/>
        </w:rPr>
      </w:pPr>
      <w:r>
        <w:rPr>
          <w:rFonts w:ascii="Times New Roman" w:hAnsi="Times New Roman" w:cs="Times New Roman"/>
          <w:bCs/>
          <w:sz w:val="24"/>
          <w:szCs w:val="24"/>
        </w:rPr>
        <w:t xml:space="preserve">The TEAP is now also being challenged in finding candidates for co-chairs for the </w:t>
      </w:r>
      <w:r w:rsidR="00EE05F8">
        <w:rPr>
          <w:rFonts w:ascii="Times New Roman" w:hAnsi="Times New Roman" w:cs="Times New Roman"/>
          <w:bCs/>
          <w:sz w:val="24"/>
          <w:szCs w:val="24"/>
        </w:rPr>
        <w:t>FTOC</w:t>
      </w:r>
      <w:r>
        <w:rPr>
          <w:rFonts w:ascii="Times New Roman" w:hAnsi="Times New Roman" w:cs="Times New Roman"/>
          <w:bCs/>
          <w:sz w:val="24"/>
          <w:szCs w:val="24"/>
        </w:rPr>
        <w:t xml:space="preserve"> to replace the two co-chairs who have recently resigned.  At present, there does not appear to be any candidates from within the FTOC willing or able to take on the role of co-chair.  In part, this is due to the tremendous workload of task force co-chairs and members in the early part of the year, particularly in an assessment year, where timeframes to accomplish the work are getting further and further compressed. But it is also, in part, due to the lack of funding support.  It is increasingly difficult to find qualified personnel that also have the necessary </w:t>
      </w:r>
      <w:r w:rsidR="000821AF">
        <w:rPr>
          <w:rFonts w:ascii="Times New Roman" w:hAnsi="Times New Roman" w:cs="Times New Roman"/>
          <w:bCs/>
          <w:sz w:val="24"/>
          <w:szCs w:val="24"/>
        </w:rPr>
        <w:t xml:space="preserve">expertise, experience, </w:t>
      </w:r>
      <w:r>
        <w:rPr>
          <w:rFonts w:ascii="Times New Roman" w:hAnsi="Times New Roman" w:cs="Times New Roman"/>
          <w:bCs/>
          <w:sz w:val="24"/>
          <w:szCs w:val="24"/>
        </w:rPr>
        <w:t>time and finances to take on the workload of the TEAP, the TOC and likely task</w:t>
      </w:r>
      <w:r w:rsidR="008F4B98">
        <w:rPr>
          <w:rFonts w:ascii="Times New Roman" w:hAnsi="Times New Roman" w:cs="Times New Roman"/>
          <w:bCs/>
          <w:sz w:val="24"/>
          <w:szCs w:val="24"/>
        </w:rPr>
        <w:t xml:space="preserve"> </w:t>
      </w:r>
      <w:r>
        <w:rPr>
          <w:rFonts w:ascii="Times New Roman" w:hAnsi="Times New Roman" w:cs="Times New Roman"/>
          <w:bCs/>
          <w:sz w:val="24"/>
          <w:szCs w:val="24"/>
        </w:rPr>
        <w:t xml:space="preserve">forces resulting from Decisions. </w:t>
      </w:r>
      <w:r w:rsidR="005C550E">
        <w:rPr>
          <w:rFonts w:ascii="Times New Roman" w:hAnsi="Times New Roman" w:cs="Times New Roman"/>
          <w:bCs/>
          <w:sz w:val="24"/>
          <w:szCs w:val="24"/>
        </w:rPr>
        <w:t xml:space="preserve"> </w:t>
      </w:r>
      <w:r w:rsidR="000D0758">
        <w:rPr>
          <w:rFonts w:ascii="Times New Roman" w:hAnsi="Times New Roman" w:cs="Times New Roman"/>
          <w:bCs/>
          <w:sz w:val="24"/>
          <w:szCs w:val="24"/>
        </w:rPr>
        <w:t xml:space="preserve">With FTOC, </w:t>
      </w:r>
      <w:r w:rsidR="00656332">
        <w:rPr>
          <w:rFonts w:ascii="Times New Roman" w:hAnsi="Times New Roman" w:cs="Times New Roman"/>
          <w:bCs/>
          <w:sz w:val="24"/>
          <w:szCs w:val="24"/>
        </w:rPr>
        <w:t xml:space="preserve">TEAP would seek to avoid repeating the problems </w:t>
      </w:r>
      <w:r w:rsidR="000D0758">
        <w:rPr>
          <w:rFonts w:ascii="Times New Roman" w:hAnsi="Times New Roman" w:cs="Times New Roman"/>
          <w:bCs/>
          <w:sz w:val="24"/>
          <w:szCs w:val="24"/>
        </w:rPr>
        <w:t xml:space="preserve">associated </w:t>
      </w:r>
      <w:r w:rsidR="00656332">
        <w:rPr>
          <w:rFonts w:ascii="Times New Roman" w:hAnsi="Times New Roman" w:cs="Times New Roman"/>
          <w:bCs/>
          <w:sz w:val="24"/>
          <w:szCs w:val="24"/>
        </w:rPr>
        <w:t xml:space="preserve">with </w:t>
      </w:r>
      <w:r>
        <w:rPr>
          <w:rFonts w:ascii="Times New Roman" w:hAnsi="Times New Roman" w:cs="Times New Roman"/>
          <w:bCs/>
          <w:sz w:val="24"/>
          <w:szCs w:val="24"/>
        </w:rPr>
        <w:t xml:space="preserve">having two new co-chairs </w:t>
      </w:r>
      <w:r w:rsidR="00656332">
        <w:rPr>
          <w:rFonts w:ascii="Times New Roman" w:hAnsi="Times New Roman" w:cs="Times New Roman"/>
          <w:bCs/>
          <w:sz w:val="24"/>
          <w:szCs w:val="24"/>
        </w:rPr>
        <w:t xml:space="preserve">appointed with only very limited </w:t>
      </w:r>
      <w:r>
        <w:rPr>
          <w:rFonts w:ascii="Times New Roman" w:hAnsi="Times New Roman" w:cs="Times New Roman"/>
          <w:bCs/>
          <w:sz w:val="24"/>
          <w:szCs w:val="24"/>
        </w:rPr>
        <w:t>experience in the Montreal Protocol</w:t>
      </w:r>
      <w:r w:rsidR="0086570C">
        <w:rPr>
          <w:rFonts w:ascii="Times New Roman" w:hAnsi="Times New Roman" w:cs="Times New Roman"/>
          <w:bCs/>
          <w:sz w:val="24"/>
          <w:szCs w:val="24"/>
        </w:rPr>
        <w:t>.</w:t>
      </w:r>
      <w:r w:rsidR="00656332">
        <w:rPr>
          <w:rFonts w:ascii="Times New Roman" w:hAnsi="Times New Roman" w:cs="Times New Roman"/>
          <w:bCs/>
          <w:sz w:val="24"/>
          <w:szCs w:val="24"/>
        </w:rPr>
        <w:t xml:space="preserve"> </w:t>
      </w:r>
      <w:r w:rsidR="005C550E">
        <w:rPr>
          <w:rFonts w:ascii="Times New Roman" w:hAnsi="Times New Roman" w:cs="Times New Roman"/>
          <w:bCs/>
          <w:sz w:val="24"/>
          <w:szCs w:val="24"/>
        </w:rPr>
        <w:t xml:space="preserve"> </w:t>
      </w:r>
      <w:r w:rsidR="009A358F">
        <w:rPr>
          <w:rFonts w:ascii="Times New Roman" w:hAnsi="Times New Roman" w:cs="Times New Roman"/>
          <w:sz w:val="24"/>
          <w:szCs w:val="24"/>
        </w:rPr>
        <w:t>Similarly as for the outgoing MTOC co-chairs, Paul Ashford and Miguel Quintero</w:t>
      </w:r>
      <w:r w:rsidR="009A358F" w:rsidRPr="003C549D">
        <w:rPr>
          <w:rFonts w:ascii="Times New Roman" w:hAnsi="Times New Roman" w:cs="Times New Roman"/>
          <w:bCs/>
          <w:sz w:val="24"/>
          <w:szCs w:val="24"/>
        </w:rPr>
        <w:t xml:space="preserve"> will provide support to</w:t>
      </w:r>
      <w:r w:rsidR="009A358F">
        <w:rPr>
          <w:rFonts w:ascii="Times New Roman" w:hAnsi="Times New Roman" w:cs="Times New Roman"/>
          <w:bCs/>
          <w:sz w:val="24"/>
          <w:szCs w:val="24"/>
        </w:rPr>
        <w:t xml:space="preserve"> the co-chairs </w:t>
      </w:r>
      <w:r w:rsidR="008F4B98">
        <w:rPr>
          <w:rFonts w:ascii="Times New Roman" w:hAnsi="Times New Roman" w:cs="Times New Roman"/>
          <w:bCs/>
          <w:sz w:val="24"/>
          <w:szCs w:val="24"/>
        </w:rPr>
        <w:t xml:space="preserve">of </w:t>
      </w:r>
      <w:r w:rsidR="009A358F">
        <w:rPr>
          <w:rFonts w:ascii="Times New Roman" w:hAnsi="Times New Roman" w:cs="Times New Roman"/>
          <w:bCs/>
          <w:sz w:val="24"/>
          <w:szCs w:val="24"/>
        </w:rPr>
        <w:t>FTOC for a period of time to allow for a smooth transition to non-temporary co-chairs.</w:t>
      </w:r>
      <w:r>
        <w:rPr>
          <w:rFonts w:ascii="Times New Roman" w:hAnsi="Times New Roman" w:cs="Times New Roman"/>
          <w:bCs/>
          <w:sz w:val="24"/>
          <w:szCs w:val="24"/>
        </w:rPr>
        <w:t xml:space="preserve">  </w:t>
      </w:r>
    </w:p>
    <w:p w14:paraId="78093AD6" w14:textId="7109083A" w:rsidR="006916F1" w:rsidRDefault="00B8294B" w:rsidP="006916F1">
      <w:pPr>
        <w:rPr>
          <w:rFonts w:ascii="Times New Roman" w:hAnsi="Times New Roman" w:cs="Times New Roman"/>
          <w:sz w:val="24"/>
          <w:szCs w:val="24"/>
        </w:rPr>
      </w:pPr>
      <w:r>
        <w:rPr>
          <w:rFonts w:ascii="Times New Roman" w:hAnsi="Times New Roman" w:cs="Times New Roman"/>
          <w:bCs/>
          <w:sz w:val="24"/>
          <w:szCs w:val="24"/>
        </w:rPr>
        <w:t xml:space="preserve">The next FTOC meeting </w:t>
      </w:r>
      <w:r w:rsidR="00656332">
        <w:rPr>
          <w:rFonts w:ascii="Times New Roman" w:hAnsi="Times New Roman" w:cs="Times New Roman"/>
          <w:bCs/>
          <w:sz w:val="24"/>
          <w:szCs w:val="24"/>
        </w:rPr>
        <w:t xml:space="preserve">takes place </w:t>
      </w:r>
      <w:r>
        <w:rPr>
          <w:rFonts w:ascii="Times New Roman" w:hAnsi="Times New Roman" w:cs="Times New Roman"/>
          <w:bCs/>
          <w:sz w:val="24"/>
          <w:szCs w:val="24"/>
        </w:rPr>
        <w:t>in late October</w:t>
      </w:r>
      <w:r w:rsidR="00932280">
        <w:rPr>
          <w:rFonts w:ascii="Times New Roman" w:hAnsi="Times New Roman" w:cs="Times New Roman"/>
          <w:bCs/>
          <w:sz w:val="24"/>
          <w:szCs w:val="24"/>
        </w:rPr>
        <w:t>, with the participation of a TEAP co-chair,</w:t>
      </w:r>
      <w:r>
        <w:rPr>
          <w:rFonts w:ascii="Times New Roman" w:hAnsi="Times New Roman" w:cs="Times New Roman"/>
          <w:bCs/>
          <w:sz w:val="24"/>
          <w:szCs w:val="24"/>
        </w:rPr>
        <w:t xml:space="preserve"> with the hopes of </w:t>
      </w:r>
      <w:r w:rsidR="00656332">
        <w:rPr>
          <w:rFonts w:ascii="Times New Roman" w:hAnsi="Times New Roman" w:cs="Times New Roman"/>
          <w:bCs/>
          <w:sz w:val="24"/>
          <w:szCs w:val="24"/>
        </w:rPr>
        <w:t xml:space="preserve">the committee </w:t>
      </w:r>
      <w:r>
        <w:rPr>
          <w:rFonts w:ascii="Times New Roman" w:hAnsi="Times New Roman" w:cs="Times New Roman"/>
          <w:bCs/>
          <w:sz w:val="24"/>
          <w:szCs w:val="24"/>
        </w:rPr>
        <w:t xml:space="preserve">being able to </w:t>
      </w:r>
      <w:r w:rsidR="00656332">
        <w:rPr>
          <w:rFonts w:ascii="Times New Roman" w:hAnsi="Times New Roman" w:cs="Times New Roman"/>
          <w:bCs/>
          <w:sz w:val="24"/>
          <w:szCs w:val="24"/>
        </w:rPr>
        <w:t xml:space="preserve">identify </w:t>
      </w:r>
      <w:r>
        <w:rPr>
          <w:rFonts w:ascii="Times New Roman" w:hAnsi="Times New Roman" w:cs="Times New Roman"/>
          <w:bCs/>
          <w:sz w:val="24"/>
          <w:szCs w:val="24"/>
        </w:rPr>
        <w:t xml:space="preserve">at least one current FTOC member to take on the challenge of becoming an FTOC co-chair.  Regardless of the success or failure in finding candidates from within the FTOC, </w:t>
      </w:r>
      <w:r w:rsidR="004C549F">
        <w:rPr>
          <w:rFonts w:ascii="Times New Roman" w:hAnsi="Times New Roman" w:cs="Times New Roman"/>
          <w:bCs/>
          <w:sz w:val="24"/>
          <w:szCs w:val="24"/>
        </w:rPr>
        <w:t>c</w:t>
      </w:r>
      <w:r w:rsidR="004C549F">
        <w:rPr>
          <w:rFonts w:ascii="Times New Roman" w:hAnsi="Times New Roman" w:cs="Times New Roman"/>
          <w:sz w:val="24"/>
          <w:szCs w:val="24"/>
        </w:rPr>
        <w:t xml:space="preserve">onsistent with the TEAP </w:t>
      </w:r>
      <w:r w:rsidR="00F309B9">
        <w:rPr>
          <w:rFonts w:ascii="Times New Roman" w:hAnsi="Times New Roman" w:cs="Times New Roman"/>
          <w:sz w:val="24"/>
          <w:szCs w:val="24"/>
        </w:rPr>
        <w:t>TOR</w:t>
      </w:r>
      <w:r w:rsidR="004C549F">
        <w:rPr>
          <w:rFonts w:ascii="Times New Roman" w:hAnsi="Times New Roman" w:cs="Times New Roman"/>
          <w:sz w:val="24"/>
          <w:szCs w:val="24"/>
        </w:rPr>
        <w:t xml:space="preserve"> and </w:t>
      </w:r>
      <w:r w:rsidR="004C549F" w:rsidRPr="004C549F">
        <w:rPr>
          <w:rFonts w:ascii="Times New Roman" w:hAnsi="Times New Roman" w:cs="Times New Roman"/>
          <w:sz w:val="24"/>
          <w:szCs w:val="24"/>
        </w:rPr>
        <w:t xml:space="preserve">after consultation with the </w:t>
      </w:r>
      <w:r w:rsidR="00FD6602">
        <w:rPr>
          <w:rFonts w:ascii="Times New Roman" w:hAnsi="Times New Roman" w:cs="Times New Roman"/>
          <w:sz w:val="24"/>
          <w:szCs w:val="24"/>
        </w:rPr>
        <w:t>appropriate</w:t>
      </w:r>
      <w:r w:rsidR="00FD6602" w:rsidRPr="004C549F">
        <w:rPr>
          <w:rFonts w:ascii="Times New Roman" w:hAnsi="Times New Roman" w:cs="Times New Roman"/>
          <w:sz w:val="24"/>
          <w:szCs w:val="24"/>
        </w:rPr>
        <w:t xml:space="preserve"> </w:t>
      </w:r>
      <w:r w:rsidR="004C549F" w:rsidRPr="004C549F">
        <w:rPr>
          <w:rFonts w:ascii="Times New Roman" w:hAnsi="Times New Roman" w:cs="Times New Roman"/>
          <w:sz w:val="24"/>
          <w:szCs w:val="24"/>
        </w:rPr>
        <w:t>party</w:t>
      </w:r>
      <w:r w:rsidR="004C549F">
        <w:rPr>
          <w:rFonts w:ascii="Times New Roman" w:hAnsi="Times New Roman" w:cs="Times New Roman"/>
          <w:sz w:val="24"/>
          <w:szCs w:val="24"/>
        </w:rPr>
        <w:t xml:space="preserve">, TEAP proposes </w:t>
      </w:r>
      <w:r w:rsidR="006916F1">
        <w:rPr>
          <w:rFonts w:ascii="Times New Roman" w:hAnsi="Times New Roman" w:cs="Times New Roman"/>
          <w:sz w:val="24"/>
          <w:szCs w:val="24"/>
        </w:rPr>
        <w:t>to appoint temporary FTOC co-chairs</w:t>
      </w:r>
      <w:r w:rsidR="00656332">
        <w:rPr>
          <w:rFonts w:ascii="Times New Roman" w:hAnsi="Times New Roman" w:cs="Times New Roman"/>
          <w:sz w:val="24"/>
          <w:szCs w:val="24"/>
        </w:rPr>
        <w:t xml:space="preserve"> </w:t>
      </w:r>
      <w:r w:rsidR="008F4B98">
        <w:rPr>
          <w:rFonts w:ascii="Times New Roman" w:hAnsi="Times New Roman" w:cs="Times New Roman"/>
          <w:sz w:val="24"/>
          <w:szCs w:val="24"/>
        </w:rPr>
        <w:t xml:space="preserve">as an interim measure </w:t>
      </w:r>
      <w:r w:rsidR="006916F1">
        <w:rPr>
          <w:rFonts w:ascii="Times New Roman" w:hAnsi="Times New Roman" w:cs="Times New Roman"/>
          <w:sz w:val="24"/>
          <w:szCs w:val="24"/>
        </w:rPr>
        <w:t>until the 28</w:t>
      </w:r>
      <w:r w:rsidR="006916F1" w:rsidRPr="000B03F8">
        <w:rPr>
          <w:rFonts w:ascii="Times New Roman" w:hAnsi="Times New Roman" w:cs="Times New Roman"/>
          <w:sz w:val="24"/>
          <w:szCs w:val="24"/>
          <w:vertAlign w:val="superscript"/>
        </w:rPr>
        <w:t>th</w:t>
      </w:r>
      <w:r w:rsidR="006916F1">
        <w:rPr>
          <w:rFonts w:ascii="Times New Roman" w:hAnsi="Times New Roman" w:cs="Times New Roman"/>
          <w:sz w:val="24"/>
          <w:szCs w:val="24"/>
        </w:rPr>
        <w:t xml:space="preserve"> Meeting of the Parties</w:t>
      </w:r>
      <w:r w:rsidR="008764C8">
        <w:rPr>
          <w:rFonts w:ascii="Times New Roman" w:hAnsi="Times New Roman" w:cs="Times New Roman"/>
          <w:sz w:val="24"/>
          <w:szCs w:val="24"/>
        </w:rPr>
        <w:t>, if needed,</w:t>
      </w:r>
      <w:r w:rsidR="006916F1">
        <w:rPr>
          <w:rFonts w:ascii="Times New Roman" w:hAnsi="Times New Roman" w:cs="Times New Roman"/>
          <w:sz w:val="24"/>
          <w:szCs w:val="24"/>
        </w:rPr>
        <w:t xml:space="preserve"> to assist in the transition period to new co-chairs and to maintain continuity of work. </w:t>
      </w:r>
      <w:r w:rsidR="005C550E">
        <w:rPr>
          <w:rFonts w:ascii="Times New Roman" w:hAnsi="Times New Roman" w:cs="Times New Roman"/>
          <w:sz w:val="24"/>
          <w:szCs w:val="24"/>
        </w:rPr>
        <w:t xml:space="preserve"> </w:t>
      </w:r>
      <w:r w:rsidR="00405E6E" w:rsidRPr="00405E6E">
        <w:rPr>
          <w:rFonts w:ascii="Times New Roman" w:hAnsi="Times New Roman" w:cs="Times New Roman"/>
          <w:sz w:val="24"/>
          <w:szCs w:val="24"/>
        </w:rPr>
        <w:t xml:space="preserve">TEAP will </w:t>
      </w:r>
      <w:r w:rsidR="00405E6E">
        <w:rPr>
          <w:rFonts w:ascii="Times New Roman" w:hAnsi="Times New Roman" w:cs="Times New Roman"/>
          <w:sz w:val="24"/>
          <w:szCs w:val="24"/>
        </w:rPr>
        <w:t xml:space="preserve">continue to </w:t>
      </w:r>
      <w:r w:rsidR="00405E6E" w:rsidRPr="00405E6E">
        <w:rPr>
          <w:rFonts w:ascii="Times New Roman" w:hAnsi="Times New Roman" w:cs="Times New Roman"/>
          <w:sz w:val="24"/>
          <w:szCs w:val="24"/>
        </w:rPr>
        <w:t>consider candidates to recommend for nomination by Parties and for appointment at the 2</w:t>
      </w:r>
      <w:r w:rsidR="00405E6E">
        <w:rPr>
          <w:rFonts w:ascii="Times New Roman" w:hAnsi="Times New Roman" w:cs="Times New Roman"/>
          <w:sz w:val="24"/>
          <w:szCs w:val="24"/>
        </w:rPr>
        <w:t>8</w:t>
      </w:r>
      <w:r w:rsidR="00405E6E" w:rsidRPr="00405E6E">
        <w:rPr>
          <w:rFonts w:ascii="Times New Roman" w:hAnsi="Times New Roman" w:cs="Times New Roman"/>
          <w:sz w:val="24"/>
          <w:szCs w:val="24"/>
        </w:rPr>
        <w:t>th MOP.</w:t>
      </w:r>
    </w:p>
    <w:p w14:paraId="38C066B4" w14:textId="77777777" w:rsidR="00405E6E" w:rsidRPr="00405E6E" w:rsidRDefault="00405E6E" w:rsidP="006463B6">
      <w:pPr>
        <w:rPr>
          <w:rFonts w:ascii="Times New Roman" w:cs="Times New Roman"/>
          <w:sz w:val="24"/>
          <w:szCs w:val="24"/>
          <w:u w:val="single"/>
        </w:rPr>
      </w:pPr>
      <w:r w:rsidRPr="00405E6E">
        <w:rPr>
          <w:rFonts w:ascii="Times New Roman" w:cs="Times New Roman"/>
          <w:sz w:val="24"/>
          <w:szCs w:val="24"/>
          <w:u w:val="single"/>
        </w:rPr>
        <w:lastRenderedPageBreak/>
        <w:t>Continuing Challenges</w:t>
      </w:r>
    </w:p>
    <w:p w14:paraId="15231111" w14:textId="4830D145" w:rsidR="002A3216" w:rsidRDefault="004C549F" w:rsidP="006463B6">
      <w:pPr>
        <w:rPr>
          <w:rFonts w:ascii="Times New Roman" w:cs="Times New Roman"/>
          <w:sz w:val="24"/>
          <w:szCs w:val="24"/>
        </w:rPr>
      </w:pPr>
      <w:r>
        <w:rPr>
          <w:rFonts w:ascii="Times New Roman" w:cs="Times New Roman"/>
          <w:sz w:val="24"/>
          <w:szCs w:val="24"/>
        </w:rPr>
        <w:t>T</w:t>
      </w:r>
      <w:r w:rsidR="00B8294B" w:rsidRPr="A28C5667">
        <w:rPr>
          <w:rFonts w:ascii="Times New Roman" w:cs="Times New Roman"/>
          <w:sz w:val="24"/>
          <w:szCs w:val="24"/>
        </w:rPr>
        <w:t xml:space="preserve">he TEAP wishes to advise the Parties that </w:t>
      </w:r>
      <w:r w:rsidR="00B8294B" w:rsidRPr="006463B6">
        <w:rPr>
          <w:rFonts w:ascii="Times New Roman" w:cs="Times New Roman"/>
          <w:sz w:val="24"/>
          <w:szCs w:val="24"/>
        </w:rPr>
        <w:t>work load, short time frames, and a lack of funding support are making it more and more difficult to find the key personnel that TEAP and its TOCs need to be able to continue to provide the Parties with the products they need.  Over the years, TEAP and its TOCs have maintained highly qualified and motivated personnel to perform a wide variety of tasks for the Parties.  This has required that TEAP always maintain a critical mass of experts who can produce wide-ranging and yet concise outputs that Parties have been able to use to develop the policies that have made the Montreal Protocol the hallmark of Multinational Environmental Agreements.</w:t>
      </w:r>
    </w:p>
    <w:p w14:paraId="04EECDEB" w14:textId="46B0188C" w:rsidR="005C550E" w:rsidRPr="005C550E" w:rsidRDefault="00B8294B" w:rsidP="005C550E">
      <w:pPr>
        <w:rPr>
          <w:rFonts w:ascii="Times New Roman" w:hAnsi="Times New Roman" w:cs="Times New Roman"/>
        </w:rPr>
      </w:pPr>
      <w:r w:rsidRPr="D1DAC70B">
        <w:rPr>
          <w:rFonts w:ascii="Times New Roman" w:cs="Times New Roman"/>
          <w:sz w:val="24"/>
          <w:szCs w:val="24"/>
        </w:rPr>
        <w:t xml:space="preserve">However, </w:t>
      </w:r>
      <w:r w:rsidRPr="006463B6">
        <w:rPr>
          <w:rFonts w:ascii="Times New Roman" w:cs="Times New Roman"/>
          <w:sz w:val="24"/>
          <w:szCs w:val="24"/>
        </w:rPr>
        <w:t xml:space="preserve">TEAP must inform the Parties that it recognizes that it is losing capacity and in some instances the critical mass it needs to be able to continue to provide the consensus reports the Parties are reliant upon.  The </w:t>
      </w:r>
      <w:r w:rsidR="008F4B98">
        <w:rPr>
          <w:rFonts w:ascii="Times New Roman" w:cs="Times New Roman"/>
          <w:sz w:val="24"/>
          <w:szCs w:val="24"/>
        </w:rPr>
        <w:t>proposed</w:t>
      </w:r>
      <w:r w:rsidR="008F4B98" w:rsidRPr="006463B6">
        <w:rPr>
          <w:rFonts w:ascii="Times New Roman" w:cs="Times New Roman"/>
          <w:sz w:val="24"/>
          <w:szCs w:val="24"/>
        </w:rPr>
        <w:t xml:space="preserve"> </w:t>
      </w:r>
      <w:r w:rsidRPr="006463B6">
        <w:rPr>
          <w:rFonts w:ascii="Times New Roman" w:cs="Times New Roman"/>
          <w:sz w:val="24"/>
          <w:szCs w:val="24"/>
        </w:rPr>
        <w:t xml:space="preserve">restructure to reduce </w:t>
      </w:r>
      <w:r w:rsidRPr="8F749053">
        <w:rPr>
          <w:rFonts w:ascii="Times New Roman" w:cs="Times New Roman"/>
          <w:sz w:val="24"/>
          <w:szCs w:val="24"/>
        </w:rPr>
        <w:t xml:space="preserve">two TOCs to </w:t>
      </w:r>
      <w:r w:rsidRPr="006463B6">
        <w:rPr>
          <w:rFonts w:ascii="Times New Roman" w:cs="Times New Roman"/>
          <w:sz w:val="24"/>
          <w:szCs w:val="24"/>
        </w:rPr>
        <w:t xml:space="preserve">one is helpful but it can only go so far.  TEAP recognizes that it has mentioned the funding issue over the past few years with little success but TEAP believes that the Parties should understand the challenges that TEAP is facing. </w:t>
      </w:r>
      <w:r w:rsidR="005C550E">
        <w:rPr>
          <w:rFonts w:ascii="Times New Roman" w:cs="Times New Roman"/>
          <w:sz w:val="24"/>
          <w:szCs w:val="24"/>
        </w:rPr>
        <w:t xml:space="preserve"> </w:t>
      </w:r>
      <w:r w:rsidR="00656332">
        <w:rPr>
          <w:rFonts w:ascii="Times New Roman" w:hAnsi="Times New Roman" w:cs="Times New Roman"/>
          <w:bCs/>
          <w:sz w:val="24"/>
          <w:szCs w:val="24"/>
        </w:rPr>
        <w:t>It should be noted that individual Parties have often funded TEAP members for travel and/or time in the past although it was typically done on an individual basis.  There have been and remain government employees who are funded for their efforts on TEAP.  There have been and are also still TEAP members that are funded in part or whole for their participation on the TEAP by government entities.</w:t>
      </w:r>
      <w:r w:rsidR="00656332">
        <w:rPr>
          <w:rFonts w:ascii="Times New Roman" w:hAnsi="Times New Roman" w:cs="Times New Roman"/>
          <w:bCs/>
          <w:color w:val="FF0000"/>
          <w:sz w:val="24"/>
          <w:szCs w:val="24"/>
        </w:rPr>
        <w:t xml:space="preserve"> </w:t>
      </w:r>
      <w:r w:rsidR="005C550E">
        <w:rPr>
          <w:rFonts w:ascii="Times New Roman" w:hAnsi="Times New Roman" w:cs="Times New Roman"/>
          <w:bCs/>
          <w:color w:val="FF0000"/>
          <w:sz w:val="24"/>
          <w:szCs w:val="24"/>
        </w:rPr>
        <w:t xml:space="preserve"> </w:t>
      </w:r>
      <w:r w:rsidR="00656332">
        <w:rPr>
          <w:rFonts w:ascii="Times New Roman" w:hAnsi="Times New Roman" w:cs="Times New Roman"/>
          <w:sz w:val="24"/>
          <w:szCs w:val="24"/>
        </w:rPr>
        <w:t>Therefore, this is really not a new issue.  However, the reality is that the old way</w:t>
      </w:r>
      <w:r w:rsidR="00267A63">
        <w:rPr>
          <w:rFonts w:ascii="Times New Roman" w:hAnsi="Times New Roman" w:cs="Times New Roman"/>
          <w:sz w:val="24"/>
          <w:szCs w:val="24"/>
        </w:rPr>
        <w:t>, which lacks permanence and certainty and relies on benevolent benefactors,</w:t>
      </w:r>
      <w:r w:rsidR="00656332">
        <w:rPr>
          <w:rFonts w:ascii="Times New Roman" w:hAnsi="Times New Roman" w:cs="Times New Roman"/>
          <w:sz w:val="24"/>
          <w:szCs w:val="24"/>
        </w:rPr>
        <w:t xml:space="preserve"> does not seem to work any longer. </w:t>
      </w:r>
      <w:r w:rsidR="005C550E">
        <w:rPr>
          <w:rFonts w:ascii="Times New Roman" w:hAnsi="Times New Roman" w:cs="Times New Roman"/>
          <w:sz w:val="24"/>
          <w:szCs w:val="24"/>
        </w:rPr>
        <w:t xml:space="preserve"> As </w:t>
      </w:r>
      <w:r w:rsidR="005C550E">
        <w:rPr>
          <w:rFonts w:ascii="Times New Roman" w:hAnsi="Times New Roman" w:cs="Times New Roman"/>
        </w:rPr>
        <w:t>stated in the Progress Report:</w:t>
      </w:r>
    </w:p>
    <w:p w14:paraId="585E5995" w14:textId="7ECE6ABE" w:rsidR="005C550E" w:rsidRPr="005C550E" w:rsidRDefault="005C550E" w:rsidP="005C550E">
      <w:pPr>
        <w:numPr>
          <w:ilvl w:val="0"/>
          <w:numId w:val="3"/>
        </w:numPr>
        <w:rPr>
          <w:rFonts w:ascii="Times New Roman" w:hAnsi="Times New Roman" w:cs="Times New Roman"/>
          <w:sz w:val="24"/>
          <w:szCs w:val="24"/>
        </w:rPr>
      </w:pPr>
      <w:r w:rsidRPr="005C550E">
        <w:rPr>
          <w:rFonts w:ascii="Times New Roman" w:hAnsi="Times New Roman" w:cs="Times New Roman"/>
          <w:sz w:val="24"/>
          <w:szCs w:val="24"/>
        </w:rPr>
        <w:t xml:space="preserve">There is a significant workload related to the work of TEAP and its TOCs that has grown in recent years with the responses to various requests of the Parties; this situation if unaddressed will increasingly affect the delivery and timeline of TEAP’s outputs. </w:t>
      </w:r>
      <w:r>
        <w:rPr>
          <w:rFonts w:ascii="Times New Roman" w:hAnsi="Times New Roman" w:cs="Times New Roman"/>
          <w:sz w:val="24"/>
          <w:szCs w:val="24"/>
        </w:rPr>
        <w:t xml:space="preserve"> </w:t>
      </w:r>
      <w:r w:rsidRPr="005C550E">
        <w:rPr>
          <w:rFonts w:ascii="Times New Roman" w:hAnsi="Times New Roman" w:cs="Times New Roman"/>
          <w:sz w:val="24"/>
          <w:szCs w:val="24"/>
        </w:rPr>
        <w:t>Members of TEAP and TOC often concurrently serve on TEAP Task Forces adding to the workload and making it difficult to meet deadlines.</w:t>
      </w:r>
    </w:p>
    <w:p w14:paraId="369F7F39" w14:textId="77777777" w:rsidR="005C550E" w:rsidRPr="005C550E" w:rsidRDefault="005C550E" w:rsidP="005C550E">
      <w:pPr>
        <w:numPr>
          <w:ilvl w:val="0"/>
          <w:numId w:val="3"/>
        </w:numPr>
        <w:rPr>
          <w:rFonts w:ascii="Times New Roman" w:hAnsi="Times New Roman" w:cs="Times New Roman"/>
          <w:sz w:val="24"/>
          <w:szCs w:val="24"/>
        </w:rPr>
      </w:pPr>
      <w:r w:rsidRPr="005C550E">
        <w:rPr>
          <w:rFonts w:ascii="Times New Roman" w:hAnsi="Times New Roman" w:cs="Times New Roman"/>
          <w:sz w:val="24"/>
          <w:szCs w:val="24"/>
        </w:rPr>
        <w:t>The members of TEAP and its TOCs provide their expertise and work on a voluntary basis and many are finding the increasing time commitment difficult/impossible to manage in the context of a full- time occupation.</w:t>
      </w:r>
    </w:p>
    <w:p w14:paraId="1FE07C3C" w14:textId="68702558" w:rsidR="005C550E" w:rsidRPr="005C550E" w:rsidRDefault="005C550E" w:rsidP="005C550E">
      <w:pPr>
        <w:numPr>
          <w:ilvl w:val="0"/>
          <w:numId w:val="3"/>
        </w:numPr>
        <w:rPr>
          <w:rFonts w:ascii="Times New Roman" w:hAnsi="Times New Roman" w:cs="Times New Roman"/>
          <w:sz w:val="24"/>
          <w:szCs w:val="24"/>
        </w:rPr>
      </w:pPr>
      <w:r w:rsidRPr="005C550E">
        <w:rPr>
          <w:rFonts w:ascii="Times New Roman" w:hAnsi="Times New Roman" w:cs="Times New Roman"/>
          <w:sz w:val="24"/>
          <w:szCs w:val="24"/>
        </w:rPr>
        <w:t xml:space="preserve">The absence of funding for non-Article 5 members makes participation increasingly difficult. </w:t>
      </w:r>
      <w:r>
        <w:rPr>
          <w:rFonts w:ascii="Times New Roman" w:hAnsi="Times New Roman" w:cs="Times New Roman"/>
          <w:sz w:val="24"/>
          <w:szCs w:val="24"/>
        </w:rPr>
        <w:t xml:space="preserve"> </w:t>
      </w:r>
      <w:r w:rsidRPr="005C550E">
        <w:rPr>
          <w:rFonts w:ascii="Times New Roman" w:hAnsi="Times New Roman" w:cs="Times New Roman"/>
          <w:sz w:val="24"/>
          <w:szCs w:val="24"/>
        </w:rPr>
        <w:t xml:space="preserve">This is of growing concern to the consensus process of the committees where a range of independent expert opinions is necessary. </w:t>
      </w:r>
      <w:r>
        <w:rPr>
          <w:rFonts w:ascii="Times New Roman" w:hAnsi="Times New Roman" w:cs="Times New Roman"/>
          <w:sz w:val="24"/>
          <w:szCs w:val="24"/>
        </w:rPr>
        <w:t xml:space="preserve"> </w:t>
      </w:r>
      <w:r w:rsidR="00AF67F0">
        <w:rPr>
          <w:rFonts w:ascii="Times New Roman" w:hAnsi="Times New Roman" w:cs="Times New Roman"/>
          <w:sz w:val="24"/>
          <w:szCs w:val="24"/>
        </w:rPr>
        <w:t xml:space="preserve">Increasingly, absence </w:t>
      </w:r>
      <w:r w:rsidRPr="005C550E">
        <w:rPr>
          <w:rFonts w:ascii="Times New Roman" w:hAnsi="Times New Roman" w:cs="Times New Roman"/>
          <w:sz w:val="24"/>
          <w:szCs w:val="24"/>
        </w:rPr>
        <w:t xml:space="preserve">of funding </w:t>
      </w:r>
      <w:r w:rsidR="00AF67F0">
        <w:rPr>
          <w:rFonts w:ascii="Times New Roman" w:hAnsi="Times New Roman" w:cs="Times New Roman"/>
          <w:sz w:val="24"/>
          <w:szCs w:val="24"/>
        </w:rPr>
        <w:t xml:space="preserve">as extended to </w:t>
      </w:r>
      <w:r w:rsidRPr="005C550E">
        <w:rPr>
          <w:rFonts w:ascii="Times New Roman" w:hAnsi="Times New Roman" w:cs="Times New Roman"/>
          <w:sz w:val="24"/>
          <w:szCs w:val="24"/>
        </w:rPr>
        <w:t>TOC co-chairs</w:t>
      </w:r>
      <w:r w:rsidR="00AF67F0">
        <w:rPr>
          <w:rFonts w:ascii="Times New Roman" w:hAnsi="Times New Roman" w:cs="Times New Roman"/>
          <w:sz w:val="24"/>
          <w:szCs w:val="24"/>
        </w:rPr>
        <w:t xml:space="preserve"> </w:t>
      </w:r>
      <w:r w:rsidRPr="005C550E">
        <w:rPr>
          <w:rFonts w:ascii="Times New Roman" w:hAnsi="Times New Roman" w:cs="Times New Roman"/>
          <w:sz w:val="24"/>
          <w:szCs w:val="24"/>
        </w:rPr>
        <w:t>making uncertain travel to meetings and participation in other activities essential to the role of a co-chair.</w:t>
      </w:r>
    </w:p>
    <w:p w14:paraId="7D526D3F" w14:textId="549C0138" w:rsidR="002A3216" w:rsidRPr="00932280" w:rsidRDefault="00B8294B">
      <w:pPr>
        <w:rPr>
          <w:rFonts w:ascii="Times New Roman" w:cs="Times New Roman"/>
          <w:bCs/>
          <w:sz w:val="24"/>
          <w:szCs w:val="24"/>
        </w:rPr>
      </w:pPr>
      <w:r w:rsidRPr="006463B6">
        <w:rPr>
          <w:rFonts w:ascii="Times New Roman" w:cs="Times New Roman"/>
          <w:sz w:val="24"/>
          <w:szCs w:val="24"/>
        </w:rPr>
        <w:t xml:space="preserve">Therefore, </w:t>
      </w:r>
      <w:r w:rsidRPr="006463B6">
        <w:rPr>
          <w:rFonts w:ascii="Times New Roman" w:cs="Times New Roman"/>
          <w:bCs/>
          <w:sz w:val="24"/>
          <w:szCs w:val="24"/>
        </w:rPr>
        <w:t xml:space="preserve">TEAP requests that Parties consider establishing an enduring mechanism to provide funding support to TEAP, particularly for both non-A5 and A5 members who conduct a heavy workload on an entirely voluntary basis, and non-A5 members who do not even have the funding support to travel to attend meetings. </w:t>
      </w:r>
      <w:r w:rsidR="005C550E">
        <w:rPr>
          <w:rFonts w:ascii="Times New Roman" w:cs="Times New Roman"/>
          <w:bCs/>
          <w:sz w:val="24"/>
          <w:szCs w:val="24"/>
        </w:rPr>
        <w:t xml:space="preserve"> </w:t>
      </w:r>
      <w:r w:rsidRPr="006463B6">
        <w:rPr>
          <w:rFonts w:ascii="Times New Roman" w:cs="Times New Roman"/>
          <w:bCs/>
          <w:sz w:val="24"/>
          <w:szCs w:val="24"/>
        </w:rPr>
        <w:t xml:space="preserve">This is further exacerbated by the required participation in TSBs that cannot be anticipated until after Decisions are made at the Meeting of the Parties.  </w:t>
      </w:r>
      <w:r>
        <w:rPr>
          <w:rFonts w:ascii="Times New Roman" w:hAnsi="Times New Roman" w:cs="Times New Roman"/>
          <w:bCs/>
          <w:sz w:val="24"/>
          <w:szCs w:val="24"/>
        </w:rPr>
        <w:t xml:space="preserve">  </w:t>
      </w:r>
    </w:p>
    <w:sectPr w:rsidR="002A3216" w:rsidRPr="00932280" w:rsidSect="00BD3B40">
      <w:pgSz w:w="11907" w:h="16839" w:code="9"/>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631190" w15:done="0"/>
  <w15:commentEx w15:paraId="20106B44" w15:done="0"/>
  <w15:commentEx w15:paraId="13D921A8" w15:done="0"/>
  <w15:commentEx w15:paraId="12CDAB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7B69E" w14:textId="77777777" w:rsidR="007139E6" w:rsidRDefault="007139E6">
      <w:pPr>
        <w:spacing w:after="0" w:line="240" w:lineRule="auto"/>
      </w:pPr>
      <w:r>
        <w:separator/>
      </w:r>
    </w:p>
  </w:endnote>
  <w:endnote w:type="continuationSeparator" w:id="0">
    <w:p w14:paraId="124AF361" w14:textId="77777777" w:rsidR="007139E6" w:rsidRDefault="0071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442F" w14:textId="77777777" w:rsidR="008F4B98" w:rsidRPr="00DE6677" w:rsidRDefault="00882AAA">
    <w:pPr>
      <w:pStyle w:val="Footer"/>
      <w:jc w:val="center"/>
      <w:rPr>
        <w:rFonts w:ascii="Times New Roman" w:hAnsi="Times New Roman" w:cs="Times New Roman"/>
      </w:rPr>
    </w:pPr>
    <w:r w:rsidRPr="00DE6677">
      <w:rPr>
        <w:rFonts w:ascii="Times New Roman" w:hAnsi="Times New Roman" w:cs="Times New Roman"/>
      </w:rPr>
      <w:fldChar w:fldCharType="begin"/>
    </w:r>
    <w:r w:rsidR="008F4B98" w:rsidRPr="00DE6677">
      <w:rPr>
        <w:rFonts w:ascii="Times New Roman" w:hAnsi="Times New Roman" w:cs="Times New Roman"/>
      </w:rPr>
      <w:instrText xml:space="preserve"> PAGE   \* MERGEFORMAT </w:instrText>
    </w:r>
    <w:r w:rsidRPr="00DE6677">
      <w:rPr>
        <w:rFonts w:ascii="Times New Roman" w:hAnsi="Times New Roman" w:cs="Times New Roman"/>
      </w:rPr>
      <w:fldChar w:fldCharType="separate"/>
    </w:r>
    <w:r w:rsidR="00512299">
      <w:rPr>
        <w:rFonts w:ascii="Times New Roman" w:hAnsi="Times New Roman" w:cs="Times New Roman"/>
        <w:noProof/>
      </w:rPr>
      <w:t>1</w:t>
    </w:r>
    <w:r w:rsidRPr="00DE6677">
      <w:rPr>
        <w:rFonts w:ascii="Times New Roman" w:hAnsi="Times New Roman" w:cs="Times New Roman"/>
        <w:noProof/>
      </w:rPr>
      <w:fldChar w:fldCharType="end"/>
    </w:r>
  </w:p>
  <w:p w14:paraId="5F0D8E59" w14:textId="77777777" w:rsidR="008F4B98" w:rsidRDefault="008F4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7C4C4" w14:textId="77777777" w:rsidR="007139E6" w:rsidRDefault="007139E6">
      <w:pPr>
        <w:spacing w:after="0" w:line="240" w:lineRule="auto"/>
      </w:pPr>
      <w:r>
        <w:separator/>
      </w:r>
    </w:p>
  </w:footnote>
  <w:footnote w:type="continuationSeparator" w:id="0">
    <w:p w14:paraId="175DC42F" w14:textId="77777777" w:rsidR="007139E6" w:rsidRDefault="00713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FDA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D232BC"/>
    <w:multiLevelType w:val="hybridMultilevel"/>
    <w:tmpl w:val="EADC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F681C"/>
    <w:multiLevelType w:val="hybridMultilevel"/>
    <w:tmpl w:val="1584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lla Maranion">
    <w15:presenceInfo w15:providerId="None" w15:userId="Bella Maran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216"/>
    <w:rsid w:val="000821AF"/>
    <w:rsid w:val="000A7870"/>
    <w:rsid w:val="000B03F8"/>
    <w:rsid w:val="000D0758"/>
    <w:rsid w:val="000E7A42"/>
    <w:rsid w:val="000F005C"/>
    <w:rsid w:val="000F6426"/>
    <w:rsid w:val="001D467F"/>
    <w:rsid w:val="00267A63"/>
    <w:rsid w:val="002A3216"/>
    <w:rsid w:val="003236F9"/>
    <w:rsid w:val="00356221"/>
    <w:rsid w:val="003C549D"/>
    <w:rsid w:val="00405E6E"/>
    <w:rsid w:val="0045392B"/>
    <w:rsid w:val="00492B57"/>
    <w:rsid w:val="004C549F"/>
    <w:rsid w:val="005121CC"/>
    <w:rsid w:val="00512299"/>
    <w:rsid w:val="00581DAE"/>
    <w:rsid w:val="005C550E"/>
    <w:rsid w:val="005E2EC8"/>
    <w:rsid w:val="00644AD8"/>
    <w:rsid w:val="006463B6"/>
    <w:rsid w:val="00656332"/>
    <w:rsid w:val="00665592"/>
    <w:rsid w:val="006864C7"/>
    <w:rsid w:val="006916F1"/>
    <w:rsid w:val="007139E6"/>
    <w:rsid w:val="00740297"/>
    <w:rsid w:val="00762631"/>
    <w:rsid w:val="007C308E"/>
    <w:rsid w:val="007C4FED"/>
    <w:rsid w:val="00832C17"/>
    <w:rsid w:val="00843A6C"/>
    <w:rsid w:val="0086570C"/>
    <w:rsid w:val="008764C8"/>
    <w:rsid w:val="00882AAA"/>
    <w:rsid w:val="008974A5"/>
    <w:rsid w:val="008F4B98"/>
    <w:rsid w:val="009117A2"/>
    <w:rsid w:val="00932280"/>
    <w:rsid w:val="009A230B"/>
    <w:rsid w:val="009A358F"/>
    <w:rsid w:val="009B5D9C"/>
    <w:rsid w:val="009B712F"/>
    <w:rsid w:val="00A017C7"/>
    <w:rsid w:val="00A32CB2"/>
    <w:rsid w:val="00A51398"/>
    <w:rsid w:val="00A703E5"/>
    <w:rsid w:val="00A7040A"/>
    <w:rsid w:val="00A9015F"/>
    <w:rsid w:val="00AE64CB"/>
    <w:rsid w:val="00AF67F0"/>
    <w:rsid w:val="00B8294B"/>
    <w:rsid w:val="00BB10B4"/>
    <w:rsid w:val="00BD1347"/>
    <w:rsid w:val="00BD3B40"/>
    <w:rsid w:val="00BE7B0F"/>
    <w:rsid w:val="00C32E95"/>
    <w:rsid w:val="00C34B00"/>
    <w:rsid w:val="00C357B8"/>
    <w:rsid w:val="00C53AC0"/>
    <w:rsid w:val="00D17BAB"/>
    <w:rsid w:val="00D43244"/>
    <w:rsid w:val="00DD113C"/>
    <w:rsid w:val="00DE6677"/>
    <w:rsid w:val="00E00663"/>
    <w:rsid w:val="00E54845"/>
    <w:rsid w:val="00E57B9C"/>
    <w:rsid w:val="00E67C74"/>
    <w:rsid w:val="00E755DF"/>
    <w:rsid w:val="00EB776C"/>
    <w:rsid w:val="00EC53EC"/>
    <w:rsid w:val="00ED42C4"/>
    <w:rsid w:val="00EE05F8"/>
    <w:rsid w:val="00F309B9"/>
    <w:rsid w:val="00F91033"/>
    <w:rsid w:val="00FD6602"/>
    <w:rsid w:val="00FE0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9D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53A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53AC0"/>
    <w:rPr>
      <w:rFonts w:ascii="Calibri" w:hAnsi="Calibri"/>
      <w:szCs w:val="21"/>
    </w:rPr>
  </w:style>
  <w:style w:type="character" w:styleId="Hyperlink">
    <w:name w:val="Hyperlink"/>
    <w:basedOn w:val="DefaultParagraphFont"/>
    <w:uiPriority w:val="99"/>
    <w:rsid w:val="00C53AC0"/>
    <w:rPr>
      <w:color w:val="0000FF"/>
      <w:u w:val="single"/>
    </w:rPr>
  </w:style>
  <w:style w:type="paragraph" w:styleId="ListParagraph">
    <w:name w:val="List Paragraph"/>
    <w:basedOn w:val="Normal"/>
    <w:uiPriority w:val="34"/>
    <w:qFormat/>
    <w:rsid w:val="00C53AC0"/>
    <w:pPr>
      <w:ind w:left="720"/>
      <w:contextualSpacing/>
    </w:pPr>
  </w:style>
  <w:style w:type="paragraph" w:styleId="Header">
    <w:name w:val="header"/>
    <w:basedOn w:val="Normal"/>
    <w:link w:val="HeaderChar"/>
    <w:uiPriority w:val="99"/>
    <w:rsid w:val="00C5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C0"/>
  </w:style>
  <w:style w:type="paragraph" w:styleId="Footer">
    <w:name w:val="footer"/>
    <w:basedOn w:val="Normal"/>
    <w:link w:val="FooterChar"/>
    <w:uiPriority w:val="99"/>
    <w:rsid w:val="00C5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C0"/>
  </w:style>
  <w:style w:type="paragraph" w:styleId="BalloonText">
    <w:name w:val="Balloon Text"/>
    <w:basedOn w:val="Normal"/>
    <w:link w:val="BalloonTextChar"/>
    <w:uiPriority w:val="99"/>
    <w:rsid w:val="00C53AC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C53AC0"/>
    <w:rPr>
      <w:rFonts w:ascii="Lucida Grande" w:hAnsi="Lucida Grande"/>
      <w:sz w:val="18"/>
      <w:szCs w:val="18"/>
    </w:rPr>
  </w:style>
  <w:style w:type="character" w:styleId="CommentReference">
    <w:name w:val="annotation reference"/>
    <w:basedOn w:val="DefaultParagraphFont"/>
    <w:uiPriority w:val="99"/>
    <w:rsid w:val="00C53AC0"/>
    <w:rPr>
      <w:sz w:val="18"/>
      <w:szCs w:val="18"/>
    </w:rPr>
  </w:style>
  <w:style w:type="paragraph" w:styleId="CommentText">
    <w:name w:val="annotation text"/>
    <w:basedOn w:val="Normal"/>
    <w:link w:val="CommentTextChar"/>
    <w:uiPriority w:val="99"/>
    <w:rsid w:val="00C53AC0"/>
    <w:pPr>
      <w:spacing w:line="240" w:lineRule="auto"/>
    </w:pPr>
    <w:rPr>
      <w:sz w:val="24"/>
      <w:szCs w:val="24"/>
    </w:rPr>
  </w:style>
  <w:style w:type="character" w:customStyle="1" w:styleId="CommentTextChar">
    <w:name w:val="Comment Text Char"/>
    <w:basedOn w:val="DefaultParagraphFont"/>
    <w:link w:val="CommentText"/>
    <w:uiPriority w:val="99"/>
    <w:rsid w:val="00C53AC0"/>
    <w:rPr>
      <w:sz w:val="24"/>
      <w:szCs w:val="24"/>
    </w:rPr>
  </w:style>
  <w:style w:type="paragraph" w:styleId="CommentSubject">
    <w:name w:val="annotation subject"/>
    <w:basedOn w:val="CommentText"/>
    <w:next w:val="CommentText"/>
    <w:link w:val="CommentSubjectChar"/>
    <w:uiPriority w:val="99"/>
    <w:rsid w:val="00C53AC0"/>
    <w:rPr>
      <w:b/>
      <w:bCs/>
      <w:sz w:val="20"/>
      <w:szCs w:val="20"/>
    </w:rPr>
  </w:style>
  <w:style w:type="character" w:customStyle="1" w:styleId="CommentSubjectChar">
    <w:name w:val="Comment Subject Char"/>
    <w:basedOn w:val="CommentTextChar"/>
    <w:link w:val="CommentSubject"/>
    <w:uiPriority w:val="99"/>
    <w:rsid w:val="00C53AC0"/>
    <w:rPr>
      <w:b/>
      <w:bCs/>
      <w:sz w:val="20"/>
      <w:szCs w:val="20"/>
    </w:rPr>
  </w:style>
  <w:style w:type="paragraph" w:styleId="Revision">
    <w:name w:val="Revision"/>
    <w:uiPriority w:val="99"/>
    <w:rsid w:val="00C53A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53A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53AC0"/>
    <w:rPr>
      <w:rFonts w:ascii="Calibri" w:hAnsi="Calibri"/>
      <w:szCs w:val="21"/>
    </w:rPr>
  </w:style>
  <w:style w:type="character" w:styleId="Hyperlink">
    <w:name w:val="Hyperlink"/>
    <w:basedOn w:val="DefaultParagraphFont"/>
    <w:uiPriority w:val="99"/>
    <w:rsid w:val="00C53AC0"/>
    <w:rPr>
      <w:color w:val="0000FF"/>
      <w:u w:val="single"/>
    </w:rPr>
  </w:style>
  <w:style w:type="paragraph" w:styleId="ListParagraph">
    <w:name w:val="List Paragraph"/>
    <w:basedOn w:val="Normal"/>
    <w:uiPriority w:val="34"/>
    <w:qFormat/>
    <w:rsid w:val="00C53AC0"/>
    <w:pPr>
      <w:ind w:left="720"/>
      <w:contextualSpacing/>
    </w:pPr>
  </w:style>
  <w:style w:type="paragraph" w:styleId="Header">
    <w:name w:val="header"/>
    <w:basedOn w:val="Normal"/>
    <w:link w:val="HeaderChar"/>
    <w:uiPriority w:val="99"/>
    <w:rsid w:val="00C5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C0"/>
  </w:style>
  <w:style w:type="paragraph" w:styleId="Footer">
    <w:name w:val="footer"/>
    <w:basedOn w:val="Normal"/>
    <w:link w:val="FooterChar"/>
    <w:uiPriority w:val="99"/>
    <w:rsid w:val="00C5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C0"/>
  </w:style>
  <w:style w:type="paragraph" w:styleId="BalloonText">
    <w:name w:val="Balloon Text"/>
    <w:basedOn w:val="Normal"/>
    <w:link w:val="BalloonTextChar"/>
    <w:uiPriority w:val="99"/>
    <w:rsid w:val="00C53AC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C53AC0"/>
    <w:rPr>
      <w:rFonts w:ascii="Lucida Grande" w:hAnsi="Lucida Grande"/>
      <w:sz w:val="18"/>
      <w:szCs w:val="18"/>
    </w:rPr>
  </w:style>
  <w:style w:type="character" w:styleId="CommentReference">
    <w:name w:val="annotation reference"/>
    <w:basedOn w:val="DefaultParagraphFont"/>
    <w:uiPriority w:val="99"/>
    <w:rsid w:val="00C53AC0"/>
    <w:rPr>
      <w:sz w:val="18"/>
      <w:szCs w:val="18"/>
    </w:rPr>
  </w:style>
  <w:style w:type="paragraph" w:styleId="CommentText">
    <w:name w:val="annotation text"/>
    <w:basedOn w:val="Normal"/>
    <w:link w:val="CommentTextChar"/>
    <w:uiPriority w:val="99"/>
    <w:rsid w:val="00C53AC0"/>
    <w:pPr>
      <w:spacing w:line="240" w:lineRule="auto"/>
    </w:pPr>
    <w:rPr>
      <w:sz w:val="24"/>
      <w:szCs w:val="24"/>
    </w:rPr>
  </w:style>
  <w:style w:type="character" w:customStyle="1" w:styleId="CommentTextChar">
    <w:name w:val="Comment Text Char"/>
    <w:basedOn w:val="DefaultParagraphFont"/>
    <w:link w:val="CommentText"/>
    <w:uiPriority w:val="99"/>
    <w:rsid w:val="00C53AC0"/>
    <w:rPr>
      <w:sz w:val="24"/>
      <w:szCs w:val="24"/>
    </w:rPr>
  </w:style>
  <w:style w:type="paragraph" w:styleId="CommentSubject">
    <w:name w:val="annotation subject"/>
    <w:basedOn w:val="CommentText"/>
    <w:next w:val="CommentText"/>
    <w:link w:val="CommentSubjectChar"/>
    <w:uiPriority w:val="99"/>
    <w:rsid w:val="00C53AC0"/>
    <w:rPr>
      <w:b/>
      <w:bCs/>
      <w:sz w:val="20"/>
      <w:szCs w:val="20"/>
    </w:rPr>
  </w:style>
  <w:style w:type="character" w:customStyle="1" w:styleId="CommentSubjectChar">
    <w:name w:val="Comment Subject Char"/>
    <w:basedOn w:val="CommentTextChar"/>
    <w:link w:val="CommentSubject"/>
    <w:uiPriority w:val="99"/>
    <w:rsid w:val="00C53AC0"/>
    <w:rPr>
      <w:b/>
      <w:bCs/>
      <w:sz w:val="20"/>
      <w:szCs w:val="20"/>
    </w:rPr>
  </w:style>
  <w:style w:type="paragraph" w:styleId="Revision">
    <w:name w:val="Revision"/>
    <w:uiPriority w:val="99"/>
    <w:rsid w:val="00C53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35892">
      <w:bodyDiv w:val="1"/>
      <w:marLeft w:val="0"/>
      <w:marRight w:val="0"/>
      <w:marTop w:val="0"/>
      <w:marBottom w:val="0"/>
      <w:divBdr>
        <w:top w:val="none" w:sz="0" w:space="0" w:color="auto"/>
        <w:left w:val="none" w:sz="0" w:space="0" w:color="auto"/>
        <w:bottom w:val="none" w:sz="0" w:space="0" w:color="auto"/>
        <w:right w:val="none" w:sz="0" w:space="0" w:color="auto"/>
      </w:divBdr>
    </w:div>
    <w:div w:id="12197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zone.unep.org/en/teap-experts-required"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B4650E69755439E7EB1146A51943C" ma:contentTypeVersion="" ma:contentTypeDescription="Create a new document." ma:contentTypeScope="" ma:versionID="abd422df42fa93a44e0042f91e284d2f">
  <xsd:schema xmlns:xsd="http://www.w3.org/2001/XMLSchema" xmlns:xs="http://www.w3.org/2001/XMLSchema" xmlns:p="http://schemas.microsoft.com/office/2006/metadata/properties" xmlns:ns2="8C2B593D-D3B5-43DC-BA03-DC0668698BC4" xmlns:ns3="8c2b593d-d3b5-43dc-ba03-dc0668698bc4" targetNamespace="http://schemas.microsoft.com/office/2006/metadata/properties" ma:root="true" ma:fieldsID="a30445839ac9fd435c3c1daec0d31f6e" ns2:_="" ns3:_="">
    <xsd:import namespace="8C2B593D-D3B5-43DC-BA03-DC0668698BC4"/>
    <xsd:import namespace="8c2b593d-d3b5-43dc-ba03-dc0668698bc4"/>
    <xsd:element name="properties">
      <xsd:complexType>
        <xsd:sequence>
          <xsd:element name="documentManagement">
            <xsd:complexType>
              <xsd:all>
                <xsd:element ref="ns2:Document_x0020_Symbol" minOccurs="0"/>
                <xsd:element ref="ns3:order0" minOccurs="0"/>
                <xsd:element ref="ns3:Rema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B593D-D3B5-43DC-BA03-DC0668698BC4" elementFormDefault="qualified">
    <xsd:import namespace="http://schemas.microsoft.com/office/2006/documentManagement/types"/>
    <xsd:import namespace="http://schemas.microsoft.com/office/infopath/2007/PartnerControls"/>
    <xsd:element name="Document_x0020_Symbol" ma:index="8" nillable="true"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593d-d3b5-43dc-ba03-dc0668698bc4"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element name="Remark" ma:index="10" nillable="true" ma:displayName="Remark" ma:internalName="Remar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8C2B593D-D3B5-43DC-BA03-DC0668698BC4">TEAP</Document_x0020_Symbol>
    <order0 xmlns="8c2b593d-d3b5-43dc-ba03-dc0668698bc4" xsi:nil="true"/>
    <Remark xmlns="8c2b593d-d3b5-43dc-ba03-dc0668698bc4" xsi:nil="true"/>
  </documentManagement>
</p:properties>
</file>

<file path=customXml/itemProps1.xml><?xml version="1.0" encoding="utf-8"?>
<ds:datastoreItem xmlns:ds="http://schemas.openxmlformats.org/officeDocument/2006/customXml" ds:itemID="{5D9DC6D9-DCBA-4FF9-BBC0-A67DBBE6EF1C}"/>
</file>

<file path=customXml/itemProps2.xml><?xml version="1.0" encoding="utf-8"?>
<ds:datastoreItem xmlns:ds="http://schemas.openxmlformats.org/officeDocument/2006/customXml" ds:itemID="{E9FE8CC5-8ACA-49BC-824C-4B5EB97BBDF0}"/>
</file>

<file path=customXml/itemProps3.xml><?xml version="1.0" encoding="utf-8"?>
<ds:datastoreItem xmlns:ds="http://schemas.openxmlformats.org/officeDocument/2006/customXml" ds:itemID="{D6D38AF3-9368-4691-93AF-9F4E6E88E0DF}"/>
</file>

<file path=customXml/itemProps4.xml><?xml version="1.0" encoding="utf-8"?>
<ds:datastoreItem xmlns:ds="http://schemas.openxmlformats.org/officeDocument/2006/customXml" ds:itemID="{FE5D0E18-7251-41A3-8493-AD6091EC86A0}"/>
</file>

<file path=docProps/app.xml><?xml version="1.0" encoding="utf-8"?>
<Properties xmlns="http://schemas.openxmlformats.org/officeDocument/2006/extended-properties" xmlns:vt="http://schemas.openxmlformats.org/officeDocument/2006/docPropsVTypes">
  <Template>Normal.dotm</Template>
  <TotalTime>1</TotalTime>
  <Pages>5</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June 2015 TEAP Report: Volume 1, Progress Report</dc:title>
  <dc:creator>Dan Verdonik</dc:creator>
  <cp:lastModifiedBy>Martha Adila</cp:lastModifiedBy>
  <cp:revision>2</cp:revision>
  <dcterms:created xsi:type="dcterms:W3CDTF">2015-09-30T11:54:00Z</dcterms:created>
  <dcterms:modified xsi:type="dcterms:W3CDTF">2015-09-30T11:54:00Z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0x010100288B4650E69755439E7EB1146A51943C</vt:lpwstr>
  </property>
</Properties>
</file>