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1536"/>
        <w:gridCol w:w="4283"/>
        <w:gridCol w:w="3894"/>
      </w:tblGrid>
      <w:tr w:rsidR="00D4321A" w:rsidRPr="00086A97" w14:paraId="16DB3C77" w14:textId="77777777" w:rsidTr="004873D3">
        <w:trPr>
          <w:cantSplit/>
          <w:trHeight w:val="850"/>
          <w:jc w:val="right"/>
        </w:trPr>
        <w:tc>
          <w:tcPr>
            <w:tcW w:w="1536" w:type="dxa"/>
          </w:tcPr>
          <w:p w14:paraId="2A2EC417" w14:textId="77777777" w:rsidR="00D4321A" w:rsidRPr="00086A97" w:rsidRDefault="00D4321A" w:rsidP="00D4321A">
            <w:pPr>
              <w:rPr>
                <w:rFonts w:ascii="Univers" w:hAnsi="Univers"/>
                <w:b/>
                <w:sz w:val="27"/>
                <w:lang w:val="en-GB"/>
              </w:rPr>
            </w:pPr>
            <w:r w:rsidRPr="00086A97">
              <w:rPr>
                <w:rFonts w:ascii="Arial" w:hAnsi="Arial" w:cs="Arial"/>
                <w:b/>
                <w:sz w:val="27"/>
                <w:lang w:val="en-GB"/>
              </w:rPr>
              <w:t xml:space="preserve">UNITED </w:t>
            </w:r>
            <w:r w:rsidRPr="00086A97">
              <w:rPr>
                <w:rFonts w:ascii="Arial" w:hAnsi="Arial" w:cs="Arial"/>
                <w:b/>
                <w:sz w:val="27"/>
                <w:lang w:val="en-GB"/>
              </w:rPr>
              <w:br/>
              <w:t>NATIONS</w:t>
            </w:r>
          </w:p>
        </w:tc>
        <w:tc>
          <w:tcPr>
            <w:tcW w:w="4283" w:type="dxa"/>
          </w:tcPr>
          <w:p w14:paraId="5F2568AA" w14:textId="77777777" w:rsidR="00D4321A" w:rsidRPr="00086A97" w:rsidRDefault="00D4321A" w:rsidP="00D4321A">
            <w:pPr>
              <w:rPr>
                <w:rFonts w:ascii="Univers" w:hAnsi="Univers"/>
                <w:b/>
                <w:sz w:val="27"/>
                <w:lang w:val="en-GB"/>
              </w:rPr>
            </w:pPr>
          </w:p>
        </w:tc>
        <w:tc>
          <w:tcPr>
            <w:tcW w:w="3894" w:type="dxa"/>
          </w:tcPr>
          <w:p w14:paraId="392D3872" w14:textId="77777777" w:rsidR="00D4321A" w:rsidRPr="00086A97" w:rsidRDefault="00D4321A" w:rsidP="00D4321A">
            <w:pPr>
              <w:jc w:val="right"/>
              <w:rPr>
                <w:rFonts w:ascii="Arial" w:hAnsi="Arial" w:cs="Arial"/>
                <w:b/>
                <w:sz w:val="64"/>
                <w:szCs w:val="64"/>
                <w:lang w:val="en-GB"/>
              </w:rPr>
            </w:pPr>
            <w:r w:rsidRPr="00086A97">
              <w:rPr>
                <w:rFonts w:ascii="Arial" w:hAnsi="Arial" w:cs="Arial"/>
                <w:b/>
                <w:sz w:val="64"/>
                <w:szCs w:val="64"/>
                <w:lang w:val="en-GB"/>
              </w:rPr>
              <w:t>EP</w:t>
            </w:r>
          </w:p>
        </w:tc>
      </w:tr>
      <w:tr w:rsidR="00D4321A" w:rsidRPr="00086A97" w14:paraId="692E5C7F" w14:textId="77777777" w:rsidTr="004873D3">
        <w:trPr>
          <w:cantSplit/>
          <w:trHeight w:val="281"/>
          <w:jc w:val="right"/>
        </w:trPr>
        <w:tc>
          <w:tcPr>
            <w:tcW w:w="1536" w:type="dxa"/>
            <w:tcBorders>
              <w:bottom w:val="single" w:sz="4" w:space="0" w:color="auto"/>
            </w:tcBorders>
          </w:tcPr>
          <w:p w14:paraId="73AB6CE8" w14:textId="77777777" w:rsidR="00D4321A" w:rsidRPr="00086A97" w:rsidRDefault="00D4321A" w:rsidP="00D4321A">
            <w:pPr>
              <w:rPr>
                <w:sz w:val="18"/>
                <w:lang w:val="en-GB"/>
              </w:rPr>
            </w:pPr>
          </w:p>
        </w:tc>
        <w:tc>
          <w:tcPr>
            <w:tcW w:w="4283" w:type="dxa"/>
            <w:tcBorders>
              <w:bottom w:val="single" w:sz="4" w:space="0" w:color="auto"/>
            </w:tcBorders>
          </w:tcPr>
          <w:p w14:paraId="127DEBA8" w14:textId="77777777" w:rsidR="00D4321A" w:rsidRPr="00086A97" w:rsidRDefault="00D4321A" w:rsidP="00D4321A">
            <w:pPr>
              <w:rPr>
                <w:rFonts w:ascii="Univers" w:hAnsi="Univers"/>
                <w:b/>
                <w:sz w:val="18"/>
                <w:lang w:val="en-GB"/>
              </w:rPr>
            </w:pPr>
          </w:p>
        </w:tc>
        <w:tc>
          <w:tcPr>
            <w:tcW w:w="3894" w:type="dxa"/>
            <w:tcBorders>
              <w:bottom w:val="single" w:sz="4" w:space="0" w:color="auto"/>
            </w:tcBorders>
          </w:tcPr>
          <w:p w14:paraId="03C64AC0" w14:textId="4E1F9E2D" w:rsidR="00D4321A" w:rsidRPr="00086A97" w:rsidRDefault="00D4321A" w:rsidP="007E7EB7">
            <w:pPr>
              <w:rPr>
                <w:sz w:val="20"/>
                <w:lang w:val="en-GB"/>
              </w:rPr>
            </w:pPr>
            <w:r w:rsidRPr="00E03C1E">
              <w:rPr>
                <w:b/>
                <w:sz w:val="28"/>
                <w:szCs w:val="28"/>
                <w:lang w:val="en-GB"/>
              </w:rPr>
              <w:t>UNEP</w:t>
            </w:r>
            <w:r w:rsidRPr="00086A97">
              <w:rPr>
                <w:sz w:val="20"/>
                <w:lang w:val="en-GB"/>
              </w:rPr>
              <w:t>/OzL.Pro.WG.1/</w:t>
            </w:r>
            <w:r w:rsidR="0077674A" w:rsidRPr="00086A97">
              <w:rPr>
                <w:sz w:val="20"/>
                <w:lang w:val="en-GB"/>
              </w:rPr>
              <w:t>3</w:t>
            </w:r>
            <w:r w:rsidR="004873D3" w:rsidRPr="00086A97">
              <w:rPr>
                <w:sz w:val="20"/>
                <w:lang w:val="en-GB"/>
              </w:rPr>
              <w:t>8</w:t>
            </w:r>
            <w:r w:rsidRPr="00086A97">
              <w:rPr>
                <w:sz w:val="20"/>
                <w:lang w:val="en-GB"/>
              </w:rPr>
              <w:t>/</w:t>
            </w:r>
            <w:r w:rsidR="0006314E" w:rsidRPr="00086A97">
              <w:rPr>
                <w:sz w:val="20"/>
                <w:lang w:val="en-GB"/>
              </w:rPr>
              <w:t>8</w:t>
            </w:r>
          </w:p>
        </w:tc>
      </w:tr>
      <w:tr w:rsidR="00D4321A" w:rsidRPr="00B035ED" w14:paraId="527B731C" w14:textId="77777777" w:rsidTr="004873D3">
        <w:trPr>
          <w:cantSplit/>
          <w:trHeight w:val="2549"/>
          <w:jc w:val="right"/>
        </w:trPr>
        <w:tc>
          <w:tcPr>
            <w:tcW w:w="1536" w:type="dxa"/>
            <w:tcBorders>
              <w:top w:val="single" w:sz="4" w:space="0" w:color="auto"/>
              <w:bottom w:val="single" w:sz="24" w:space="0" w:color="auto"/>
            </w:tcBorders>
          </w:tcPr>
          <w:p w14:paraId="329F6F8B" w14:textId="5DBCFA0D" w:rsidR="00D4321A" w:rsidRPr="00086A97" w:rsidRDefault="002A5BC6" w:rsidP="00D4321A">
            <w:pPr>
              <w:rPr>
                <w:lang w:val="en-GB"/>
              </w:rPr>
            </w:pPr>
            <w:r>
              <w:rPr>
                <w:lang w:val="en-GB"/>
              </w:rPr>
              <w:pict w14:anchorId="7B26E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63pt" fillcolor="window">
                  <v:imagedata r:id="rId21" o:title=""/>
                </v:shape>
              </w:pict>
            </w:r>
            <w:r w:rsidR="00030B5B" w:rsidRPr="00E03C1E">
              <w:rPr>
                <w:noProof/>
                <w:lang w:val="en-GB" w:eastAsia="en-GB"/>
              </w:rPr>
              <w:drawing>
                <wp:inline distT="0" distB="0" distL="0" distR="0" wp14:anchorId="11050CCB" wp14:editId="09C88C16">
                  <wp:extent cx="723900" cy="762000"/>
                  <wp:effectExtent l="0" t="0" r="0" b="0"/>
                  <wp:docPr id="2" name="Picture 2" descr="Description: Description: 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E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tc>
        <w:tc>
          <w:tcPr>
            <w:tcW w:w="4283" w:type="dxa"/>
            <w:tcBorders>
              <w:top w:val="single" w:sz="4" w:space="0" w:color="auto"/>
              <w:bottom w:val="single" w:sz="24" w:space="0" w:color="auto"/>
            </w:tcBorders>
          </w:tcPr>
          <w:p w14:paraId="2987078E" w14:textId="77777777" w:rsidR="00D4321A" w:rsidRPr="00086A97" w:rsidRDefault="00D4321A" w:rsidP="00D4321A">
            <w:pPr>
              <w:spacing w:before="1400"/>
              <w:rPr>
                <w:rFonts w:ascii="Univers" w:hAnsi="Univers"/>
                <w:b/>
                <w:sz w:val="28"/>
                <w:lang w:val="en-GB"/>
              </w:rPr>
            </w:pPr>
            <w:r w:rsidRPr="00086A97">
              <w:rPr>
                <w:rFonts w:ascii="Arial" w:hAnsi="Arial" w:cs="Arial"/>
                <w:b/>
                <w:sz w:val="28"/>
                <w:szCs w:val="28"/>
                <w:lang w:val="en-GB"/>
              </w:rPr>
              <w:t xml:space="preserve">United Nations </w:t>
            </w:r>
            <w:r w:rsidRPr="00086A97">
              <w:rPr>
                <w:rFonts w:ascii="Arial" w:hAnsi="Arial" w:cs="Arial"/>
                <w:b/>
                <w:sz w:val="28"/>
                <w:szCs w:val="28"/>
                <w:lang w:val="en-GB"/>
              </w:rPr>
              <w:br/>
              <w:t xml:space="preserve">Environment </w:t>
            </w:r>
            <w:r w:rsidRPr="00086A97">
              <w:rPr>
                <w:rFonts w:ascii="Arial" w:hAnsi="Arial" w:cs="Arial"/>
                <w:b/>
                <w:sz w:val="28"/>
                <w:szCs w:val="28"/>
                <w:lang w:val="en-GB"/>
              </w:rPr>
              <w:br/>
              <w:t>Programme</w:t>
            </w:r>
          </w:p>
        </w:tc>
        <w:tc>
          <w:tcPr>
            <w:tcW w:w="3894" w:type="dxa"/>
            <w:tcBorders>
              <w:top w:val="single" w:sz="4" w:space="0" w:color="auto"/>
              <w:bottom w:val="single" w:sz="24" w:space="0" w:color="auto"/>
            </w:tcBorders>
          </w:tcPr>
          <w:p w14:paraId="3C39A72E" w14:textId="3E375385" w:rsidR="00D4321A" w:rsidRPr="00086A97" w:rsidRDefault="00D4321A" w:rsidP="00D4321A">
            <w:pPr>
              <w:spacing w:before="120"/>
              <w:rPr>
                <w:sz w:val="20"/>
                <w:lang w:val="en-GB"/>
              </w:rPr>
            </w:pPr>
            <w:r w:rsidRPr="00086A97">
              <w:rPr>
                <w:sz w:val="20"/>
                <w:lang w:val="en-GB"/>
              </w:rPr>
              <w:t>Distr.:</w:t>
            </w:r>
            <w:r w:rsidR="00D2225C" w:rsidRPr="00086A97">
              <w:rPr>
                <w:sz w:val="20"/>
                <w:lang w:val="en-GB"/>
              </w:rPr>
              <w:t xml:space="preserve"> </w:t>
            </w:r>
            <w:r w:rsidR="00E253FF" w:rsidRPr="00086A97">
              <w:rPr>
                <w:sz w:val="20"/>
                <w:lang w:val="en-GB"/>
              </w:rPr>
              <w:t>General</w:t>
            </w:r>
            <w:r w:rsidRPr="00086A97">
              <w:rPr>
                <w:sz w:val="20"/>
                <w:lang w:val="en-GB"/>
              </w:rPr>
              <w:br/>
            </w:r>
            <w:r w:rsidR="00453B2A" w:rsidRPr="00086A97">
              <w:rPr>
                <w:sz w:val="20"/>
                <w:lang w:val="en-GB"/>
              </w:rPr>
              <w:t>5</w:t>
            </w:r>
            <w:r w:rsidR="000B74B9" w:rsidRPr="00086A97">
              <w:rPr>
                <w:sz w:val="20"/>
                <w:lang w:val="en-GB"/>
              </w:rPr>
              <w:t xml:space="preserve"> </w:t>
            </w:r>
            <w:r w:rsidR="00186E4A" w:rsidRPr="00086A97">
              <w:rPr>
                <w:sz w:val="20"/>
                <w:lang w:val="en-GB"/>
              </w:rPr>
              <w:t xml:space="preserve">August </w:t>
            </w:r>
            <w:r w:rsidR="000B74B9" w:rsidRPr="00086A97">
              <w:rPr>
                <w:sz w:val="20"/>
                <w:lang w:val="en-GB"/>
              </w:rPr>
              <w:t>2016</w:t>
            </w:r>
          </w:p>
          <w:p w14:paraId="0ACF6C53" w14:textId="77777777" w:rsidR="00D4321A" w:rsidRPr="00086A97" w:rsidRDefault="00D4321A" w:rsidP="00A36290">
            <w:pPr>
              <w:spacing w:before="120"/>
              <w:rPr>
                <w:lang w:val="en-GB"/>
              </w:rPr>
            </w:pPr>
            <w:r w:rsidRPr="00086A97">
              <w:rPr>
                <w:sz w:val="20"/>
                <w:lang w:val="en-GB"/>
              </w:rPr>
              <w:t>Original: English</w:t>
            </w:r>
          </w:p>
        </w:tc>
      </w:tr>
    </w:tbl>
    <w:p w14:paraId="5409150A" w14:textId="77777777" w:rsidR="004873D3" w:rsidRPr="00086A97" w:rsidRDefault="004873D3" w:rsidP="004873D3">
      <w:pPr>
        <w:pStyle w:val="AATitle"/>
        <w:keepNext w:val="0"/>
        <w:keepLines w:val="0"/>
        <w:rPr>
          <w:sz w:val="20"/>
          <w:szCs w:val="20"/>
          <w:lang w:val="en-GB"/>
        </w:rPr>
      </w:pPr>
      <w:r w:rsidRPr="00086A97">
        <w:rPr>
          <w:sz w:val="20"/>
          <w:szCs w:val="20"/>
          <w:lang w:val="en-GB"/>
        </w:rPr>
        <w:t xml:space="preserve">Open-ended Working Group of the Parties to </w:t>
      </w:r>
      <w:r w:rsidRPr="00086A97">
        <w:rPr>
          <w:sz w:val="20"/>
          <w:szCs w:val="20"/>
          <w:lang w:val="en-GB"/>
        </w:rPr>
        <w:br/>
        <w:t xml:space="preserve">the Montreal Protocol on Substances that </w:t>
      </w:r>
      <w:r w:rsidRPr="00086A97">
        <w:rPr>
          <w:sz w:val="20"/>
          <w:szCs w:val="20"/>
          <w:lang w:val="en-GB"/>
        </w:rPr>
        <w:br/>
        <w:t>Deplete the Ozone Layer</w:t>
      </w:r>
    </w:p>
    <w:p w14:paraId="7B79064F" w14:textId="77777777" w:rsidR="004873D3" w:rsidRPr="00086A97" w:rsidRDefault="004873D3" w:rsidP="004873D3">
      <w:pPr>
        <w:pStyle w:val="AATitle"/>
        <w:keepNext w:val="0"/>
        <w:keepLines w:val="0"/>
        <w:rPr>
          <w:sz w:val="20"/>
          <w:szCs w:val="20"/>
          <w:lang w:val="en-GB"/>
        </w:rPr>
      </w:pPr>
      <w:r w:rsidRPr="00086A97">
        <w:rPr>
          <w:sz w:val="20"/>
          <w:szCs w:val="20"/>
          <w:lang w:val="en-GB"/>
        </w:rPr>
        <w:t>Thirty-eighth meeting</w:t>
      </w:r>
    </w:p>
    <w:p w14:paraId="6CF3F131" w14:textId="29B78305" w:rsidR="004873D3" w:rsidRPr="00086A97" w:rsidRDefault="004873D3" w:rsidP="004873D3">
      <w:pPr>
        <w:pStyle w:val="AATitle"/>
        <w:keepNext w:val="0"/>
        <w:keepLines w:val="0"/>
        <w:rPr>
          <w:b w:val="0"/>
          <w:sz w:val="20"/>
          <w:szCs w:val="20"/>
          <w:lang w:val="en-GB"/>
        </w:rPr>
      </w:pPr>
      <w:r w:rsidRPr="00086A97">
        <w:rPr>
          <w:b w:val="0"/>
          <w:sz w:val="20"/>
          <w:szCs w:val="20"/>
          <w:lang w:val="en-GB"/>
        </w:rPr>
        <w:t>Vienna</w:t>
      </w:r>
      <w:r w:rsidR="00A40F09">
        <w:rPr>
          <w:b w:val="0"/>
          <w:sz w:val="20"/>
          <w:szCs w:val="20"/>
          <w:lang w:val="en-GB"/>
        </w:rPr>
        <w:t>,</w:t>
      </w:r>
      <w:r w:rsidRPr="00086A97">
        <w:rPr>
          <w:b w:val="0"/>
          <w:sz w:val="20"/>
          <w:szCs w:val="20"/>
          <w:lang w:val="en-GB"/>
        </w:rPr>
        <w:t xml:space="preserve"> 18–21 July 2016</w:t>
      </w:r>
    </w:p>
    <w:p w14:paraId="3281E414" w14:textId="18280AF7" w:rsidR="00CD0B5E" w:rsidRPr="00086A97" w:rsidRDefault="00E253FF" w:rsidP="00CD0B5E">
      <w:pPr>
        <w:pStyle w:val="BBTitle"/>
        <w:keepNext w:val="0"/>
        <w:keepLines w:val="0"/>
        <w:rPr>
          <w:lang w:val="en-GB"/>
        </w:rPr>
      </w:pPr>
      <w:r w:rsidRPr="00086A97">
        <w:rPr>
          <w:lang w:val="en-GB"/>
        </w:rPr>
        <w:t>R</w:t>
      </w:r>
      <w:r w:rsidR="00CD0B5E" w:rsidRPr="00086A97">
        <w:rPr>
          <w:lang w:val="en-GB"/>
        </w:rPr>
        <w:t>eport of the thirty-</w:t>
      </w:r>
      <w:r w:rsidR="004873D3" w:rsidRPr="00086A97">
        <w:rPr>
          <w:lang w:val="en-GB"/>
        </w:rPr>
        <w:t>eigh</w:t>
      </w:r>
      <w:r w:rsidR="00CD0B5E" w:rsidRPr="00086A97">
        <w:rPr>
          <w:lang w:val="en-GB"/>
        </w:rPr>
        <w:t xml:space="preserve">th meeting of the Open-ended Working Group of the </w:t>
      </w:r>
      <w:r w:rsidR="00CD0B5E" w:rsidRPr="002A5BC6">
        <w:rPr>
          <w:color w:val="000000" w:themeColor="text1"/>
          <w:lang w:val="en-GB"/>
        </w:rPr>
        <w:t xml:space="preserve">Parties to the </w:t>
      </w:r>
      <w:r w:rsidR="00CD0B5E" w:rsidRPr="00086A97">
        <w:rPr>
          <w:lang w:val="en-GB"/>
        </w:rPr>
        <w:t>Montreal Protocol on Substances that Deplete the Ozone Layer</w:t>
      </w:r>
    </w:p>
    <w:p w14:paraId="05FD54A0" w14:textId="77777777" w:rsidR="00D4321A" w:rsidRPr="00086A97" w:rsidRDefault="00CD0B5E" w:rsidP="00CD0B5E">
      <w:pPr>
        <w:pStyle w:val="CH1"/>
        <w:keepNext w:val="0"/>
        <w:keepLines w:val="0"/>
        <w:rPr>
          <w:lang w:val="en-GB"/>
        </w:rPr>
      </w:pPr>
      <w:r w:rsidRPr="00086A97">
        <w:rPr>
          <w:lang w:val="en-GB"/>
        </w:rPr>
        <w:tab/>
        <w:t>I.</w:t>
      </w:r>
      <w:r w:rsidRPr="00086A97">
        <w:rPr>
          <w:lang w:val="en-GB"/>
        </w:rPr>
        <w:tab/>
      </w:r>
      <w:r w:rsidR="00D4321A" w:rsidRPr="00086A97">
        <w:rPr>
          <w:lang w:val="en-GB"/>
        </w:rPr>
        <w:t>Opening of the meeting</w:t>
      </w:r>
      <w:bookmarkStart w:id="0" w:name="_GoBack"/>
      <w:bookmarkEnd w:id="0"/>
    </w:p>
    <w:p w14:paraId="2F7CDDA0" w14:textId="6203E78D" w:rsidR="007872E0" w:rsidRPr="00086A97" w:rsidRDefault="007872E0" w:rsidP="00A30032">
      <w:pPr>
        <w:pStyle w:val="Normalnumber"/>
        <w:ind w:left="1247" w:firstLine="0"/>
        <w:rPr>
          <w:lang w:val="en-GB"/>
        </w:rPr>
      </w:pPr>
      <w:r w:rsidRPr="00086A97">
        <w:rPr>
          <w:lang w:val="en-GB"/>
        </w:rPr>
        <w:t>The thirty-</w:t>
      </w:r>
      <w:r w:rsidR="004873D3" w:rsidRPr="00086A97">
        <w:rPr>
          <w:lang w:val="en-GB"/>
        </w:rPr>
        <w:t>eigh</w:t>
      </w:r>
      <w:r w:rsidRPr="00086A97">
        <w:rPr>
          <w:lang w:val="en-GB"/>
        </w:rPr>
        <w:t xml:space="preserve">th meeting of the Open-ended Working Group </w:t>
      </w:r>
      <w:r w:rsidR="00E80424" w:rsidRPr="00086A97">
        <w:rPr>
          <w:lang w:val="en-GB"/>
        </w:rPr>
        <w:t xml:space="preserve">of the Parties to the Montreal Protocol on Substances that Deplete the Ozone Layer </w:t>
      </w:r>
      <w:r w:rsidRPr="00086A97">
        <w:rPr>
          <w:lang w:val="en-GB"/>
        </w:rPr>
        <w:t xml:space="preserve">was held at the </w:t>
      </w:r>
      <w:r w:rsidR="00A44AFF" w:rsidRPr="00086A97">
        <w:rPr>
          <w:lang w:val="en-GB"/>
        </w:rPr>
        <w:t>Vienna</w:t>
      </w:r>
      <w:r w:rsidR="00156357" w:rsidRPr="00086A97">
        <w:rPr>
          <w:lang w:val="en-GB"/>
        </w:rPr>
        <w:t> </w:t>
      </w:r>
      <w:r w:rsidR="00A44AFF" w:rsidRPr="00086A97">
        <w:rPr>
          <w:lang w:val="en-GB"/>
        </w:rPr>
        <w:t>International Centre</w:t>
      </w:r>
      <w:r w:rsidR="004873D3" w:rsidRPr="00086A97">
        <w:rPr>
          <w:lang w:val="en-GB"/>
        </w:rPr>
        <w:t>, Vienna</w:t>
      </w:r>
      <w:r w:rsidR="00A4761B" w:rsidRPr="00086A97">
        <w:rPr>
          <w:lang w:val="en-GB"/>
        </w:rPr>
        <w:t>,</w:t>
      </w:r>
      <w:r w:rsidR="004873D3" w:rsidRPr="00086A97">
        <w:rPr>
          <w:lang w:val="en-GB"/>
        </w:rPr>
        <w:t xml:space="preserve"> from 1</w:t>
      </w:r>
      <w:r w:rsidR="00A4761B" w:rsidRPr="00086A97">
        <w:rPr>
          <w:lang w:val="en-GB"/>
        </w:rPr>
        <w:t xml:space="preserve">8 to </w:t>
      </w:r>
      <w:r w:rsidR="004873D3" w:rsidRPr="00086A97">
        <w:rPr>
          <w:lang w:val="en-GB"/>
        </w:rPr>
        <w:t>21 July 2016.</w:t>
      </w:r>
      <w:r w:rsidRPr="00086A97">
        <w:rPr>
          <w:lang w:val="en-GB"/>
        </w:rPr>
        <w:t xml:space="preserve"> The meeting was co</w:t>
      </w:r>
      <w:r w:rsidRPr="00086A97">
        <w:rPr>
          <w:lang w:val="en-GB"/>
        </w:rPr>
        <w:noBreakHyphen/>
        <w:t xml:space="preserve">chaired by </w:t>
      </w:r>
      <w:proofErr w:type="spellStart"/>
      <w:r w:rsidRPr="00086A97">
        <w:rPr>
          <w:lang w:val="en-GB"/>
        </w:rPr>
        <w:t>Mr.</w:t>
      </w:r>
      <w:proofErr w:type="spellEnd"/>
      <w:r w:rsidRPr="00086A97">
        <w:rPr>
          <w:lang w:val="en-GB"/>
        </w:rPr>
        <w:t> </w:t>
      </w:r>
      <w:r w:rsidR="007B43A9" w:rsidRPr="00086A97">
        <w:rPr>
          <w:lang w:val="en-GB"/>
        </w:rPr>
        <w:t>Paul</w:t>
      </w:r>
      <w:r w:rsidR="006F7035" w:rsidRPr="00086A97">
        <w:rPr>
          <w:lang w:val="en-GB"/>
        </w:rPr>
        <w:t> </w:t>
      </w:r>
      <w:proofErr w:type="spellStart"/>
      <w:r w:rsidR="007B43A9" w:rsidRPr="00086A97">
        <w:rPr>
          <w:lang w:val="en-GB"/>
        </w:rPr>
        <w:t>Krajnik</w:t>
      </w:r>
      <w:proofErr w:type="spellEnd"/>
      <w:r w:rsidRPr="00086A97">
        <w:rPr>
          <w:lang w:val="en-GB"/>
        </w:rPr>
        <w:t xml:space="preserve"> (</w:t>
      </w:r>
      <w:r w:rsidR="007B43A9" w:rsidRPr="00086A97">
        <w:rPr>
          <w:lang w:val="en-GB"/>
        </w:rPr>
        <w:t>Austria</w:t>
      </w:r>
      <w:r w:rsidRPr="00086A97">
        <w:rPr>
          <w:lang w:val="en-GB"/>
        </w:rPr>
        <w:t xml:space="preserve">) and </w:t>
      </w:r>
      <w:r w:rsidR="00086A97" w:rsidRPr="00086A97">
        <w:rPr>
          <w:lang w:val="en-GB"/>
        </w:rPr>
        <w:br/>
      </w:r>
      <w:proofErr w:type="spellStart"/>
      <w:r w:rsidR="007B43A9" w:rsidRPr="00086A97">
        <w:rPr>
          <w:lang w:val="en-GB"/>
        </w:rPr>
        <w:t>Mr.</w:t>
      </w:r>
      <w:proofErr w:type="spellEnd"/>
      <w:r w:rsidR="007B43A9" w:rsidRPr="00086A97">
        <w:rPr>
          <w:lang w:val="en-GB"/>
        </w:rPr>
        <w:t xml:space="preserve"> Leslie </w:t>
      </w:r>
      <w:r w:rsidR="00C46473" w:rsidRPr="00086A97">
        <w:rPr>
          <w:lang w:val="en-GB"/>
        </w:rPr>
        <w:t>Smith</w:t>
      </w:r>
      <w:r w:rsidRPr="00086A97" w:rsidDel="004873C9">
        <w:rPr>
          <w:lang w:val="en-GB"/>
        </w:rPr>
        <w:t xml:space="preserve"> </w:t>
      </w:r>
      <w:r w:rsidR="00C46473" w:rsidRPr="00086A97">
        <w:rPr>
          <w:lang w:val="en-GB"/>
        </w:rPr>
        <w:t>(Grenada</w:t>
      </w:r>
      <w:r w:rsidRPr="00086A97">
        <w:rPr>
          <w:lang w:val="en-GB"/>
        </w:rPr>
        <w:t>).</w:t>
      </w:r>
    </w:p>
    <w:p w14:paraId="644F128C" w14:textId="76D3C311" w:rsidR="007872E0" w:rsidRPr="00086A97" w:rsidRDefault="007872E0" w:rsidP="00A30032">
      <w:pPr>
        <w:pStyle w:val="Normalnumber"/>
        <w:ind w:left="1247" w:firstLine="0"/>
        <w:rPr>
          <w:lang w:val="en-GB"/>
        </w:rPr>
      </w:pPr>
      <w:r w:rsidRPr="00086A97">
        <w:rPr>
          <w:lang w:val="en-GB"/>
        </w:rPr>
        <w:t xml:space="preserve">The meeting was opened at </w:t>
      </w:r>
      <w:r w:rsidR="00284333" w:rsidRPr="00086A97">
        <w:rPr>
          <w:lang w:val="en-GB"/>
        </w:rPr>
        <w:t>10.10</w:t>
      </w:r>
      <w:r w:rsidRPr="00086A97">
        <w:rPr>
          <w:lang w:val="en-GB"/>
        </w:rPr>
        <w:t xml:space="preserve"> a.m. on </w:t>
      </w:r>
      <w:r w:rsidR="003F0DEE" w:rsidRPr="00086A97">
        <w:rPr>
          <w:lang w:val="en-GB"/>
        </w:rPr>
        <w:t>Monday</w:t>
      </w:r>
      <w:r w:rsidRPr="00086A97">
        <w:rPr>
          <w:lang w:val="en-GB"/>
        </w:rPr>
        <w:t xml:space="preserve">, </w:t>
      </w:r>
      <w:r w:rsidR="004873D3" w:rsidRPr="00086A97">
        <w:rPr>
          <w:lang w:val="en-GB"/>
        </w:rPr>
        <w:t>18</w:t>
      </w:r>
      <w:r w:rsidR="003F0DEE" w:rsidRPr="00086A97">
        <w:rPr>
          <w:lang w:val="en-GB"/>
        </w:rPr>
        <w:t xml:space="preserve"> </w:t>
      </w:r>
      <w:r w:rsidR="004873D3" w:rsidRPr="00086A97">
        <w:rPr>
          <w:lang w:val="en-GB"/>
        </w:rPr>
        <w:t>July</w:t>
      </w:r>
      <w:r w:rsidR="003F0DEE" w:rsidRPr="00086A97">
        <w:rPr>
          <w:lang w:val="en-GB"/>
        </w:rPr>
        <w:t xml:space="preserve"> 2016</w:t>
      </w:r>
      <w:r w:rsidRPr="00086A97">
        <w:rPr>
          <w:lang w:val="en-GB"/>
        </w:rPr>
        <w:t xml:space="preserve">, by </w:t>
      </w:r>
      <w:proofErr w:type="spellStart"/>
      <w:r w:rsidR="00C46473" w:rsidRPr="00086A97">
        <w:rPr>
          <w:lang w:val="en-GB"/>
        </w:rPr>
        <w:t>Mr.</w:t>
      </w:r>
      <w:proofErr w:type="spellEnd"/>
      <w:r w:rsidR="00C46473" w:rsidRPr="00086A97">
        <w:rPr>
          <w:lang w:val="en-GB"/>
        </w:rPr>
        <w:t xml:space="preserve"> </w:t>
      </w:r>
      <w:r w:rsidR="002D42F2" w:rsidRPr="00086A97">
        <w:rPr>
          <w:lang w:val="en-GB"/>
        </w:rPr>
        <w:t>Smith</w:t>
      </w:r>
      <w:r w:rsidRPr="00086A97">
        <w:rPr>
          <w:lang w:val="en-GB"/>
        </w:rPr>
        <w:t>.</w:t>
      </w:r>
    </w:p>
    <w:p w14:paraId="1FE996C9" w14:textId="49A24083" w:rsidR="00284333" w:rsidRPr="00086A97" w:rsidRDefault="002C07C8" w:rsidP="00A30032">
      <w:pPr>
        <w:pStyle w:val="Normalnumber"/>
        <w:ind w:left="1247" w:firstLine="0"/>
        <w:rPr>
          <w:lang w:val="en-GB"/>
        </w:rPr>
      </w:pPr>
      <w:proofErr w:type="spellStart"/>
      <w:r w:rsidRPr="00086A97">
        <w:rPr>
          <w:lang w:val="en-GB"/>
        </w:rPr>
        <w:t>Ms.</w:t>
      </w:r>
      <w:proofErr w:type="spellEnd"/>
      <w:r w:rsidRPr="00086A97">
        <w:rPr>
          <w:lang w:val="en-GB"/>
        </w:rPr>
        <w:t xml:space="preserve"> Tina </w:t>
      </w:r>
      <w:proofErr w:type="spellStart"/>
      <w:r w:rsidRPr="00086A97">
        <w:rPr>
          <w:lang w:val="en-GB"/>
        </w:rPr>
        <w:t>Birmpili</w:t>
      </w:r>
      <w:proofErr w:type="spellEnd"/>
      <w:r w:rsidRPr="00086A97">
        <w:rPr>
          <w:lang w:val="en-GB"/>
        </w:rPr>
        <w:t xml:space="preserve">, Executive Secretary of the Ozone Secretariat, made an opening statement in which she </w:t>
      </w:r>
      <w:r w:rsidR="00284333" w:rsidRPr="00086A97">
        <w:rPr>
          <w:lang w:val="en-GB"/>
        </w:rPr>
        <w:t xml:space="preserve">expressed appreciation to all parties for the flexibility, leadership and spirit of compromise that they had exhibited during the resumed thirty-seventh meeting of the Open-ended Working Group, </w:t>
      </w:r>
      <w:r w:rsidR="004B517A" w:rsidRPr="00086A97">
        <w:rPr>
          <w:lang w:val="en-GB"/>
        </w:rPr>
        <w:t xml:space="preserve">at </w:t>
      </w:r>
      <w:r w:rsidR="00284333" w:rsidRPr="00086A97">
        <w:rPr>
          <w:lang w:val="en-GB"/>
        </w:rPr>
        <w:t xml:space="preserve">which they had </w:t>
      </w:r>
      <w:r w:rsidR="00231E7A" w:rsidRPr="00086A97">
        <w:rPr>
          <w:lang w:val="en-GB"/>
        </w:rPr>
        <w:t>achieved</w:t>
      </w:r>
      <w:r w:rsidR="00284333" w:rsidRPr="00086A97">
        <w:rPr>
          <w:lang w:val="en-GB"/>
        </w:rPr>
        <w:t xml:space="preserve"> a positive outcome with solutions to challen</w:t>
      </w:r>
      <w:r w:rsidR="00231E7A" w:rsidRPr="00086A97">
        <w:rPr>
          <w:lang w:val="en-GB"/>
        </w:rPr>
        <w:t xml:space="preserve">ges identified under the Dubai </w:t>
      </w:r>
      <w:r w:rsidR="00F833C1" w:rsidRPr="00086A97">
        <w:rPr>
          <w:lang w:val="en-GB"/>
        </w:rPr>
        <w:t>p</w:t>
      </w:r>
      <w:r w:rsidR="00284333" w:rsidRPr="00086A97">
        <w:rPr>
          <w:lang w:val="en-GB"/>
        </w:rPr>
        <w:t xml:space="preserve">athway on </w:t>
      </w:r>
      <w:proofErr w:type="spellStart"/>
      <w:r w:rsidR="00284333" w:rsidRPr="00086A97">
        <w:rPr>
          <w:lang w:val="en-GB"/>
        </w:rPr>
        <w:t>hydrofluorocarbons</w:t>
      </w:r>
      <w:proofErr w:type="spellEnd"/>
      <w:r w:rsidR="005A62F9" w:rsidRPr="00086A97">
        <w:rPr>
          <w:lang w:val="en-GB"/>
        </w:rPr>
        <w:t xml:space="preserve"> (HFCs)</w:t>
      </w:r>
      <w:r w:rsidR="00284333" w:rsidRPr="00086A97">
        <w:rPr>
          <w:lang w:val="en-GB"/>
        </w:rPr>
        <w:t>. She invited representatives to continue working in the sam</w:t>
      </w:r>
      <w:r w:rsidR="00231E7A" w:rsidRPr="00086A97">
        <w:rPr>
          <w:lang w:val="en-GB"/>
        </w:rPr>
        <w:t>e spirit at the current meeting</w:t>
      </w:r>
      <w:r w:rsidR="00284333" w:rsidRPr="00086A97">
        <w:rPr>
          <w:lang w:val="en-GB"/>
        </w:rPr>
        <w:t xml:space="preserve"> as they considered the four amendment proposals on </w:t>
      </w:r>
      <w:r w:rsidR="005A62F9" w:rsidRPr="00086A97">
        <w:rPr>
          <w:lang w:val="en-GB"/>
        </w:rPr>
        <w:t>HFCs</w:t>
      </w:r>
      <w:r w:rsidR="00284333" w:rsidRPr="00086A97">
        <w:rPr>
          <w:lang w:val="en-GB"/>
        </w:rPr>
        <w:t xml:space="preserve"> in preparation for the </w:t>
      </w:r>
      <w:r w:rsidR="00AB3BB9" w:rsidRPr="00086A97">
        <w:rPr>
          <w:lang w:val="en-GB"/>
        </w:rPr>
        <w:t xml:space="preserve">Third Extraordinary </w:t>
      </w:r>
      <w:r w:rsidR="00284333" w:rsidRPr="00086A97">
        <w:rPr>
          <w:lang w:val="en-GB"/>
        </w:rPr>
        <w:t>Meeting of the Parties.</w:t>
      </w:r>
    </w:p>
    <w:p w14:paraId="5F4A6FD0" w14:textId="3D22652D" w:rsidR="00284333" w:rsidRPr="00086A97" w:rsidRDefault="00284333" w:rsidP="00A30032">
      <w:pPr>
        <w:pStyle w:val="Normalnumber"/>
        <w:ind w:left="1247" w:firstLine="0"/>
        <w:rPr>
          <w:lang w:val="en-GB"/>
        </w:rPr>
      </w:pPr>
      <w:r w:rsidRPr="00086A97">
        <w:rPr>
          <w:lang w:val="en-GB"/>
        </w:rPr>
        <w:t xml:space="preserve">Recalling </w:t>
      </w:r>
      <w:r w:rsidR="004062FC" w:rsidRPr="00086A97">
        <w:rPr>
          <w:lang w:val="en-GB"/>
        </w:rPr>
        <w:t>two great successes of the Montreal Protocol –</w:t>
      </w:r>
      <w:r w:rsidRPr="00086A97">
        <w:rPr>
          <w:lang w:val="en-GB"/>
        </w:rPr>
        <w:t xml:space="preserve"> the near phase-out of methyl bromide, which not long </w:t>
      </w:r>
      <w:r w:rsidR="006B06A5" w:rsidRPr="00086A97">
        <w:rPr>
          <w:lang w:val="en-GB"/>
        </w:rPr>
        <w:t>before</w:t>
      </w:r>
      <w:r w:rsidRPr="00086A97">
        <w:rPr>
          <w:lang w:val="en-GB"/>
        </w:rPr>
        <w:t xml:space="preserve"> had been widely used in agriculture, commoditie</w:t>
      </w:r>
      <w:r w:rsidR="004062FC" w:rsidRPr="00086A97">
        <w:rPr>
          <w:lang w:val="en-GB"/>
        </w:rPr>
        <w:t>s and structures, and the phase</w:t>
      </w:r>
      <w:r w:rsidR="004062FC" w:rsidRPr="00086A97">
        <w:rPr>
          <w:lang w:val="en-GB"/>
        </w:rPr>
        <w:noBreakHyphen/>
      </w:r>
      <w:r w:rsidRPr="00086A97">
        <w:rPr>
          <w:lang w:val="en-GB"/>
        </w:rPr>
        <w:t>out of chlorofluorocarbons</w:t>
      </w:r>
      <w:r w:rsidR="0005509B" w:rsidRPr="00086A97">
        <w:rPr>
          <w:lang w:val="en-GB"/>
        </w:rPr>
        <w:t xml:space="preserve"> (CFCs)</w:t>
      </w:r>
      <w:r w:rsidR="004062FC" w:rsidRPr="00086A97">
        <w:rPr>
          <w:lang w:val="en-GB"/>
        </w:rPr>
        <w:t xml:space="preserve"> in metered-dose inhalers –</w:t>
      </w:r>
      <w:r w:rsidRPr="00086A97">
        <w:rPr>
          <w:lang w:val="en-GB"/>
        </w:rPr>
        <w:t xml:space="preserve"> she invited the parties to consider the experience gained </w:t>
      </w:r>
      <w:r w:rsidR="004062FC" w:rsidRPr="00086A97">
        <w:rPr>
          <w:lang w:val="en-GB"/>
        </w:rPr>
        <w:t>in achieving those successes</w:t>
      </w:r>
      <w:r w:rsidRPr="00086A97">
        <w:rPr>
          <w:lang w:val="en-GB"/>
        </w:rPr>
        <w:t xml:space="preserve"> as they discussed how to manage </w:t>
      </w:r>
      <w:r w:rsidR="005A62F9" w:rsidRPr="00086A97">
        <w:rPr>
          <w:lang w:val="en-GB"/>
        </w:rPr>
        <w:t>H</w:t>
      </w:r>
      <w:r w:rsidR="0005509B" w:rsidRPr="00086A97">
        <w:rPr>
          <w:lang w:val="en-GB"/>
        </w:rPr>
        <w:t>FCs</w:t>
      </w:r>
      <w:r w:rsidRPr="00086A97">
        <w:rPr>
          <w:lang w:val="en-GB"/>
        </w:rPr>
        <w:t xml:space="preserve"> under the Protocol. Methyl bromide and </w:t>
      </w:r>
      <w:r w:rsidR="00973AD7" w:rsidRPr="00086A97">
        <w:rPr>
          <w:lang w:val="en-GB"/>
        </w:rPr>
        <w:t>CFCs</w:t>
      </w:r>
      <w:r w:rsidRPr="00086A97">
        <w:rPr>
          <w:lang w:val="en-GB"/>
        </w:rPr>
        <w:t xml:space="preserve"> had been phased out without certainty that alternatives for all uses would be available, so the parties had agreed to exemptions for certain uses in order to regulate the market and protect the needs of individua</w:t>
      </w:r>
      <w:r w:rsidR="006B06A5" w:rsidRPr="00086A97">
        <w:rPr>
          <w:lang w:val="en-GB"/>
        </w:rPr>
        <w:t xml:space="preserve">l countries. </w:t>
      </w:r>
      <w:r w:rsidR="00EA6F9B" w:rsidRPr="00086A97">
        <w:rPr>
          <w:lang w:val="en-GB"/>
        </w:rPr>
        <w:t xml:space="preserve">Based on that experience, the parties were addressing possible exemptions early on in the discussions on </w:t>
      </w:r>
      <w:r w:rsidR="004062FC" w:rsidRPr="00086A97">
        <w:rPr>
          <w:lang w:val="en-GB"/>
        </w:rPr>
        <w:t>how to manage HFCs</w:t>
      </w:r>
      <w:r w:rsidR="00EA6F9B" w:rsidRPr="00086A97">
        <w:rPr>
          <w:lang w:val="en-GB"/>
        </w:rPr>
        <w:t xml:space="preserve"> under the Protocol, and at their request </w:t>
      </w:r>
      <w:r w:rsidRPr="00086A97">
        <w:rPr>
          <w:lang w:val="en-GB"/>
        </w:rPr>
        <w:t>the Technology and Economic Assessment Panel had produced considerable work on alternatives.</w:t>
      </w:r>
    </w:p>
    <w:p w14:paraId="45B073C0" w14:textId="5DB6E9C9" w:rsidR="00284333" w:rsidRPr="00086A97" w:rsidRDefault="006361B0" w:rsidP="00A30032">
      <w:pPr>
        <w:pStyle w:val="Normalnumber"/>
        <w:ind w:left="1247" w:firstLine="0"/>
        <w:rPr>
          <w:lang w:val="en-GB"/>
        </w:rPr>
      </w:pPr>
      <w:r w:rsidRPr="00086A97">
        <w:rPr>
          <w:lang w:val="en-GB"/>
        </w:rPr>
        <w:t xml:space="preserve">She turned next to </w:t>
      </w:r>
      <w:r w:rsidR="00284333" w:rsidRPr="00086A97">
        <w:rPr>
          <w:lang w:val="en-GB"/>
        </w:rPr>
        <w:t xml:space="preserve">the study on the </w:t>
      </w:r>
      <w:r w:rsidRPr="00086A97">
        <w:rPr>
          <w:lang w:val="en-GB"/>
        </w:rPr>
        <w:t xml:space="preserve">funding required for the </w:t>
      </w:r>
      <w:r w:rsidR="00284333" w:rsidRPr="00086A97">
        <w:rPr>
          <w:lang w:val="en-GB"/>
        </w:rPr>
        <w:t>2018–2020 replenishment of the Multilateral Fund for the Implementation of the Montreal Protocol</w:t>
      </w:r>
      <w:r w:rsidRPr="00086A97">
        <w:rPr>
          <w:lang w:val="en-GB"/>
        </w:rPr>
        <w:t xml:space="preserve">. </w:t>
      </w:r>
      <w:r w:rsidR="00512FDC" w:rsidRPr="00086A97">
        <w:rPr>
          <w:lang w:val="en-GB"/>
        </w:rPr>
        <w:t>Given the current discussions on phasing down high-global-warming-potential (GWP) HFCs in certain sectors</w:t>
      </w:r>
      <w:r w:rsidR="00284333" w:rsidRPr="00086A97">
        <w:rPr>
          <w:lang w:val="en-GB"/>
        </w:rPr>
        <w:t xml:space="preserve">, she suggested that the parties might want to define terms of reference for the replenishment study broader than those used </w:t>
      </w:r>
      <w:r w:rsidRPr="00086A97">
        <w:rPr>
          <w:lang w:val="en-GB"/>
        </w:rPr>
        <w:t xml:space="preserve">for </w:t>
      </w:r>
      <w:r w:rsidR="00284333" w:rsidRPr="00086A97">
        <w:rPr>
          <w:lang w:val="en-GB"/>
        </w:rPr>
        <w:t xml:space="preserve">the previous study. </w:t>
      </w:r>
    </w:p>
    <w:p w14:paraId="73375458" w14:textId="4AD411E4" w:rsidR="004873D3" w:rsidRPr="00086A97" w:rsidRDefault="00284333" w:rsidP="00A30032">
      <w:pPr>
        <w:pStyle w:val="Normalnumber"/>
        <w:ind w:left="1247" w:firstLine="0"/>
        <w:rPr>
          <w:lang w:val="en-GB"/>
        </w:rPr>
      </w:pPr>
      <w:r w:rsidRPr="00086A97">
        <w:rPr>
          <w:lang w:val="en-GB"/>
        </w:rPr>
        <w:t>In closing, she urged the parties to focus on their common commitment to deliver on the Dubai</w:t>
      </w:r>
      <w:r w:rsidR="00156357" w:rsidRPr="00086A97">
        <w:rPr>
          <w:lang w:val="en-GB"/>
        </w:rPr>
        <w:t> </w:t>
      </w:r>
      <w:r w:rsidRPr="00086A97">
        <w:rPr>
          <w:lang w:val="en-GB"/>
        </w:rPr>
        <w:t xml:space="preserve">pathway on </w:t>
      </w:r>
      <w:r w:rsidR="0005509B" w:rsidRPr="00086A97">
        <w:rPr>
          <w:lang w:val="en-GB"/>
        </w:rPr>
        <w:t>HFCs</w:t>
      </w:r>
      <w:r w:rsidRPr="00086A97">
        <w:rPr>
          <w:lang w:val="en-GB"/>
        </w:rPr>
        <w:t xml:space="preserve"> and thereby further strengthen the Montreal Protocol</w:t>
      </w:r>
      <w:r w:rsidR="00842C67" w:rsidRPr="00086A97">
        <w:rPr>
          <w:lang w:val="en-GB"/>
        </w:rPr>
        <w:t>, to sei</w:t>
      </w:r>
      <w:r w:rsidR="00512FDC" w:rsidRPr="00086A97">
        <w:rPr>
          <w:lang w:val="en-GB"/>
        </w:rPr>
        <w:t xml:space="preserve">ze the momentum generated by the successful resumed thirty-seventh meeting of the </w:t>
      </w:r>
      <w:r w:rsidR="00842C67" w:rsidRPr="00086A97">
        <w:rPr>
          <w:lang w:val="en-GB"/>
        </w:rPr>
        <w:t>Open-ended Working Group</w:t>
      </w:r>
      <w:r w:rsidR="00512FDC" w:rsidRPr="00086A97">
        <w:rPr>
          <w:lang w:val="en-GB"/>
        </w:rPr>
        <w:t xml:space="preserve"> and</w:t>
      </w:r>
      <w:r w:rsidRPr="00086A97">
        <w:rPr>
          <w:lang w:val="en-GB"/>
        </w:rPr>
        <w:t xml:space="preserve">, </w:t>
      </w:r>
      <w:r w:rsidRPr="00086A97">
        <w:rPr>
          <w:lang w:val="en-GB"/>
        </w:rPr>
        <w:lastRenderedPageBreak/>
        <w:t xml:space="preserve">guided by the principle of precaution that underlay the treaty, </w:t>
      </w:r>
      <w:r w:rsidR="00512FDC" w:rsidRPr="00086A97">
        <w:rPr>
          <w:lang w:val="en-GB"/>
        </w:rPr>
        <w:t xml:space="preserve">to pool their individual powers </w:t>
      </w:r>
      <w:r w:rsidRPr="00086A97">
        <w:rPr>
          <w:lang w:val="en-GB"/>
        </w:rPr>
        <w:t xml:space="preserve">for the sake of the global environment, </w:t>
      </w:r>
      <w:r w:rsidR="00512FDC" w:rsidRPr="00086A97">
        <w:rPr>
          <w:lang w:val="en-GB"/>
        </w:rPr>
        <w:t xml:space="preserve">the </w:t>
      </w:r>
      <w:r w:rsidRPr="00086A97">
        <w:rPr>
          <w:lang w:val="en-GB"/>
        </w:rPr>
        <w:t>people</w:t>
      </w:r>
      <w:r w:rsidR="00512FDC" w:rsidRPr="00086A97">
        <w:rPr>
          <w:lang w:val="en-GB"/>
        </w:rPr>
        <w:t xml:space="preserve"> of the world</w:t>
      </w:r>
      <w:r w:rsidRPr="00086A97">
        <w:rPr>
          <w:lang w:val="en-GB"/>
        </w:rPr>
        <w:t>, the ozone layer and the climate.</w:t>
      </w:r>
    </w:p>
    <w:p w14:paraId="4E0A49E5" w14:textId="77777777" w:rsidR="00D4321A" w:rsidRPr="00086A97" w:rsidRDefault="00CD0B5E" w:rsidP="00CD0B5E">
      <w:pPr>
        <w:pStyle w:val="CH1"/>
        <w:keepNext w:val="0"/>
        <w:keepLines w:val="0"/>
        <w:rPr>
          <w:lang w:val="en-GB"/>
        </w:rPr>
      </w:pPr>
      <w:r w:rsidRPr="00086A97">
        <w:rPr>
          <w:lang w:val="en-GB"/>
        </w:rPr>
        <w:tab/>
        <w:t>II.</w:t>
      </w:r>
      <w:r w:rsidRPr="00086A97">
        <w:rPr>
          <w:lang w:val="en-GB"/>
        </w:rPr>
        <w:tab/>
        <w:t>Organizational matters</w:t>
      </w:r>
    </w:p>
    <w:p w14:paraId="744FD6F7" w14:textId="43213D90" w:rsidR="00227705" w:rsidRPr="00086A97" w:rsidRDefault="00A028E3" w:rsidP="00A30032">
      <w:pPr>
        <w:pStyle w:val="CH2"/>
        <w:rPr>
          <w:lang w:val="en-GB"/>
        </w:rPr>
      </w:pPr>
      <w:r w:rsidRPr="00086A97">
        <w:rPr>
          <w:lang w:val="en-GB"/>
        </w:rPr>
        <w:tab/>
        <w:t xml:space="preserve">A. </w:t>
      </w:r>
      <w:r w:rsidRPr="00086A97">
        <w:rPr>
          <w:lang w:val="en-GB"/>
        </w:rPr>
        <w:tab/>
      </w:r>
      <w:r w:rsidR="00227705" w:rsidRPr="00086A97">
        <w:rPr>
          <w:lang w:val="en-GB"/>
        </w:rPr>
        <w:t>Attendance</w:t>
      </w:r>
    </w:p>
    <w:p w14:paraId="2C0C99C4" w14:textId="35D1B989" w:rsidR="00C12893" w:rsidRPr="00086A97" w:rsidRDefault="00C12893" w:rsidP="00C12893">
      <w:pPr>
        <w:pStyle w:val="Normalnumber"/>
        <w:ind w:left="1247" w:firstLine="0"/>
        <w:rPr>
          <w:lang w:val="en-GB"/>
        </w:rPr>
      </w:pPr>
      <w:r w:rsidRPr="00086A97">
        <w:rPr>
          <w:lang w:val="en-GB"/>
        </w:rPr>
        <w:t>The thirty-</w:t>
      </w:r>
      <w:r w:rsidRPr="00B307B9">
        <w:rPr>
          <w:sz w:val="24"/>
          <w:lang w:val="en-GB"/>
        </w:rPr>
        <w:t>eighth meeting</w:t>
      </w:r>
      <w:r w:rsidRPr="00086A97">
        <w:rPr>
          <w:lang w:val="en-GB"/>
        </w:rPr>
        <w:t xml:space="preserve"> of the Open-ended Working Group was attended by representatives of the following parties: Afghanistan, Albania, Argentina, Armenia, Australia, Austria, Azerbaijan, Bahamas, Bahrain, Bangladesh, Belarus, Belgium, Belize, Benin, Bosnia and Herzegovina, Botswana, Brazil, Brunei Darussalam, Bulgaria, Burkina Faso, Burundi, </w:t>
      </w:r>
      <w:proofErr w:type="spellStart"/>
      <w:r w:rsidRPr="00086A97">
        <w:rPr>
          <w:lang w:val="en-GB"/>
        </w:rPr>
        <w:t>Cabo</w:t>
      </w:r>
      <w:proofErr w:type="spellEnd"/>
      <w:r w:rsidRPr="00086A97">
        <w:rPr>
          <w:lang w:val="en-GB"/>
        </w:rPr>
        <w:t xml:space="preserve"> Verde, Cambodia, Cameroon, Canada, Chad, Chile, China, Colombia, Comoros, Costa Rica, Côte d’Ivoire, Croatia, Cuba, Cyprus, </w:t>
      </w:r>
      <w:proofErr w:type="spellStart"/>
      <w:r w:rsidR="002928D6" w:rsidRPr="00086A97">
        <w:rPr>
          <w:lang w:val="en-GB"/>
        </w:rPr>
        <w:t>Czec</w:t>
      </w:r>
      <w:r w:rsidR="002928D6">
        <w:rPr>
          <w:lang w:val="en-GB"/>
        </w:rPr>
        <w:t>hia</w:t>
      </w:r>
      <w:proofErr w:type="spellEnd"/>
      <w:r w:rsidRPr="00086A97">
        <w:rPr>
          <w:lang w:val="en-GB"/>
        </w:rPr>
        <w:t>, Democratic People’s Republic of Korea, Democratic Republic of the Congo, Denmark, Djibouti, Dominican Republic,</w:t>
      </w:r>
      <w:r w:rsidR="002B44A0">
        <w:rPr>
          <w:lang w:val="en-GB"/>
        </w:rPr>
        <w:t xml:space="preserve"> Ecuador,</w:t>
      </w:r>
      <w:r w:rsidRPr="00086A97">
        <w:rPr>
          <w:lang w:val="en-GB"/>
        </w:rPr>
        <w:t xml:space="preserve"> Egypt, El Salvador, Eritrea, Estonia, Ethiopia, European Union, Fiji, Finland, France, Georgia, Germany, Ghana, Greece, Grenada, Guatemala, Guinea, Guyana, Haiti, Holy See, Honduras, Hungary, India, Indonesia, Iran (Islamic Republic of), Ireland, Italy, Japan, Jordan, Kazakhstan, Kenya, Kiribati, Kuwait, Kyrgyzstan, Lao People’s Democratic Republic, Latvia, Lebanon, Lesotho, Libya, Lithuania, Malawi, Malaysia, Maldives, Mali, Malta, Marshall Islands, Mauritania, Mauritius, Mexico, Micronesia (Federated States of), Mongolia, Montenegro, Morocco, Mozambique, Myanmar, Nepal, Netherlands, New Zealand, Nicaragua, Niger, Nigeria, Norway, Oman, Pakistan, Palau, Panama, Paraguay, Peru, Philippines, Poland, Portugal, Qatar, Republic of Korea, Russian Federation, Rwanda, Saint Vincent and the Grenadines, Samoa, Saudi Arabia, Senegal, Serbia, Singapore, Slovakia, Somalia, South Africa, Spain, Sri Lanka, Sudan, Swaziland, Sweden, Switzerland, Syrian Arab Republic, Thailand, the former Yugoslav Republic of Macedonia, Timor</w:t>
      </w:r>
      <w:r w:rsidRPr="00086A97">
        <w:rPr>
          <w:lang w:val="en-GB"/>
        </w:rPr>
        <w:noBreakHyphen/>
        <w:t>Leste, Togo, Tunisia, Turkey, Turkmenistan, Uganda, Ukraine, United Arab Emirates, United Kingdom of Great Britain and Northern Ireland, United Republic of Tanzania, United States of America, Uruguay, Venezuela (Bolivarian Republic of), Viet Nam and Zimbabwe.</w:t>
      </w:r>
    </w:p>
    <w:p w14:paraId="7A73AC52" w14:textId="77777777" w:rsidR="00C12893" w:rsidRPr="00086A97" w:rsidRDefault="00C12893" w:rsidP="00C12893">
      <w:pPr>
        <w:pStyle w:val="Normalnumber"/>
        <w:ind w:left="1247" w:firstLine="0"/>
        <w:rPr>
          <w:lang w:val="en-GB"/>
        </w:rPr>
      </w:pPr>
      <w:r w:rsidRPr="00086A97">
        <w:rPr>
          <w:lang w:val="en-GB"/>
        </w:rPr>
        <w:t xml:space="preserve">Representatives of the following United Nations bodies and specialized agencies also attended: International Maritime Organization, secretariat of the Multilateral Fund for the Implementation of the Montreal Protocol, secretariat of the United Nations Framework Convention on Climate Change, Secretariat of the United Nations, United Nations Development Programme, United Nations Environment Programme, United Nations Industrial Development Organization and World Bank. </w:t>
      </w:r>
    </w:p>
    <w:p w14:paraId="5535EE42" w14:textId="4BB659B7" w:rsidR="00227705" w:rsidRPr="00086A97" w:rsidRDefault="00C12893" w:rsidP="00A30032">
      <w:pPr>
        <w:pStyle w:val="Normalnumber"/>
        <w:ind w:left="1247" w:firstLine="0"/>
        <w:rPr>
          <w:lang w:val="en-GB"/>
        </w:rPr>
      </w:pPr>
      <w:r w:rsidRPr="00086A97">
        <w:rPr>
          <w:lang w:val="en-GB"/>
        </w:rPr>
        <w:t xml:space="preserve">The following intergovernmental, non-governmental, industry, academic and other bodies and individuals were also represented or present: ADC3R, Air-conditioning, Heating and Refrigeration Institute, Alliance for Responsible Atmospheric Policy, </w:t>
      </w:r>
      <w:proofErr w:type="spellStart"/>
      <w:r w:rsidRPr="00086A97">
        <w:rPr>
          <w:lang w:val="en-GB"/>
        </w:rPr>
        <w:t>Arkema</w:t>
      </w:r>
      <w:proofErr w:type="spellEnd"/>
      <w:r w:rsidRPr="00086A97">
        <w:rPr>
          <w:lang w:val="en-GB"/>
        </w:rPr>
        <w:t xml:space="preserve">, </w:t>
      </w:r>
      <w:r w:rsidR="00FB3C31" w:rsidRPr="00242D37">
        <w:rPr>
          <w:lang w:val="en-GB"/>
        </w:rPr>
        <w:t>American Society</w:t>
      </w:r>
      <w:r w:rsidRPr="00086A97">
        <w:rPr>
          <w:lang w:val="en-GB"/>
        </w:rPr>
        <w:t xml:space="preserve"> of Heating, Refrigerating and Air</w:t>
      </w:r>
      <w:r w:rsidRPr="00086A97">
        <w:rPr>
          <w:lang w:val="en-GB"/>
        </w:rPr>
        <w:noBreakHyphen/>
        <w:t xml:space="preserve">Conditioning Engineers (ASHRAE), </w:t>
      </w:r>
      <w:proofErr w:type="spellStart"/>
      <w:r w:rsidRPr="00086A97">
        <w:rPr>
          <w:lang w:val="en-GB"/>
        </w:rPr>
        <w:t>Bitzer</w:t>
      </w:r>
      <w:proofErr w:type="spellEnd"/>
      <w:r w:rsidRPr="00086A97">
        <w:rPr>
          <w:lang w:val="en-GB"/>
        </w:rPr>
        <w:t xml:space="preserve"> SE, California Citrus Quality Council, </w:t>
      </w:r>
      <w:proofErr w:type="spellStart"/>
      <w:r w:rsidRPr="00086A97">
        <w:rPr>
          <w:lang w:val="en-GB"/>
        </w:rPr>
        <w:t>Center</w:t>
      </w:r>
      <w:proofErr w:type="spellEnd"/>
      <w:r w:rsidRPr="00086A97">
        <w:rPr>
          <w:lang w:val="en-GB"/>
        </w:rPr>
        <w:t xml:space="preserve"> for Climate and Energy Solutions, Centre for Science and Environment, </w:t>
      </w:r>
      <w:r w:rsidR="00FB3C31">
        <w:rPr>
          <w:lang w:val="en-GB"/>
        </w:rPr>
        <w:t xml:space="preserve">the </w:t>
      </w:r>
      <w:proofErr w:type="spellStart"/>
      <w:r w:rsidRPr="00086A97">
        <w:rPr>
          <w:lang w:val="en-GB"/>
        </w:rPr>
        <w:t>Chemours</w:t>
      </w:r>
      <w:proofErr w:type="spellEnd"/>
      <w:r w:rsidR="00FB3C31">
        <w:rPr>
          <w:lang w:val="en-GB"/>
        </w:rPr>
        <w:t xml:space="preserve"> </w:t>
      </w:r>
      <w:r w:rsidR="00FB3C31" w:rsidRPr="00F379C0">
        <w:rPr>
          <w:lang w:val="en-GB"/>
        </w:rPr>
        <w:t>Company</w:t>
      </w:r>
      <w:r w:rsidRPr="00086A97">
        <w:rPr>
          <w:lang w:val="en-GB"/>
        </w:rPr>
        <w:t xml:space="preserve">, China Association of Fluorine and Silicone </w:t>
      </w:r>
      <w:r w:rsidR="00FB3C31">
        <w:rPr>
          <w:lang w:val="en-GB"/>
        </w:rPr>
        <w:t xml:space="preserve">Material </w:t>
      </w:r>
      <w:r w:rsidRPr="00086A97">
        <w:rPr>
          <w:lang w:val="en-GB"/>
        </w:rPr>
        <w:t xml:space="preserve">Industry, China Household Electrical Appliances Association, China National Petroleum and Chemical Planning Institute, Christian Aid, Climate Action Network International, </w:t>
      </w:r>
      <w:proofErr w:type="spellStart"/>
      <w:r w:rsidRPr="00086A97">
        <w:rPr>
          <w:lang w:val="en-GB"/>
        </w:rPr>
        <w:t>Climalife</w:t>
      </w:r>
      <w:proofErr w:type="spellEnd"/>
      <w:r w:rsidRPr="00086A97">
        <w:rPr>
          <w:lang w:val="en-GB"/>
        </w:rPr>
        <w:t xml:space="preserve">, Climate Advisers, Climate and Clean Air Coalition, Council on Energy, Environment and Water, CYDSA </w:t>
      </w:r>
      <w:proofErr w:type="spellStart"/>
      <w:r w:rsidRPr="00086A97">
        <w:rPr>
          <w:lang w:val="en-GB"/>
        </w:rPr>
        <w:t>Corporativo</w:t>
      </w:r>
      <w:proofErr w:type="spellEnd"/>
      <w:r w:rsidRPr="00086A97">
        <w:rPr>
          <w:lang w:val="en-GB"/>
        </w:rPr>
        <w:t xml:space="preserve">, S.A. de C.V., Daikin Europe N.V., Daikin Industries, Ltd., Daikin U.S. Corporation, </w:t>
      </w:r>
      <w:proofErr w:type="spellStart"/>
      <w:r w:rsidRPr="00086A97">
        <w:rPr>
          <w:lang w:val="en-GB"/>
        </w:rPr>
        <w:t>Danfoss</w:t>
      </w:r>
      <w:proofErr w:type="spellEnd"/>
      <w:r w:rsidRPr="00086A97">
        <w:rPr>
          <w:lang w:val="en-GB"/>
        </w:rPr>
        <w:t xml:space="preserve"> A/S (Denmark), </w:t>
      </w:r>
      <w:proofErr w:type="spellStart"/>
      <w:r w:rsidRPr="00086A97">
        <w:rPr>
          <w:lang w:val="en-GB"/>
        </w:rPr>
        <w:t>Dongyang</w:t>
      </w:r>
      <w:proofErr w:type="spellEnd"/>
      <w:r w:rsidRPr="00086A97">
        <w:rPr>
          <w:lang w:val="en-GB"/>
        </w:rPr>
        <w:t xml:space="preserve"> Chemical Co. Ltd., </w:t>
      </w:r>
      <w:proofErr w:type="spellStart"/>
      <w:r w:rsidRPr="00086A97">
        <w:rPr>
          <w:lang w:val="en-GB"/>
        </w:rPr>
        <w:t>Embraco</w:t>
      </w:r>
      <w:proofErr w:type="spellEnd"/>
      <w:r w:rsidRPr="00086A97">
        <w:rPr>
          <w:lang w:val="en-GB"/>
        </w:rPr>
        <w:t xml:space="preserve"> Europe </w:t>
      </w:r>
      <w:proofErr w:type="spellStart"/>
      <w:r w:rsidRPr="00086A97">
        <w:rPr>
          <w:lang w:val="en-GB"/>
        </w:rPr>
        <w:t>S.r.l</w:t>
      </w:r>
      <w:proofErr w:type="spellEnd"/>
      <w:r w:rsidRPr="00086A97">
        <w:rPr>
          <w:lang w:val="en-GB"/>
        </w:rPr>
        <w:t xml:space="preserve">., Emergent Ventures India, Environmental Investigation Agency, European Air-conditioning and Refrigeration Association, European Chemical Industry Council, European Partnership for Energy and the Environment, GIZ </w:t>
      </w:r>
      <w:r w:rsidR="00FB3C31" w:rsidRPr="00086A97">
        <w:rPr>
          <w:lang w:val="en-GB"/>
        </w:rPr>
        <w:t>G</w:t>
      </w:r>
      <w:r w:rsidR="00FB3C31">
        <w:rPr>
          <w:lang w:val="en-GB"/>
        </w:rPr>
        <w:t>mb</w:t>
      </w:r>
      <w:r w:rsidR="00FB3C31" w:rsidRPr="00086A97">
        <w:rPr>
          <w:lang w:val="en-GB"/>
        </w:rPr>
        <w:t>H</w:t>
      </w:r>
      <w:r w:rsidRPr="00086A97">
        <w:rPr>
          <w:lang w:val="en-GB"/>
        </w:rPr>
        <w:t>, GIZ </w:t>
      </w:r>
      <w:proofErr w:type="spellStart"/>
      <w:r w:rsidRPr="00086A97">
        <w:rPr>
          <w:lang w:val="en-GB"/>
        </w:rPr>
        <w:t>Proklima</w:t>
      </w:r>
      <w:proofErr w:type="spellEnd"/>
      <w:r w:rsidRPr="00086A97">
        <w:rPr>
          <w:lang w:val="en-GB"/>
        </w:rPr>
        <w:t xml:space="preserve">, </w:t>
      </w:r>
      <w:proofErr w:type="spellStart"/>
      <w:r w:rsidRPr="00086A97">
        <w:rPr>
          <w:lang w:val="en-GB"/>
        </w:rPr>
        <w:t>Gluckman</w:t>
      </w:r>
      <w:proofErr w:type="spellEnd"/>
      <w:r w:rsidRPr="00086A97">
        <w:rPr>
          <w:lang w:val="en-GB"/>
        </w:rPr>
        <w:t xml:space="preserve"> Consulting, Gujarat </w:t>
      </w:r>
      <w:proofErr w:type="spellStart"/>
      <w:r w:rsidRPr="00086A97">
        <w:rPr>
          <w:lang w:val="en-GB"/>
        </w:rPr>
        <w:t>Fluorochemicals</w:t>
      </w:r>
      <w:proofErr w:type="spellEnd"/>
      <w:r w:rsidRPr="00086A97">
        <w:rPr>
          <w:lang w:val="en-GB"/>
        </w:rPr>
        <w:t xml:space="preserve"> Limited, HEAT International, Honeywell, Hudson Technologies, ICF International, IN Consult (</w:t>
      </w:r>
      <w:proofErr w:type="spellStart"/>
      <w:r w:rsidRPr="00086A97">
        <w:rPr>
          <w:lang w:val="en-GB"/>
        </w:rPr>
        <w:t>Pvt.</w:t>
      </w:r>
      <w:proofErr w:type="spellEnd"/>
      <w:r w:rsidRPr="00086A97">
        <w:rPr>
          <w:lang w:val="en-GB"/>
        </w:rPr>
        <w:t>) Ltd., India Habitat Centre, Ingersoll Rand</w:t>
      </w:r>
      <w:r w:rsidR="00FB3C31">
        <w:rPr>
          <w:lang w:val="en-GB"/>
        </w:rPr>
        <w:t xml:space="preserve"> Inc.</w:t>
      </w:r>
      <w:r w:rsidRPr="00086A97">
        <w:rPr>
          <w:lang w:val="en-GB"/>
        </w:rPr>
        <w:t xml:space="preserve">, Institute for Governance and Sustainable Development, International Institute of Refrigeration, International Pharmaceutical Aerosol Consortium, Institute of Energy and Environment, </w:t>
      </w:r>
      <w:r w:rsidRPr="0055269A">
        <w:rPr>
          <w:lang w:val="en-GB"/>
        </w:rPr>
        <w:t>Japan Fluorocarbon</w:t>
      </w:r>
      <w:r w:rsidRPr="00086A97">
        <w:rPr>
          <w:lang w:val="en-GB"/>
        </w:rPr>
        <w:t xml:space="preserve"> Manufacturers Association, Japan Refrigeration and Air-Conditioning Industry Association, Jiangsu Blue Star Co., Ltd., Johnson Controls, </w:t>
      </w:r>
      <w:proofErr w:type="spellStart"/>
      <w:r w:rsidRPr="00086A97">
        <w:rPr>
          <w:lang w:val="en-GB"/>
        </w:rPr>
        <w:t>Kulthorn</w:t>
      </w:r>
      <w:proofErr w:type="spellEnd"/>
      <w:r w:rsidRPr="00086A97">
        <w:rPr>
          <w:lang w:val="en-GB"/>
        </w:rPr>
        <w:t xml:space="preserve"> Group, Lawrence Berkeley National Laboratory, League of Arab States, Lennox International</w:t>
      </w:r>
      <w:r w:rsidR="0055269A">
        <w:rPr>
          <w:lang w:val="en-GB"/>
        </w:rPr>
        <w:t xml:space="preserve"> Inc.</w:t>
      </w:r>
      <w:r w:rsidRPr="00086A97">
        <w:rPr>
          <w:lang w:val="en-GB"/>
        </w:rPr>
        <w:t xml:space="preserve">, </w:t>
      </w:r>
      <w:proofErr w:type="spellStart"/>
      <w:r w:rsidRPr="00086A97">
        <w:rPr>
          <w:lang w:val="en-GB"/>
        </w:rPr>
        <w:t>Mahle</w:t>
      </w:r>
      <w:proofErr w:type="spellEnd"/>
      <w:r w:rsidRPr="00086A97">
        <w:rPr>
          <w:lang w:val="en-GB"/>
        </w:rPr>
        <w:t xml:space="preserve"> Behr Troy Inc., </w:t>
      </w:r>
      <w:proofErr w:type="spellStart"/>
      <w:r w:rsidR="0055269A" w:rsidRPr="00086A97">
        <w:rPr>
          <w:lang w:val="en-GB"/>
        </w:rPr>
        <w:t>M</w:t>
      </w:r>
      <w:r w:rsidR="0055269A">
        <w:rPr>
          <w:lang w:val="en-GB"/>
        </w:rPr>
        <w:t>ebrom</w:t>
      </w:r>
      <w:proofErr w:type="spellEnd"/>
      <w:r w:rsidRPr="00086A97">
        <w:rPr>
          <w:lang w:val="en-GB"/>
        </w:rPr>
        <w:t>, Mat</w:t>
      </w:r>
      <w:r w:rsidR="0055269A">
        <w:rPr>
          <w:lang w:val="en-GB"/>
        </w:rPr>
        <w:t>t</w:t>
      </w:r>
      <w:r w:rsidRPr="00086A97">
        <w:rPr>
          <w:lang w:val="en-GB"/>
        </w:rPr>
        <w:t xml:space="preserve">hias Meier Technical Consulting, </w:t>
      </w:r>
      <w:proofErr w:type="spellStart"/>
      <w:r w:rsidRPr="00086A97">
        <w:rPr>
          <w:lang w:val="en-GB"/>
        </w:rPr>
        <w:t>Mexichem</w:t>
      </w:r>
      <w:proofErr w:type="spellEnd"/>
      <w:r w:rsidRPr="00086A97">
        <w:rPr>
          <w:lang w:val="en-GB"/>
        </w:rPr>
        <w:t xml:space="preserve"> (UK) Limited, Mitsubishi Electric Europe B.V., Natural Resources </w:t>
      </w:r>
      <w:proofErr w:type="spellStart"/>
      <w:r w:rsidRPr="00086A97">
        <w:rPr>
          <w:lang w:val="en-GB"/>
        </w:rPr>
        <w:t>Defense</w:t>
      </w:r>
      <w:proofErr w:type="spellEnd"/>
      <w:r w:rsidRPr="00086A97">
        <w:rPr>
          <w:lang w:val="en-GB"/>
        </w:rPr>
        <w:t xml:space="preserve"> Council, Nolan Sherry and Associates Ltd., </w:t>
      </w:r>
      <w:r w:rsidR="0055269A" w:rsidRPr="00242D37">
        <w:rPr>
          <w:lang w:val="en-GB"/>
        </w:rPr>
        <w:t xml:space="preserve">Northwest Horticultural Council, </w:t>
      </w:r>
      <w:r w:rsidRPr="00086A97">
        <w:rPr>
          <w:lang w:val="en-GB"/>
        </w:rPr>
        <w:t xml:space="preserve">Oak Ridge National Laboratory, </w:t>
      </w:r>
      <w:proofErr w:type="spellStart"/>
      <w:r w:rsidRPr="00086A97">
        <w:rPr>
          <w:lang w:val="en-GB"/>
        </w:rPr>
        <w:t>Oeko-Recherche</w:t>
      </w:r>
      <w:proofErr w:type="spellEnd"/>
      <w:r w:rsidR="0055269A">
        <w:rPr>
          <w:lang w:val="en-GB"/>
        </w:rPr>
        <w:t xml:space="preserve"> GmbH</w:t>
      </w:r>
      <w:r w:rsidRPr="00086A97">
        <w:rPr>
          <w:lang w:val="en-GB"/>
        </w:rPr>
        <w:t xml:space="preserve">, </w:t>
      </w:r>
      <w:proofErr w:type="spellStart"/>
      <w:r w:rsidR="0055269A" w:rsidRPr="00086A97">
        <w:rPr>
          <w:lang w:val="en-GB"/>
        </w:rPr>
        <w:t>P</w:t>
      </w:r>
      <w:r w:rsidR="0055269A">
        <w:rPr>
          <w:lang w:val="en-GB"/>
        </w:rPr>
        <w:t>yc</w:t>
      </w:r>
      <w:proofErr w:type="spellEnd"/>
      <w:r w:rsidR="0055269A" w:rsidRPr="00086A97">
        <w:rPr>
          <w:lang w:val="en-GB"/>
        </w:rPr>
        <w:t xml:space="preserve"> </w:t>
      </w:r>
      <w:r w:rsidRPr="00086A97">
        <w:rPr>
          <w:lang w:val="en-GB"/>
        </w:rPr>
        <w:t xml:space="preserve">Edition, </w:t>
      </w:r>
      <w:proofErr w:type="spellStart"/>
      <w:r w:rsidRPr="00086A97">
        <w:rPr>
          <w:lang w:val="en-GB"/>
        </w:rPr>
        <w:t>Quimobásicos</w:t>
      </w:r>
      <w:proofErr w:type="spellEnd"/>
      <w:r w:rsidRPr="00086A97">
        <w:rPr>
          <w:lang w:val="en-GB"/>
        </w:rPr>
        <w:t xml:space="preserve"> S.A. de C.V., Refrigeration and Air</w:t>
      </w:r>
      <w:r w:rsidRPr="00086A97">
        <w:rPr>
          <w:lang w:val="en-GB"/>
        </w:rPr>
        <w:noBreakHyphen/>
        <w:t>Conditioning Manufacturers Association</w:t>
      </w:r>
      <w:r w:rsidR="0055269A">
        <w:rPr>
          <w:lang w:val="en-GB"/>
        </w:rPr>
        <w:t xml:space="preserve"> of  India</w:t>
      </w:r>
      <w:r w:rsidRPr="00086A97">
        <w:rPr>
          <w:lang w:val="en-GB"/>
        </w:rPr>
        <w:t xml:space="preserve">, Refrigerants Australia, </w:t>
      </w:r>
      <w:proofErr w:type="spellStart"/>
      <w:r w:rsidRPr="00086A97">
        <w:rPr>
          <w:lang w:val="en-GB"/>
        </w:rPr>
        <w:t>Shecco</w:t>
      </w:r>
      <w:proofErr w:type="spellEnd"/>
      <w:r w:rsidRPr="00086A97">
        <w:rPr>
          <w:lang w:val="en-GB"/>
        </w:rPr>
        <w:t xml:space="preserve">, </w:t>
      </w:r>
      <w:proofErr w:type="spellStart"/>
      <w:r w:rsidRPr="00086A97">
        <w:rPr>
          <w:lang w:val="en-GB"/>
        </w:rPr>
        <w:t>Sinochem</w:t>
      </w:r>
      <w:proofErr w:type="spellEnd"/>
      <w:r w:rsidRPr="00086A97">
        <w:rPr>
          <w:lang w:val="en-GB"/>
        </w:rPr>
        <w:t xml:space="preserve"> </w:t>
      </w:r>
      <w:proofErr w:type="spellStart"/>
      <w:r w:rsidRPr="00086A97">
        <w:rPr>
          <w:lang w:val="en-GB"/>
        </w:rPr>
        <w:t>Lantian</w:t>
      </w:r>
      <w:proofErr w:type="spellEnd"/>
      <w:r w:rsidRPr="00086A97">
        <w:rPr>
          <w:lang w:val="en-GB"/>
        </w:rPr>
        <w:t xml:space="preserve"> Co., Ltd., SRF Limited, Sun </w:t>
      </w:r>
      <w:proofErr w:type="spellStart"/>
      <w:r w:rsidRPr="00086A97">
        <w:rPr>
          <w:lang w:val="en-GB"/>
        </w:rPr>
        <w:t>Yat</w:t>
      </w:r>
      <w:proofErr w:type="spellEnd"/>
      <w:r w:rsidRPr="00086A97">
        <w:rPr>
          <w:lang w:val="en-GB"/>
        </w:rPr>
        <w:t xml:space="preserve"> </w:t>
      </w:r>
      <w:proofErr w:type="spellStart"/>
      <w:r w:rsidRPr="00086A97">
        <w:rPr>
          <w:lang w:val="en-GB"/>
        </w:rPr>
        <w:t>Sen</w:t>
      </w:r>
      <w:proofErr w:type="spellEnd"/>
      <w:r w:rsidRPr="00086A97">
        <w:rPr>
          <w:lang w:val="en-GB"/>
        </w:rPr>
        <w:t xml:space="preserve"> University School of Engineering, Tata Motors Limited, </w:t>
      </w:r>
      <w:r w:rsidR="0055269A" w:rsidRPr="00086A97">
        <w:rPr>
          <w:lang w:val="en-GB"/>
        </w:rPr>
        <w:t>T</w:t>
      </w:r>
      <w:r w:rsidR="0055269A">
        <w:rPr>
          <w:lang w:val="en-GB"/>
        </w:rPr>
        <w:t>ERRE</w:t>
      </w:r>
      <w:r w:rsidR="0055269A" w:rsidRPr="00086A97">
        <w:rPr>
          <w:lang w:val="en-GB"/>
        </w:rPr>
        <w:t xml:space="preserve"> </w:t>
      </w:r>
      <w:r w:rsidRPr="00086A97">
        <w:rPr>
          <w:lang w:val="en-GB"/>
        </w:rPr>
        <w:t xml:space="preserve">Policy Centre, </w:t>
      </w:r>
      <w:r w:rsidR="0055269A" w:rsidRPr="00086A97">
        <w:rPr>
          <w:lang w:val="en-GB"/>
        </w:rPr>
        <w:t>T</w:t>
      </w:r>
      <w:r w:rsidR="0055269A">
        <w:rPr>
          <w:lang w:val="en-GB"/>
        </w:rPr>
        <w:t>ICA</w:t>
      </w:r>
      <w:r w:rsidR="0055269A" w:rsidRPr="00086A97">
        <w:rPr>
          <w:lang w:val="en-GB"/>
        </w:rPr>
        <w:t xml:space="preserve"> </w:t>
      </w:r>
      <w:r w:rsidRPr="00086A97">
        <w:rPr>
          <w:lang w:val="en-GB"/>
        </w:rPr>
        <w:t>Air</w:t>
      </w:r>
      <w:r w:rsidR="001054C9" w:rsidRPr="00086A97">
        <w:rPr>
          <w:lang w:val="en-GB"/>
        </w:rPr>
        <w:noBreakHyphen/>
      </w:r>
      <w:r w:rsidRPr="00086A97">
        <w:rPr>
          <w:lang w:val="en-GB"/>
        </w:rPr>
        <w:t xml:space="preserve">conditioning, </w:t>
      </w:r>
      <w:proofErr w:type="spellStart"/>
      <w:r w:rsidRPr="00086A97">
        <w:rPr>
          <w:lang w:val="en-GB"/>
        </w:rPr>
        <w:t>Transfrig</w:t>
      </w:r>
      <w:proofErr w:type="spellEnd"/>
      <w:r w:rsidRPr="00086A97">
        <w:rPr>
          <w:lang w:val="en-GB"/>
        </w:rPr>
        <w:t>, Trans</w:t>
      </w:r>
      <w:r w:rsidR="0055269A">
        <w:rPr>
          <w:lang w:val="en-GB"/>
        </w:rPr>
        <w:t>-</w:t>
      </w:r>
      <w:proofErr w:type="spellStart"/>
      <w:r w:rsidR="0055269A">
        <w:rPr>
          <w:lang w:val="en-GB"/>
        </w:rPr>
        <w:t>M</w:t>
      </w:r>
      <w:r w:rsidRPr="00086A97">
        <w:rPr>
          <w:lang w:val="en-GB"/>
        </w:rPr>
        <w:t>ond</w:t>
      </w:r>
      <w:proofErr w:type="spellEnd"/>
      <w:r w:rsidRPr="00086A97">
        <w:rPr>
          <w:lang w:val="en-GB"/>
        </w:rPr>
        <w:t xml:space="preserve"> Environment Ltd., United</w:t>
      </w:r>
      <w:r w:rsidR="00086A97" w:rsidRPr="00086A97">
        <w:rPr>
          <w:lang w:val="en-GB"/>
        </w:rPr>
        <w:t> </w:t>
      </w:r>
      <w:r w:rsidRPr="00086A97">
        <w:rPr>
          <w:lang w:val="en-GB"/>
        </w:rPr>
        <w:t xml:space="preserve">Technologies Corporation, Victorian Strawberry Industry Certification Authority, </w:t>
      </w:r>
      <w:proofErr w:type="spellStart"/>
      <w:r w:rsidRPr="00086A97">
        <w:rPr>
          <w:lang w:val="en-GB"/>
        </w:rPr>
        <w:t>Westfalen</w:t>
      </w:r>
      <w:proofErr w:type="spellEnd"/>
      <w:r w:rsidRPr="00086A97">
        <w:rPr>
          <w:lang w:val="en-GB"/>
        </w:rPr>
        <w:t xml:space="preserve"> France </w:t>
      </w:r>
      <w:proofErr w:type="spellStart"/>
      <w:r w:rsidRPr="00086A97">
        <w:rPr>
          <w:lang w:val="en-GB"/>
        </w:rPr>
        <w:t>S</w:t>
      </w:r>
      <w:r w:rsidR="0055269A">
        <w:rPr>
          <w:lang w:val="en-GB"/>
        </w:rPr>
        <w:t>.</w:t>
      </w:r>
      <w:r w:rsidRPr="00086A97">
        <w:rPr>
          <w:lang w:val="en-GB"/>
        </w:rPr>
        <w:t>a</w:t>
      </w:r>
      <w:r w:rsidR="0055269A">
        <w:rPr>
          <w:lang w:val="en-GB"/>
        </w:rPr>
        <w:t>.</w:t>
      </w:r>
      <w:r w:rsidRPr="00086A97">
        <w:rPr>
          <w:lang w:val="en-GB"/>
        </w:rPr>
        <w:t>r</w:t>
      </w:r>
      <w:r w:rsidR="0055269A">
        <w:rPr>
          <w:lang w:val="en-GB"/>
        </w:rPr>
        <w:t>.</w:t>
      </w:r>
      <w:r w:rsidRPr="00086A97">
        <w:rPr>
          <w:lang w:val="en-GB"/>
        </w:rPr>
        <w:t>l</w:t>
      </w:r>
      <w:proofErr w:type="spellEnd"/>
      <w:r w:rsidRPr="00086A97">
        <w:rPr>
          <w:lang w:val="en-GB"/>
        </w:rPr>
        <w:t xml:space="preserve">, Xi'an </w:t>
      </w:r>
      <w:proofErr w:type="spellStart"/>
      <w:r w:rsidRPr="00086A97">
        <w:rPr>
          <w:lang w:val="en-GB"/>
        </w:rPr>
        <w:t>Jiaotong</w:t>
      </w:r>
      <w:proofErr w:type="spellEnd"/>
      <w:r w:rsidRPr="00086A97">
        <w:rPr>
          <w:lang w:val="en-GB"/>
        </w:rPr>
        <w:t xml:space="preserve"> University, Zhejiang </w:t>
      </w:r>
      <w:proofErr w:type="spellStart"/>
      <w:r w:rsidRPr="00086A97">
        <w:rPr>
          <w:lang w:val="en-GB"/>
        </w:rPr>
        <w:t>Sanmei</w:t>
      </w:r>
      <w:proofErr w:type="spellEnd"/>
      <w:r w:rsidRPr="00086A97">
        <w:rPr>
          <w:lang w:val="en-GB"/>
        </w:rPr>
        <w:t xml:space="preserve"> Chemical Ind</w:t>
      </w:r>
      <w:r w:rsidR="0055269A">
        <w:rPr>
          <w:lang w:val="en-GB"/>
        </w:rPr>
        <w:t>ustry</w:t>
      </w:r>
      <w:r w:rsidRPr="00086A97">
        <w:rPr>
          <w:lang w:val="en-GB"/>
        </w:rPr>
        <w:t xml:space="preserve"> Co., Ltd</w:t>
      </w:r>
      <w:r w:rsidR="002B44A0">
        <w:rPr>
          <w:lang w:val="en-GB"/>
        </w:rPr>
        <w:t>.,</w:t>
      </w:r>
      <w:r w:rsidRPr="00086A97">
        <w:rPr>
          <w:lang w:val="en-GB"/>
        </w:rPr>
        <w:t xml:space="preserve"> Zhejiang </w:t>
      </w:r>
      <w:proofErr w:type="spellStart"/>
      <w:r w:rsidRPr="00086A97">
        <w:rPr>
          <w:lang w:val="en-GB"/>
        </w:rPr>
        <w:t>Yonghe</w:t>
      </w:r>
      <w:proofErr w:type="spellEnd"/>
      <w:r w:rsidRPr="00086A97">
        <w:rPr>
          <w:lang w:val="en-GB"/>
        </w:rPr>
        <w:t xml:space="preserve"> Refrigerant Co. Ltd.</w:t>
      </w:r>
      <w:r w:rsidR="002B44A0">
        <w:rPr>
          <w:lang w:val="en-GB"/>
        </w:rPr>
        <w:t xml:space="preserve"> and independent consultants.</w:t>
      </w:r>
    </w:p>
    <w:p w14:paraId="7955B4C6" w14:textId="6D43932E" w:rsidR="00891DA6" w:rsidRPr="00086A97" w:rsidRDefault="00A028E3" w:rsidP="00A30032">
      <w:pPr>
        <w:pStyle w:val="CH2"/>
        <w:rPr>
          <w:lang w:val="en-GB"/>
        </w:rPr>
      </w:pPr>
      <w:r w:rsidRPr="00086A97">
        <w:rPr>
          <w:lang w:val="en-GB"/>
        </w:rPr>
        <w:lastRenderedPageBreak/>
        <w:tab/>
        <w:t>B.</w:t>
      </w:r>
      <w:r w:rsidRPr="00086A97">
        <w:rPr>
          <w:lang w:val="en-GB"/>
        </w:rPr>
        <w:tab/>
      </w:r>
      <w:r w:rsidR="00802061" w:rsidRPr="00086A97">
        <w:rPr>
          <w:lang w:val="en-GB"/>
        </w:rPr>
        <w:t>Adoption of the agenda</w:t>
      </w:r>
    </w:p>
    <w:p w14:paraId="7F7E5500" w14:textId="2B745610" w:rsidR="00CD0B5E" w:rsidRPr="00086A97" w:rsidRDefault="002A1AA2" w:rsidP="00A30032">
      <w:pPr>
        <w:pStyle w:val="Normalnumber"/>
        <w:ind w:left="1247" w:firstLine="0"/>
        <w:rPr>
          <w:lang w:val="en-GB"/>
        </w:rPr>
      </w:pPr>
      <w:r w:rsidRPr="00086A97">
        <w:rPr>
          <w:lang w:val="en-GB"/>
        </w:rPr>
        <w:t xml:space="preserve">The Working Group </w:t>
      </w:r>
      <w:r w:rsidRPr="00760DDB">
        <w:rPr>
          <w:lang w:val="en-GB"/>
        </w:rPr>
        <w:t>adopted the following</w:t>
      </w:r>
      <w:r w:rsidRPr="00086A97">
        <w:rPr>
          <w:lang w:val="en-GB"/>
        </w:rPr>
        <w:t xml:space="preserve"> agenda on the basis of the provisional agenda set out in document UNEP/OzL.Pro.WG.1/3</w:t>
      </w:r>
      <w:r w:rsidR="007C5F33" w:rsidRPr="00086A97">
        <w:rPr>
          <w:lang w:val="en-GB"/>
        </w:rPr>
        <w:t>8</w:t>
      </w:r>
      <w:r w:rsidRPr="00086A97">
        <w:rPr>
          <w:lang w:val="en-GB"/>
        </w:rPr>
        <w:t>/1:</w:t>
      </w:r>
    </w:p>
    <w:p w14:paraId="2C8FED6B" w14:textId="77777777" w:rsidR="00CD0B5E" w:rsidRPr="00086A97" w:rsidRDefault="00CD0B5E" w:rsidP="001C2F0B">
      <w:pPr>
        <w:pStyle w:val="Normal-pool"/>
        <w:tabs>
          <w:tab w:val="clear" w:pos="1247"/>
          <w:tab w:val="clear" w:pos="1814"/>
          <w:tab w:val="clear" w:pos="2381"/>
          <w:tab w:val="clear" w:pos="2948"/>
          <w:tab w:val="clear" w:pos="3515"/>
          <w:tab w:val="clear" w:pos="4082"/>
          <w:tab w:val="left" w:pos="624"/>
        </w:tabs>
        <w:spacing w:after="120"/>
        <w:ind w:left="2495" w:hanging="624"/>
      </w:pPr>
      <w:r w:rsidRPr="00086A97">
        <w:t>1.</w:t>
      </w:r>
      <w:r w:rsidRPr="00086A97">
        <w:tab/>
        <w:t>Opening of the meeting.</w:t>
      </w:r>
    </w:p>
    <w:p w14:paraId="2893E4A2" w14:textId="77777777" w:rsidR="00CD0B5E" w:rsidRPr="00086A97" w:rsidRDefault="00CD0B5E" w:rsidP="001C2F0B">
      <w:pPr>
        <w:pStyle w:val="Normal-pool"/>
        <w:tabs>
          <w:tab w:val="clear" w:pos="1247"/>
          <w:tab w:val="clear" w:pos="1814"/>
          <w:tab w:val="clear" w:pos="2381"/>
          <w:tab w:val="clear" w:pos="2948"/>
          <w:tab w:val="clear" w:pos="3515"/>
          <w:tab w:val="clear" w:pos="4082"/>
          <w:tab w:val="left" w:pos="624"/>
        </w:tabs>
        <w:spacing w:after="120"/>
        <w:ind w:left="2495" w:hanging="624"/>
      </w:pPr>
      <w:r w:rsidRPr="00086A97">
        <w:t>2.</w:t>
      </w:r>
      <w:r w:rsidRPr="00086A97">
        <w:tab/>
        <w:t>Organizational matters:</w:t>
      </w:r>
    </w:p>
    <w:p w14:paraId="4CB6EE9F" w14:textId="77777777" w:rsidR="00CD0B5E" w:rsidRPr="00086A97" w:rsidRDefault="00CD0B5E" w:rsidP="001C2F0B">
      <w:pPr>
        <w:pStyle w:val="Normal-pool"/>
        <w:tabs>
          <w:tab w:val="clear" w:pos="1247"/>
          <w:tab w:val="clear" w:pos="1814"/>
          <w:tab w:val="clear" w:pos="2381"/>
          <w:tab w:val="clear" w:pos="2948"/>
          <w:tab w:val="clear" w:pos="3515"/>
          <w:tab w:val="clear" w:pos="4082"/>
          <w:tab w:val="left" w:pos="624"/>
        </w:tabs>
        <w:spacing w:after="120"/>
        <w:ind w:left="3119" w:hanging="624"/>
      </w:pPr>
      <w:r w:rsidRPr="00086A97">
        <w:t>(a)</w:t>
      </w:r>
      <w:r w:rsidRPr="00086A97">
        <w:tab/>
        <w:t>Adoption of the agenda;</w:t>
      </w:r>
    </w:p>
    <w:p w14:paraId="20ED2673" w14:textId="77777777" w:rsidR="00CD0B5E" w:rsidRPr="00086A97" w:rsidRDefault="00CD0B5E" w:rsidP="001C2F0B">
      <w:pPr>
        <w:pStyle w:val="Normal-pool"/>
        <w:tabs>
          <w:tab w:val="clear" w:pos="1247"/>
          <w:tab w:val="clear" w:pos="1814"/>
          <w:tab w:val="clear" w:pos="2381"/>
          <w:tab w:val="clear" w:pos="2948"/>
          <w:tab w:val="clear" w:pos="3515"/>
          <w:tab w:val="clear" w:pos="4082"/>
          <w:tab w:val="left" w:pos="624"/>
        </w:tabs>
        <w:spacing w:after="120"/>
        <w:ind w:left="3119" w:hanging="624"/>
      </w:pPr>
      <w:r w:rsidRPr="00086A97">
        <w:t>(b)</w:t>
      </w:r>
      <w:r w:rsidRPr="00086A97">
        <w:tab/>
        <w:t>Organization of work.</w:t>
      </w:r>
    </w:p>
    <w:p w14:paraId="44E8D7B4" w14:textId="39F98D85" w:rsidR="00CD0B5E" w:rsidRPr="00086A97" w:rsidRDefault="00CD0B5E" w:rsidP="001C2F0B">
      <w:pPr>
        <w:pStyle w:val="Normal-pool"/>
        <w:tabs>
          <w:tab w:val="clear" w:pos="1247"/>
          <w:tab w:val="clear" w:pos="1814"/>
          <w:tab w:val="clear" w:pos="2381"/>
          <w:tab w:val="clear" w:pos="2948"/>
          <w:tab w:val="clear" w:pos="3515"/>
          <w:tab w:val="clear" w:pos="4082"/>
          <w:tab w:val="left" w:pos="624"/>
        </w:tabs>
        <w:spacing w:after="120"/>
        <w:ind w:left="2495" w:hanging="624"/>
      </w:pPr>
      <w:r w:rsidRPr="00086A97">
        <w:t>3.</w:t>
      </w:r>
      <w:r w:rsidRPr="00086A97">
        <w:tab/>
        <w:t xml:space="preserve">Report by the Technology and Economic Assessment Panel </w:t>
      </w:r>
      <w:r w:rsidR="0002610F" w:rsidRPr="00086A97">
        <w:t>on updated and new information on alternatives to ozone-depleting substances (decision XXVII/4).</w:t>
      </w:r>
    </w:p>
    <w:p w14:paraId="33A7EAA2" w14:textId="03EC351A" w:rsidR="00CD0B5E" w:rsidRPr="00086A97" w:rsidRDefault="00CD0B5E" w:rsidP="001C2F0B">
      <w:pPr>
        <w:pStyle w:val="Normal-pool"/>
        <w:tabs>
          <w:tab w:val="clear" w:pos="1247"/>
          <w:tab w:val="clear" w:pos="1814"/>
          <w:tab w:val="clear" w:pos="2381"/>
          <w:tab w:val="clear" w:pos="2948"/>
          <w:tab w:val="clear" w:pos="3515"/>
          <w:tab w:val="clear" w:pos="4082"/>
          <w:tab w:val="left" w:pos="624"/>
        </w:tabs>
        <w:spacing w:after="120"/>
        <w:ind w:left="2495" w:hanging="624"/>
      </w:pPr>
      <w:r w:rsidRPr="00086A97">
        <w:t>4.</w:t>
      </w:r>
      <w:r w:rsidRPr="00086A97">
        <w:tab/>
        <w:t xml:space="preserve">Dubai pathway on </w:t>
      </w:r>
      <w:proofErr w:type="spellStart"/>
      <w:r w:rsidRPr="00086A97">
        <w:t>hydrofluoroca</w:t>
      </w:r>
      <w:r w:rsidR="0002610F" w:rsidRPr="00086A97">
        <w:t>rbons</w:t>
      </w:r>
      <w:proofErr w:type="spellEnd"/>
      <w:r w:rsidR="0002610F" w:rsidRPr="00086A97">
        <w:t xml:space="preserve"> (HFCs) (decision XXVII/1).</w:t>
      </w:r>
    </w:p>
    <w:p w14:paraId="2E85C44A" w14:textId="10196030" w:rsidR="0002610F" w:rsidRPr="00086A97" w:rsidRDefault="00CD0B5E" w:rsidP="001C2F0B">
      <w:pPr>
        <w:pStyle w:val="Normal-pool"/>
        <w:tabs>
          <w:tab w:val="clear" w:pos="1247"/>
          <w:tab w:val="clear" w:pos="1814"/>
          <w:tab w:val="clear" w:pos="2381"/>
          <w:tab w:val="clear" w:pos="2948"/>
          <w:tab w:val="clear" w:pos="3515"/>
          <w:tab w:val="clear" w:pos="4082"/>
          <w:tab w:val="left" w:pos="624"/>
        </w:tabs>
        <w:spacing w:after="120"/>
        <w:ind w:left="2495" w:hanging="624"/>
      </w:pPr>
      <w:r w:rsidRPr="00086A97">
        <w:t>5.</w:t>
      </w:r>
      <w:r w:rsidRPr="00086A97">
        <w:tab/>
      </w:r>
      <w:r w:rsidR="0002610F" w:rsidRPr="00086A97">
        <w:t>Technology and Economic Assessment Panel 2016 report</w:t>
      </w:r>
      <w:r w:rsidR="00840136" w:rsidRPr="00086A97">
        <w:t>.</w:t>
      </w:r>
    </w:p>
    <w:p w14:paraId="689DBB6E" w14:textId="720A307E" w:rsidR="0002610F" w:rsidRPr="00086A97" w:rsidRDefault="001C2F0B" w:rsidP="00960DE3">
      <w:pPr>
        <w:pStyle w:val="Normal-pool"/>
        <w:keepNext/>
        <w:tabs>
          <w:tab w:val="clear" w:pos="1247"/>
          <w:tab w:val="clear" w:pos="1814"/>
          <w:tab w:val="clear" w:pos="2381"/>
          <w:tab w:val="clear" w:pos="2948"/>
          <w:tab w:val="clear" w:pos="3515"/>
          <w:tab w:val="clear" w:pos="4082"/>
          <w:tab w:val="left" w:pos="624"/>
        </w:tabs>
        <w:spacing w:after="120"/>
        <w:ind w:left="2495" w:hanging="624"/>
      </w:pPr>
      <w:r w:rsidRPr="00086A97">
        <w:t>6.</w:t>
      </w:r>
      <w:r w:rsidRPr="00086A97">
        <w:tab/>
      </w:r>
      <w:r w:rsidR="0002610F" w:rsidRPr="00086A97">
        <w:t>Issues related to exemptions under Articles 2A–2I of the Montreal Protocol:</w:t>
      </w:r>
    </w:p>
    <w:p w14:paraId="062C689F" w14:textId="77777777" w:rsidR="0002610F" w:rsidRPr="00086A97" w:rsidRDefault="0002610F" w:rsidP="00B1324F">
      <w:pPr>
        <w:pStyle w:val="Normalnumber"/>
        <w:numPr>
          <w:ilvl w:val="2"/>
          <w:numId w:val="7"/>
        </w:numPr>
        <w:ind w:left="3119" w:hanging="624"/>
        <w:rPr>
          <w:szCs w:val="20"/>
          <w:lang w:val="en-GB"/>
        </w:rPr>
      </w:pPr>
      <w:r w:rsidRPr="00086A97">
        <w:rPr>
          <w:szCs w:val="20"/>
          <w:lang w:val="en-GB"/>
        </w:rPr>
        <w:t>Nominations for essential-use exemptions for 2017;</w:t>
      </w:r>
    </w:p>
    <w:p w14:paraId="70B64053" w14:textId="77777777" w:rsidR="0002610F" w:rsidRPr="00086A97" w:rsidRDefault="0002610F" w:rsidP="00B1324F">
      <w:pPr>
        <w:pStyle w:val="Normalnumber"/>
        <w:numPr>
          <w:ilvl w:val="2"/>
          <w:numId w:val="7"/>
        </w:numPr>
        <w:ind w:left="3119" w:hanging="624"/>
        <w:rPr>
          <w:szCs w:val="20"/>
          <w:lang w:val="en-GB"/>
        </w:rPr>
      </w:pPr>
      <w:r w:rsidRPr="00086A97">
        <w:rPr>
          <w:szCs w:val="20"/>
          <w:lang w:val="en-GB"/>
        </w:rPr>
        <w:t>Nominations for critical-use exemptions for 2017 and 2018.</w:t>
      </w:r>
    </w:p>
    <w:p w14:paraId="1ACEA292" w14:textId="61A68B87"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pPr>
      <w:r w:rsidRPr="00086A97">
        <w:t>7.</w:t>
      </w:r>
      <w:r w:rsidRPr="00086A97">
        <w:tab/>
      </w:r>
      <w:r w:rsidR="0002610F" w:rsidRPr="00086A97">
        <w:t xml:space="preserve">Issues related to the phase-out of </w:t>
      </w:r>
      <w:proofErr w:type="spellStart"/>
      <w:r w:rsidR="0002610F" w:rsidRPr="00086A97">
        <w:t>hydrochlorofluorocarbons</w:t>
      </w:r>
      <w:proofErr w:type="spellEnd"/>
      <w:r w:rsidR="0002610F" w:rsidRPr="00086A97">
        <w:t xml:space="preserve"> (decision XXVII/5).</w:t>
      </w:r>
    </w:p>
    <w:p w14:paraId="043F7C9B" w14:textId="4F1D61D4"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pPr>
      <w:r w:rsidRPr="00086A97">
        <w:t>8.</w:t>
      </w:r>
      <w:r w:rsidRPr="00086A97">
        <w:tab/>
      </w:r>
      <w:r w:rsidR="0002610F" w:rsidRPr="00086A97">
        <w:t xml:space="preserve">Availability of recovered, recycled or reclaimed </w:t>
      </w:r>
      <w:proofErr w:type="spellStart"/>
      <w:r w:rsidR="0002610F" w:rsidRPr="00086A97">
        <w:t>halons</w:t>
      </w:r>
      <w:proofErr w:type="spellEnd"/>
      <w:r w:rsidR="0002610F" w:rsidRPr="00086A97">
        <w:t xml:space="preserve"> (decision XXVI/7).</w:t>
      </w:r>
    </w:p>
    <w:p w14:paraId="129BF751" w14:textId="320253C6"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pPr>
      <w:r w:rsidRPr="00086A97">
        <w:t>9.</w:t>
      </w:r>
      <w:r w:rsidRPr="00086A97">
        <w:tab/>
      </w:r>
      <w:r w:rsidR="0002610F" w:rsidRPr="00086A97">
        <w:t>Terms of reference for the study on the 2018–2020 replenishment of the Multilateral Fund for</w:t>
      </w:r>
      <w:r w:rsidR="0002610F" w:rsidRPr="00086A97">
        <w:rPr>
          <w:color w:val="000000"/>
          <w:szCs w:val="20"/>
        </w:rPr>
        <w:t xml:space="preserve"> </w:t>
      </w:r>
      <w:r w:rsidR="0002610F" w:rsidRPr="00086A97">
        <w:t>the Implementation of the Montreal Protocol.</w:t>
      </w:r>
    </w:p>
    <w:p w14:paraId="046B89F7" w14:textId="1E549877"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rPr>
          <w:color w:val="000000"/>
          <w:szCs w:val="20"/>
        </w:rPr>
      </w:pPr>
      <w:r w:rsidRPr="00086A97">
        <w:t>10.</w:t>
      </w:r>
      <w:r w:rsidRPr="00086A97">
        <w:tab/>
      </w:r>
      <w:r w:rsidR="0002610F" w:rsidRPr="00086A97">
        <w:t>Report by the Technology and Economic Assessment Panel and the Scientific Assessment</w:t>
      </w:r>
      <w:r w:rsidR="0002610F" w:rsidRPr="00086A97">
        <w:rPr>
          <w:color w:val="000000"/>
          <w:szCs w:val="20"/>
        </w:rPr>
        <w:t xml:space="preserve"> Panel on analysis of the discrepancies between observed atmospheric concentrations and reported data on carbon tetrachloride (decision XXVII/7).</w:t>
      </w:r>
    </w:p>
    <w:p w14:paraId="2C986A4D" w14:textId="2E69D649"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rPr>
          <w:szCs w:val="20"/>
        </w:rPr>
      </w:pPr>
      <w:r w:rsidRPr="00086A97">
        <w:rPr>
          <w:szCs w:val="20"/>
        </w:rPr>
        <w:t>11.</w:t>
      </w:r>
      <w:r w:rsidRPr="00086A97">
        <w:rPr>
          <w:szCs w:val="20"/>
        </w:rPr>
        <w:tab/>
      </w:r>
      <w:r w:rsidR="0002610F" w:rsidRPr="00086A97">
        <w:rPr>
          <w:szCs w:val="20"/>
        </w:rPr>
        <w:t xml:space="preserve">Destruction of banks of ozone-depleting substances (UNEP/OzL.Pro.27/13, </w:t>
      </w:r>
      <w:proofErr w:type="spellStart"/>
      <w:r w:rsidR="0002610F" w:rsidRPr="00086A97">
        <w:rPr>
          <w:szCs w:val="20"/>
        </w:rPr>
        <w:t>para</w:t>
      </w:r>
      <w:proofErr w:type="spellEnd"/>
      <w:r w:rsidR="0002610F" w:rsidRPr="00086A97">
        <w:rPr>
          <w:szCs w:val="20"/>
        </w:rPr>
        <w:t>. 114).</w:t>
      </w:r>
    </w:p>
    <w:p w14:paraId="6E32CDD5" w14:textId="2D4E8C2E"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rPr>
          <w:szCs w:val="20"/>
        </w:rPr>
      </w:pPr>
      <w:r w:rsidRPr="00086A97">
        <w:rPr>
          <w:szCs w:val="20"/>
        </w:rPr>
        <w:t>12.</w:t>
      </w:r>
      <w:r w:rsidRPr="00086A97">
        <w:rPr>
          <w:szCs w:val="20"/>
        </w:rPr>
        <w:tab/>
      </w:r>
      <w:r w:rsidR="0002610F" w:rsidRPr="00086A97">
        <w:rPr>
          <w:szCs w:val="20"/>
        </w:rPr>
        <w:t>Technology and Economic Assessment Panel: organizational matters.</w:t>
      </w:r>
    </w:p>
    <w:p w14:paraId="2E0F579F" w14:textId="39649C80"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rPr>
          <w:szCs w:val="20"/>
        </w:rPr>
      </w:pPr>
      <w:r w:rsidRPr="00086A97">
        <w:rPr>
          <w:szCs w:val="20"/>
        </w:rPr>
        <w:t>13.</w:t>
      </w:r>
      <w:r w:rsidRPr="00086A97">
        <w:rPr>
          <w:szCs w:val="20"/>
        </w:rPr>
        <w:tab/>
      </w:r>
      <w:r w:rsidR="0002610F" w:rsidRPr="00086A97">
        <w:rPr>
          <w:szCs w:val="20"/>
        </w:rPr>
        <w:t>Other matters.</w:t>
      </w:r>
    </w:p>
    <w:p w14:paraId="1DA1302D" w14:textId="63D4A188" w:rsidR="0002610F"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rPr>
          <w:szCs w:val="20"/>
        </w:rPr>
      </w:pPr>
      <w:r w:rsidRPr="00086A97">
        <w:rPr>
          <w:szCs w:val="20"/>
        </w:rPr>
        <w:t>14.</w:t>
      </w:r>
      <w:r w:rsidRPr="00086A97">
        <w:rPr>
          <w:szCs w:val="20"/>
        </w:rPr>
        <w:tab/>
      </w:r>
      <w:r w:rsidR="0002610F" w:rsidRPr="00086A97">
        <w:rPr>
          <w:szCs w:val="20"/>
        </w:rPr>
        <w:t>Adoption of the report.</w:t>
      </w:r>
    </w:p>
    <w:p w14:paraId="0BFF2828" w14:textId="6F45BFBC" w:rsidR="00CD0B5E" w:rsidRPr="00086A97" w:rsidRDefault="001C2F0B" w:rsidP="001C2F0B">
      <w:pPr>
        <w:pStyle w:val="Normal-pool"/>
        <w:tabs>
          <w:tab w:val="clear" w:pos="1247"/>
          <w:tab w:val="clear" w:pos="1814"/>
          <w:tab w:val="clear" w:pos="2381"/>
          <w:tab w:val="clear" w:pos="2948"/>
          <w:tab w:val="clear" w:pos="3515"/>
          <w:tab w:val="clear" w:pos="4082"/>
        </w:tabs>
        <w:spacing w:after="120"/>
        <w:ind w:left="2495" w:hanging="624"/>
        <w:rPr>
          <w:szCs w:val="20"/>
        </w:rPr>
      </w:pPr>
      <w:r w:rsidRPr="00086A97">
        <w:rPr>
          <w:szCs w:val="20"/>
        </w:rPr>
        <w:t>15.</w:t>
      </w:r>
      <w:r w:rsidRPr="00086A97">
        <w:rPr>
          <w:szCs w:val="20"/>
        </w:rPr>
        <w:tab/>
      </w:r>
      <w:r w:rsidR="0002610F" w:rsidRPr="00086A97">
        <w:rPr>
          <w:szCs w:val="20"/>
        </w:rPr>
        <w:t>Closure of the meeting.</w:t>
      </w:r>
    </w:p>
    <w:p w14:paraId="6F055905" w14:textId="72C7F929" w:rsidR="005B14C8" w:rsidRPr="00086A97" w:rsidRDefault="0090595B" w:rsidP="00A30032">
      <w:pPr>
        <w:pStyle w:val="Normalnumber"/>
        <w:ind w:left="1247" w:firstLine="0"/>
        <w:rPr>
          <w:szCs w:val="20"/>
          <w:lang w:val="en-GB"/>
        </w:rPr>
      </w:pPr>
      <w:r w:rsidRPr="00086A97">
        <w:rPr>
          <w:lang w:val="en-GB"/>
        </w:rPr>
        <w:t xml:space="preserve">The representative of China announced that his Government would submit a conference room paper </w:t>
      </w:r>
      <w:r w:rsidR="00BF138B" w:rsidRPr="00086A97">
        <w:rPr>
          <w:lang w:val="en-GB"/>
        </w:rPr>
        <w:t>setting out</w:t>
      </w:r>
      <w:r w:rsidRPr="00086A97">
        <w:rPr>
          <w:lang w:val="en-GB"/>
        </w:rPr>
        <w:t xml:space="preserve"> a proposal for the establishment of an ad hoc coordination group on safety criteria or standards applicable to alternatives to </w:t>
      </w:r>
      <w:r w:rsidR="00F03E9F" w:rsidRPr="00086A97">
        <w:rPr>
          <w:lang w:val="en-GB"/>
        </w:rPr>
        <w:t>HFCs</w:t>
      </w:r>
      <w:r w:rsidRPr="00086A97">
        <w:rPr>
          <w:lang w:val="en-GB"/>
        </w:rPr>
        <w:t xml:space="preserve">. The Working Group agreed </w:t>
      </w:r>
      <w:r w:rsidR="009170FD" w:rsidRPr="00086A97">
        <w:rPr>
          <w:lang w:val="en-GB"/>
        </w:rPr>
        <w:t>that it would</w:t>
      </w:r>
      <w:r w:rsidRPr="00086A97">
        <w:rPr>
          <w:lang w:val="en-GB"/>
        </w:rPr>
        <w:t xml:space="preserve"> consider the proposal under item 13, “other matters”.</w:t>
      </w:r>
    </w:p>
    <w:p w14:paraId="6EF91F64" w14:textId="7091B881" w:rsidR="00B1324F" w:rsidRPr="00086A97" w:rsidRDefault="00B1324F" w:rsidP="00B1324F">
      <w:pPr>
        <w:pStyle w:val="CH2"/>
        <w:rPr>
          <w:lang w:val="en-GB"/>
        </w:rPr>
      </w:pPr>
      <w:r w:rsidRPr="00086A97">
        <w:rPr>
          <w:lang w:val="en-GB"/>
        </w:rPr>
        <w:tab/>
      </w:r>
      <w:r w:rsidR="00A028E3" w:rsidRPr="00086A97">
        <w:rPr>
          <w:lang w:val="en-GB"/>
        </w:rPr>
        <w:t>C</w:t>
      </w:r>
      <w:r w:rsidRPr="00086A97">
        <w:rPr>
          <w:lang w:val="en-GB"/>
        </w:rPr>
        <w:t>.</w:t>
      </w:r>
      <w:r w:rsidRPr="00086A97">
        <w:rPr>
          <w:lang w:val="en-GB"/>
        </w:rPr>
        <w:tab/>
        <w:t>Organization of work</w:t>
      </w:r>
    </w:p>
    <w:p w14:paraId="3EC0B550" w14:textId="77777777" w:rsidR="009939E5" w:rsidRPr="00086A97" w:rsidRDefault="009939E5" w:rsidP="00A30032">
      <w:pPr>
        <w:pStyle w:val="Normalnumber"/>
        <w:ind w:left="1247" w:firstLine="0"/>
        <w:rPr>
          <w:lang w:val="en-GB"/>
        </w:rPr>
      </w:pPr>
      <w:r w:rsidRPr="00086A97">
        <w:rPr>
          <w:lang w:val="en-GB"/>
        </w:rPr>
        <w:t xml:space="preserve">The Working Group </w:t>
      </w:r>
      <w:r w:rsidRPr="00760DDB">
        <w:rPr>
          <w:lang w:val="en-GB"/>
        </w:rPr>
        <w:t>adopted a proposal</w:t>
      </w:r>
      <w:r w:rsidRPr="00086A97">
        <w:rPr>
          <w:lang w:val="en-GB"/>
        </w:rPr>
        <w:t xml:space="preserve"> on the organization of work presented by the Co</w:t>
      </w:r>
      <w:r w:rsidRPr="00086A97">
        <w:rPr>
          <w:lang w:val="en-GB"/>
        </w:rPr>
        <w:noBreakHyphen/>
        <w:t xml:space="preserve">Chair, agreeing to establish contact and informal groups and to hold night sessions as necessary to finalize its work; to avoid holding contact group meetings in parallel with each other or with plenary meetings; and to avoid, to the extent possible, the holding of simultaneous informal group meetings. </w:t>
      </w:r>
    </w:p>
    <w:p w14:paraId="498642E2" w14:textId="6D2D3CE1" w:rsidR="009939E5" w:rsidRPr="00086A97" w:rsidRDefault="009939E5" w:rsidP="00A30032">
      <w:pPr>
        <w:pStyle w:val="Normalnumber"/>
        <w:ind w:left="1247" w:firstLine="0"/>
        <w:rPr>
          <w:lang w:val="en-GB"/>
        </w:rPr>
      </w:pPr>
      <w:r w:rsidRPr="00086A97">
        <w:rPr>
          <w:lang w:val="en-GB"/>
        </w:rPr>
        <w:t xml:space="preserve">During discussion of the proposal, representatives raised several issues that they said should be taken into account in the organization of the current meeting. </w:t>
      </w:r>
      <w:r w:rsidR="005E14E7" w:rsidRPr="00086A97">
        <w:rPr>
          <w:lang w:val="en-GB"/>
        </w:rPr>
        <w:t>I</w:t>
      </w:r>
      <w:r w:rsidRPr="00086A97">
        <w:rPr>
          <w:lang w:val="en-GB"/>
        </w:rPr>
        <w:t xml:space="preserve">t was said that parallel sessions </w:t>
      </w:r>
      <w:r w:rsidR="005E14E7" w:rsidRPr="00086A97">
        <w:rPr>
          <w:lang w:val="en-GB"/>
        </w:rPr>
        <w:t xml:space="preserve">of various groups </w:t>
      </w:r>
      <w:r w:rsidRPr="00086A97">
        <w:rPr>
          <w:lang w:val="en-GB"/>
        </w:rPr>
        <w:t>should be avoided; that time should be allocated for regional consultations; that evening sessions should be avoided or, if that proved impracticable, limited in length and not allowed to run late into the night; that contact group co-chairs should allow time for breaks</w:t>
      </w:r>
      <w:r w:rsidR="001560A7" w:rsidRPr="00086A97">
        <w:rPr>
          <w:lang w:val="en-GB"/>
        </w:rPr>
        <w:t xml:space="preserve">; </w:t>
      </w:r>
      <w:r w:rsidRPr="00086A97">
        <w:rPr>
          <w:lang w:val="en-GB"/>
        </w:rPr>
        <w:t xml:space="preserve">that </w:t>
      </w:r>
      <w:r w:rsidR="001560A7" w:rsidRPr="00086A97">
        <w:rPr>
          <w:lang w:val="en-GB"/>
        </w:rPr>
        <w:t xml:space="preserve">contact </w:t>
      </w:r>
      <w:r w:rsidRPr="00086A97">
        <w:rPr>
          <w:lang w:val="en-GB"/>
        </w:rPr>
        <w:t xml:space="preserve">groups </w:t>
      </w:r>
      <w:r w:rsidR="001560A7" w:rsidRPr="00086A97">
        <w:rPr>
          <w:lang w:val="en-GB"/>
        </w:rPr>
        <w:t>be given firm deadlines for the completion of their work</w:t>
      </w:r>
      <w:r w:rsidRPr="00086A97">
        <w:rPr>
          <w:lang w:val="en-GB"/>
        </w:rPr>
        <w:t xml:space="preserve">; and </w:t>
      </w:r>
      <w:r w:rsidR="001560A7" w:rsidRPr="00086A97">
        <w:rPr>
          <w:lang w:val="en-GB"/>
        </w:rPr>
        <w:t>that</w:t>
      </w:r>
      <w:r w:rsidRPr="00086A97">
        <w:rPr>
          <w:lang w:val="en-GB"/>
        </w:rPr>
        <w:t xml:space="preserve"> all meeting rooms </w:t>
      </w:r>
      <w:r w:rsidR="001560A7" w:rsidRPr="00086A97">
        <w:rPr>
          <w:lang w:val="en-GB"/>
        </w:rPr>
        <w:t>should be sufficiently spacious</w:t>
      </w:r>
      <w:r w:rsidRPr="00086A97">
        <w:rPr>
          <w:lang w:val="en-GB"/>
        </w:rPr>
        <w:t xml:space="preserve"> and comfortable. The Co-Chair said that the </w:t>
      </w:r>
      <w:r w:rsidR="00760DDB">
        <w:rPr>
          <w:lang w:val="en-GB"/>
        </w:rPr>
        <w:t>S</w:t>
      </w:r>
      <w:r w:rsidR="00760DDB" w:rsidRPr="00086A97">
        <w:rPr>
          <w:lang w:val="en-GB"/>
        </w:rPr>
        <w:t xml:space="preserve">ecretariat </w:t>
      </w:r>
      <w:r w:rsidRPr="00086A97">
        <w:rPr>
          <w:lang w:val="en-GB"/>
        </w:rPr>
        <w:t>and the Co</w:t>
      </w:r>
      <w:r w:rsidR="00A16DF0">
        <w:rPr>
          <w:lang w:val="en-GB"/>
        </w:rPr>
        <w:noBreakHyphen/>
      </w:r>
      <w:r w:rsidRPr="00086A97">
        <w:rPr>
          <w:lang w:val="en-GB"/>
        </w:rPr>
        <w:t xml:space="preserve">Chairs had taken note of </w:t>
      </w:r>
      <w:r w:rsidR="00231E7A" w:rsidRPr="00086A97">
        <w:rPr>
          <w:lang w:val="en-GB"/>
        </w:rPr>
        <w:t>the</w:t>
      </w:r>
      <w:r w:rsidRPr="00086A97">
        <w:rPr>
          <w:lang w:val="en-GB"/>
        </w:rPr>
        <w:t xml:space="preserve"> concerns expressed and would do their best to address them.</w:t>
      </w:r>
    </w:p>
    <w:p w14:paraId="351B7712" w14:textId="510C6870" w:rsidR="00840136" w:rsidRPr="00086A97" w:rsidRDefault="00CD0B5E" w:rsidP="00802A53">
      <w:pPr>
        <w:pStyle w:val="CH1"/>
        <w:rPr>
          <w:lang w:val="en-GB"/>
        </w:rPr>
      </w:pPr>
      <w:r w:rsidRPr="00086A97">
        <w:rPr>
          <w:szCs w:val="18"/>
          <w:lang w:val="en-GB"/>
        </w:rPr>
        <w:tab/>
        <w:t>III.</w:t>
      </w:r>
      <w:r w:rsidRPr="00086A97">
        <w:rPr>
          <w:szCs w:val="18"/>
          <w:lang w:val="en-GB"/>
        </w:rPr>
        <w:tab/>
      </w:r>
      <w:r w:rsidR="009A5EF6" w:rsidRPr="00086A97">
        <w:rPr>
          <w:szCs w:val="18"/>
          <w:lang w:val="en-GB"/>
        </w:rPr>
        <w:t>R</w:t>
      </w:r>
      <w:r w:rsidR="00840136" w:rsidRPr="00086A97">
        <w:rPr>
          <w:lang w:val="en-GB"/>
        </w:rPr>
        <w:t>eport by the Technology and Economic Assessment Panel on updated and new information on alternatives to ozone-depletin</w:t>
      </w:r>
      <w:r w:rsidR="003762DF" w:rsidRPr="00086A97">
        <w:rPr>
          <w:lang w:val="en-GB"/>
        </w:rPr>
        <w:t>g substances (decision XXVII/4)</w:t>
      </w:r>
    </w:p>
    <w:p w14:paraId="63784514" w14:textId="216021AE" w:rsidR="00D94442" w:rsidRPr="00086A97" w:rsidRDefault="00D94442" w:rsidP="00A30032">
      <w:pPr>
        <w:pStyle w:val="Normalnumber"/>
        <w:ind w:left="1247" w:firstLine="0"/>
        <w:rPr>
          <w:lang w:val="en-GB"/>
        </w:rPr>
      </w:pPr>
      <w:r w:rsidRPr="00086A97">
        <w:rPr>
          <w:lang w:val="en-GB"/>
        </w:rPr>
        <w:t xml:space="preserve">Introducing item 3 of the agenda, the Co-Chair of the Open-ended Working Group recalled that in decision XXVII/4 the Meeting of the Parties had requested the Technology and Economic Assessment Panel to prepare a report for consideration </w:t>
      </w:r>
      <w:r w:rsidR="00455E53" w:rsidRPr="00086A97">
        <w:rPr>
          <w:lang w:val="en-GB"/>
        </w:rPr>
        <w:t>by the Open-ended Working Group and</w:t>
      </w:r>
      <w:r w:rsidRPr="00086A97">
        <w:rPr>
          <w:lang w:val="en-GB"/>
        </w:rPr>
        <w:t xml:space="preserve"> an updated version of that report for consideration by the Twenty-Eighth Meeting of the Parties. The task force established by the Panel </w:t>
      </w:r>
      <w:r w:rsidR="00455E53" w:rsidRPr="00086A97">
        <w:rPr>
          <w:lang w:val="en-GB"/>
        </w:rPr>
        <w:t xml:space="preserve">to prepare the report </w:t>
      </w:r>
      <w:r w:rsidRPr="00086A97">
        <w:rPr>
          <w:lang w:val="en-GB"/>
        </w:rPr>
        <w:t xml:space="preserve">had presented </w:t>
      </w:r>
      <w:r w:rsidR="00455E53" w:rsidRPr="00086A97">
        <w:rPr>
          <w:lang w:val="en-GB"/>
        </w:rPr>
        <w:t>an</w:t>
      </w:r>
      <w:r w:rsidRPr="00086A97">
        <w:rPr>
          <w:lang w:val="en-GB"/>
        </w:rPr>
        <w:t xml:space="preserve"> initial </w:t>
      </w:r>
      <w:r w:rsidR="00455E53" w:rsidRPr="00086A97">
        <w:rPr>
          <w:lang w:val="en-GB"/>
        </w:rPr>
        <w:t xml:space="preserve">draft of the </w:t>
      </w:r>
      <w:r w:rsidRPr="00086A97">
        <w:rPr>
          <w:lang w:val="en-GB"/>
        </w:rPr>
        <w:t xml:space="preserve">report to the Open-ended Working Group </w:t>
      </w:r>
      <w:r w:rsidR="00455E53" w:rsidRPr="00086A97">
        <w:rPr>
          <w:lang w:val="en-GB"/>
        </w:rPr>
        <w:t>at its thirty-seventh meeting</w:t>
      </w:r>
      <w:r w:rsidRPr="00086A97">
        <w:rPr>
          <w:lang w:val="en-GB"/>
        </w:rPr>
        <w:t xml:space="preserve"> and had subsequently revised and updated it in the light of the comments received and the guidance issued by the</w:t>
      </w:r>
      <w:r w:rsidR="00455E53" w:rsidRPr="00086A97">
        <w:rPr>
          <w:lang w:val="en-GB"/>
        </w:rPr>
        <w:t xml:space="preserve"> Working Group at that meeting. The updated </w:t>
      </w:r>
      <w:r w:rsidRPr="00086A97">
        <w:rPr>
          <w:lang w:val="en-GB"/>
        </w:rPr>
        <w:t xml:space="preserve">version </w:t>
      </w:r>
      <w:r w:rsidR="00455E53" w:rsidRPr="00086A97">
        <w:rPr>
          <w:lang w:val="en-GB"/>
        </w:rPr>
        <w:t xml:space="preserve">of the report </w:t>
      </w:r>
      <w:r w:rsidRPr="00086A97">
        <w:rPr>
          <w:lang w:val="en-GB"/>
        </w:rPr>
        <w:t xml:space="preserve">was </w:t>
      </w:r>
      <w:r w:rsidR="00455E53" w:rsidRPr="00086A97">
        <w:rPr>
          <w:lang w:val="en-GB"/>
        </w:rPr>
        <w:t>before the Working Group at the current meeting</w:t>
      </w:r>
      <w:r w:rsidRPr="00086A97">
        <w:rPr>
          <w:lang w:val="en-GB"/>
        </w:rPr>
        <w:t xml:space="preserve">. On behalf of the </w:t>
      </w:r>
      <w:r w:rsidR="00455E53" w:rsidRPr="00086A97">
        <w:rPr>
          <w:lang w:val="en-GB"/>
        </w:rPr>
        <w:t>Working Group</w:t>
      </w:r>
      <w:r w:rsidRPr="00086A97">
        <w:rPr>
          <w:lang w:val="en-GB"/>
        </w:rPr>
        <w:t xml:space="preserve">, he expressed appreciation for the hard work of the task force in producing </w:t>
      </w:r>
      <w:r w:rsidR="00455E53" w:rsidRPr="00086A97">
        <w:rPr>
          <w:lang w:val="en-GB"/>
        </w:rPr>
        <w:t>the report</w:t>
      </w:r>
      <w:r w:rsidRPr="00086A97">
        <w:rPr>
          <w:lang w:val="en-GB"/>
        </w:rPr>
        <w:t xml:space="preserve"> </w:t>
      </w:r>
      <w:r w:rsidR="00845896" w:rsidRPr="00086A97">
        <w:rPr>
          <w:lang w:val="en-GB"/>
        </w:rPr>
        <w:t xml:space="preserve">subject to </w:t>
      </w:r>
      <w:r w:rsidR="005E14E7" w:rsidRPr="00086A97">
        <w:rPr>
          <w:lang w:val="en-GB"/>
        </w:rPr>
        <w:t>considerable time constraints</w:t>
      </w:r>
      <w:r w:rsidRPr="00086A97">
        <w:rPr>
          <w:lang w:val="en-GB"/>
        </w:rPr>
        <w:t xml:space="preserve">. He also drew attention to the executive summary of the </w:t>
      </w:r>
      <w:r w:rsidR="005E14E7" w:rsidRPr="00086A97">
        <w:rPr>
          <w:lang w:val="en-GB"/>
        </w:rPr>
        <w:t xml:space="preserve">current </w:t>
      </w:r>
      <w:r w:rsidR="00331002" w:rsidRPr="00086A97">
        <w:rPr>
          <w:lang w:val="en-GB"/>
        </w:rPr>
        <w:t xml:space="preserve">version of the </w:t>
      </w:r>
      <w:r w:rsidRPr="00086A97">
        <w:rPr>
          <w:lang w:val="en-GB"/>
        </w:rPr>
        <w:t>report</w:t>
      </w:r>
      <w:r w:rsidR="00455E53" w:rsidRPr="00086A97">
        <w:rPr>
          <w:lang w:val="en-GB"/>
        </w:rPr>
        <w:t xml:space="preserve"> (</w:t>
      </w:r>
      <w:r w:rsidRPr="00086A97">
        <w:rPr>
          <w:lang w:val="en-GB"/>
        </w:rPr>
        <w:t xml:space="preserve">OzL.Pro.WG.1/38/2/Add.1). </w:t>
      </w:r>
    </w:p>
    <w:p w14:paraId="2C6A3CD3" w14:textId="06807CB7" w:rsidR="00D94442" w:rsidRPr="00086A97" w:rsidRDefault="00D94442" w:rsidP="00A30032">
      <w:pPr>
        <w:pStyle w:val="Normalnumber"/>
        <w:ind w:left="1247" w:firstLine="0"/>
        <w:rPr>
          <w:lang w:val="en-GB"/>
        </w:rPr>
      </w:pPr>
      <w:proofErr w:type="spellStart"/>
      <w:r w:rsidRPr="00086A97">
        <w:rPr>
          <w:lang w:val="en-GB"/>
        </w:rPr>
        <w:t>Ms.</w:t>
      </w:r>
      <w:proofErr w:type="spellEnd"/>
      <w:r w:rsidRPr="00086A97">
        <w:rPr>
          <w:lang w:val="en-GB"/>
        </w:rPr>
        <w:t xml:space="preserve"> Bella </w:t>
      </w:r>
      <w:proofErr w:type="spellStart"/>
      <w:r w:rsidRPr="00086A97">
        <w:rPr>
          <w:lang w:val="en-GB"/>
        </w:rPr>
        <w:t>Maranion</w:t>
      </w:r>
      <w:proofErr w:type="spellEnd"/>
      <w:r w:rsidRPr="00086A97">
        <w:rPr>
          <w:lang w:val="en-GB"/>
        </w:rPr>
        <w:t xml:space="preserve">, </w:t>
      </w:r>
      <w:proofErr w:type="spellStart"/>
      <w:r w:rsidRPr="00086A97">
        <w:rPr>
          <w:lang w:val="en-GB"/>
        </w:rPr>
        <w:t>Mr.</w:t>
      </w:r>
      <w:proofErr w:type="spellEnd"/>
      <w:r w:rsidRPr="00086A97">
        <w:rPr>
          <w:lang w:val="en-GB"/>
        </w:rPr>
        <w:t xml:space="preserve"> Roberto </w:t>
      </w:r>
      <w:proofErr w:type="spellStart"/>
      <w:r w:rsidRPr="00086A97">
        <w:rPr>
          <w:lang w:val="en-GB"/>
        </w:rPr>
        <w:t>Peixoto</w:t>
      </w:r>
      <w:proofErr w:type="spellEnd"/>
      <w:r w:rsidRPr="00086A97">
        <w:rPr>
          <w:lang w:val="en-GB"/>
        </w:rPr>
        <w:t xml:space="preserve"> and </w:t>
      </w:r>
      <w:proofErr w:type="spellStart"/>
      <w:r w:rsidRPr="00086A97">
        <w:rPr>
          <w:lang w:val="en-GB"/>
        </w:rPr>
        <w:t>Mr.</w:t>
      </w:r>
      <w:proofErr w:type="spellEnd"/>
      <w:r w:rsidRPr="00086A97">
        <w:rPr>
          <w:lang w:val="en-GB"/>
        </w:rPr>
        <w:t xml:space="preserve"> Lambert </w:t>
      </w:r>
      <w:proofErr w:type="spellStart"/>
      <w:r w:rsidRPr="00086A97">
        <w:rPr>
          <w:lang w:val="en-GB"/>
        </w:rPr>
        <w:t>Kuijpers</w:t>
      </w:r>
      <w:proofErr w:type="spellEnd"/>
      <w:r w:rsidRPr="00086A97">
        <w:rPr>
          <w:lang w:val="en-GB"/>
        </w:rPr>
        <w:t xml:space="preserve">, co-chairs of the task force, gave a presentation on the </w:t>
      </w:r>
      <w:r w:rsidR="00455E53" w:rsidRPr="00086A97">
        <w:rPr>
          <w:lang w:val="en-GB"/>
        </w:rPr>
        <w:t xml:space="preserve">current </w:t>
      </w:r>
      <w:r w:rsidR="005E14E7" w:rsidRPr="00086A97">
        <w:rPr>
          <w:lang w:val="en-GB"/>
        </w:rPr>
        <w:t>version</w:t>
      </w:r>
      <w:r w:rsidR="00455E53" w:rsidRPr="00086A97">
        <w:rPr>
          <w:lang w:val="en-GB"/>
        </w:rPr>
        <w:t xml:space="preserve"> of the </w:t>
      </w:r>
      <w:r w:rsidRPr="00086A97">
        <w:rPr>
          <w:lang w:val="en-GB"/>
        </w:rPr>
        <w:t>report</w:t>
      </w:r>
      <w:r w:rsidR="00455E53" w:rsidRPr="00086A97">
        <w:rPr>
          <w:lang w:val="en-GB"/>
        </w:rPr>
        <w:t>, which provided</w:t>
      </w:r>
      <w:r w:rsidRPr="00086A97">
        <w:rPr>
          <w:lang w:val="en-GB"/>
        </w:rPr>
        <w:t xml:space="preserve"> updated information on the use of alternatives in the refrigeration and air-conditioning sector based on informal discussions at the </w:t>
      </w:r>
      <w:r w:rsidR="00455E53" w:rsidRPr="00086A97">
        <w:rPr>
          <w:lang w:val="en-GB"/>
        </w:rPr>
        <w:t>thirty-seventh</w:t>
      </w:r>
      <w:r w:rsidRPr="00086A97">
        <w:rPr>
          <w:lang w:val="en-GB"/>
        </w:rPr>
        <w:t xml:space="preserve"> meeting of the Open-ended Working Group, </w:t>
      </w:r>
      <w:r w:rsidR="00455E53" w:rsidRPr="00086A97">
        <w:rPr>
          <w:lang w:val="en-GB"/>
        </w:rPr>
        <w:t>information in response</w:t>
      </w:r>
      <w:r w:rsidRPr="00086A97">
        <w:rPr>
          <w:lang w:val="en-GB"/>
        </w:rPr>
        <w:t xml:space="preserve"> to other parts of decision XXVII/4</w:t>
      </w:r>
      <w:r w:rsidR="00455E53" w:rsidRPr="00086A97">
        <w:rPr>
          <w:lang w:val="en-GB"/>
        </w:rPr>
        <w:t xml:space="preserve"> not addressed in the first draft</w:t>
      </w:r>
      <w:r w:rsidRPr="00086A97">
        <w:rPr>
          <w:lang w:val="en-GB"/>
        </w:rPr>
        <w:t>, including information on alternatives to refrigeration systems on fishing vessels</w:t>
      </w:r>
      <w:r w:rsidR="00823B15" w:rsidRPr="00086A97">
        <w:rPr>
          <w:lang w:val="en-GB"/>
        </w:rPr>
        <w:t xml:space="preserve"> and</w:t>
      </w:r>
      <w:r w:rsidR="00455E53" w:rsidRPr="00086A97">
        <w:rPr>
          <w:lang w:val="en-GB"/>
        </w:rPr>
        <w:t xml:space="preserve"> updated </w:t>
      </w:r>
      <w:r w:rsidRPr="00086A97">
        <w:rPr>
          <w:lang w:val="en-GB"/>
        </w:rPr>
        <w:t xml:space="preserve">information on </w:t>
      </w:r>
      <w:r w:rsidR="00455E53" w:rsidRPr="00086A97">
        <w:rPr>
          <w:lang w:val="en-GB"/>
        </w:rPr>
        <w:t xml:space="preserve">the use of alternatives in high ambient </w:t>
      </w:r>
      <w:r w:rsidRPr="00086A97">
        <w:rPr>
          <w:lang w:val="en-GB"/>
        </w:rPr>
        <w:t>temperatures</w:t>
      </w:r>
      <w:r w:rsidR="00823B15" w:rsidRPr="00086A97">
        <w:rPr>
          <w:lang w:val="en-GB"/>
        </w:rPr>
        <w:t>,</w:t>
      </w:r>
      <w:r w:rsidRPr="00086A97">
        <w:rPr>
          <w:lang w:val="en-GB"/>
        </w:rPr>
        <w:t xml:space="preserve"> and </w:t>
      </w:r>
      <w:r w:rsidR="00455E53" w:rsidRPr="00086A97">
        <w:rPr>
          <w:lang w:val="en-GB"/>
        </w:rPr>
        <w:t>further development</w:t>
      </w:r>
      <w:r w:rsidRPr="00086A97">
        <w:rPr>
          <w:lang w:val="en-GB"/>
        </w:rPr>
        <w:t xml:space="preserve"> of the mitigation scenarios.</w:t>
      </w:r>
    </w:p>
    <w:p w14:paraId="2131DC79" w14:textId="3D821B1D" w:rsidR="00D94442" w:rsidRPr="00086A97" w:rsidRDefault="00D94442" w:rsidP="00A30032">
      <w:pPr>
        <w:pStyle w:val="Normalnumber"/>
        <w:ind w:left="1247" w:firstLine="0"/>
        <w:rPr>
          <w:lang w:val="en-GB"/>
        </w:rPr>
      </w:pPr>
      <w:r w:rsidRPr="00086A97">
        <w:rPr>
          <w:lang w:val="en-GB"/>
        </w:rPr>
        <w:t xml:space="preserve">A summary of the presentation, prepared by the presenters, is set out in annex </w:t>
      </w:r>
      <w:r w:rsidR="00D87964" w:rsidRPr="00086A97">
        <w:rPr>
          <w:lang w:val="en-GB"/>
        </w:rPr>
        <w:t>I</w:t>
      </w:r>
      <w:r w:rsidRPr="00086A97">
        <w:rPr>
          <w:lang w:val="en-GB"/>
        </w:rPr>
        <w:t xml:space="preserve"> to the present report.</w:t>
      </w:r>
    </w:p>
    <w:p w14:paraId="0CAEA5EF" w14:textId="64F3FF7F" w:rsidR="00D94442" w:rsidRPr="00086A97" w:rsidRDefault="00D94442" w:rsidP="00A30032">
      <w:pPr>
        <w:pStyle w:val="Normalnumber"/>
        <w:ind w:left="1247" w:firstLine="0"/>
        <w:rPr>
          <w:lang w:val="en-GB"/>
        </w:rPr>
      </w:pPr>
      <w:r w:rsidRPr="00086A97">
        <w:rPr>
          <w:lang w:val="en-GB"/>
        </w:rPr>
        <w:t xml:space="preserve">In the discussion </w:t>
      </w:r>
      <w:r w:rsidRPr="00D739E2">
        <w:rPr>
          <w:lang w:val="en-GB"/>
        </w:rPr>
        <w:t>following the presentation</w:t>
      </w:r>
      <w:r w:rsidRPr="00086A97">
        <w:rPr>
          <w:lang w:val="en-GB"/>
        </w:rPr>
        <w:t xml:space="preserve">, all of the representatives who spoke thanked the Panel and task force for their work in preparing </w:t>
      </w:r>
      <w:r w:rsidR="00726988" w:rsidRPr="00086A97">
        <w:rPr>
          <w:lang w:val="en-GB"/>
        </w:rPr>
        <w:t xml:space="preserve">what they described as </w:t>
      </w:r>
      <w:r w:rsidRPr="00086A97">
        <w:rPr>
          <w:lang w:val="en-GB"/>
        </w:rPr>
        <w:t xml:space="preserve">an extremely valuable report in the short time available. A number of representatives posed questions regarding matters highlighted during the presentation or discussed in the report. </w:t>
      </w:r>
    </w:p>
    <w:p w14:paraId="2F71BA73" w14:textId="7B8578C6" w:rsidR="00D94442" w:rsidRPr="00086A97" w:rsidRDefault="00D94442" w:rsidP="00A30032">
      <w:pPr>
        <w:pStyle w:val="Normalnumber"/>
        <w:ind w:left="1247" w:firstLine="0"/>
        <w:rPr>
          <w:lang w:val="en-GB"/>
        </w:rPr>
      </w:pPr>
      <w:r w:rsidRPr="00086A97">
        <w:rPr>
          <w:lang w:val="en-GB"/>
        </w:rPr>
        <w:t>Responding to questions on testing prog</w:t>
      </w:r>
      <w:r w:rsidR="00726988" w:rsidRPr="00086A97">
        <w:rPr>
          <w:lang w:val="en-GB"/>
        </w:rPr>
        <w:t>rammes for alternatives in high ambient temperature</w:t>
      </w:r>
      <w:r w:rsidRPr="00086A97">
        <w:rPr>
          <w:lang w:val="en-GB"/>
        </w:rPr>
        <w:t xml:space="preserve">s, </w:t>
      </w:r>
      <w:proofErr w:type="spellStart"/>
      <w:r w:rsidRPr="00086A97">
        <w:rPr>
          <w:lang w:val="en-GB"/>
        </w:rPr>
        <w:t>Mr</w:t>
      </w:r>
      <w:r w:rsidR="00726988" w:rsidRPr="00086A97">
        <w:rPr>
          <w:lang w:val="en-GB"/>
        </w:rPr>
        <w:t>.</w:t>
      </w:r>
      <w:proofErr w:type="spellEnd"/>
      <w:r w:rsidRPr="00086A97">
        <w:rPr>
          <w:lang w:val="en-GB"/>
        </w:rPr>
        <w:t xml:space="preserve"> </w:t>
      </w:r>
      <w:proofErr w:type="spellStart"/>
      <w:r w:rsidRPr="00086A97">
        <w:rPr>
          <w:lang w:val="en-GB"/>
        </w:rPr>
        <w:t>Peixoto</w:t>
      </w:r>
      <w:proofErr w:type="spellEnd"/>
      <w:r w:rsidRPr="00086A97">
        <w:rPr>
          <w:lang w:val="en-GB"/>
        </w:rPr>
        <w:t xml:space="preserve"> explained that it was difficult to compare the results from different programmes</w:t>
      </w:r>
      <w:r w:rsidR="00726988" w:rsidRPr="00086A97">
        <w:rPr>
          <w:lang w:val="en-GB"/>
        </w:rPr>
        <w:t xml:space="preserve"> because </w:t>
      </w:r>
      <w:r w:rsidRPr="00086A97">
        <w:rPr>
          <w:lang w:val="en-GB"/>
        </w:rPr>
        <w:t xml:space="preserve">the tests had been conducted on different types of equipment </w:t>
      </w:r>
      <w:r w:rsidR="00726988" w:rsidRPr="00086A97">
        <w:rPr>
          <w:lang w:val="en-GB"/>
        </w:rPr>
        <w:t>under</w:t>
      </w:r>
      <w:r w:rsidRPr="00086A97">
        <w:rPr>
          <w:lang w:val="en-GB"/>
        </w:rPr>
        <w:t xml:space="preserve"> different conditions </w:t>
      </w:r>
      <w:r w:rsidR="00726988" w:rsidRPr="00086A97">
        <w:rPr>
          <w:lang w:val="en-GB"/>
        </w:rPr>
        <w:t xml:space="preserve">using </w:t>
      </w:r>
      <w:r w:rsidRPr="00086A97">
        <w:rPr>
          <w:lang w:val="en-GB"/>
        </w:rPr>
        <w:t xml:space="preserve">different testing protocols; no standard protocol had yet been developed. In general, the alternatives had been compared against either HCFC-22 or </w:t>
      </w:r>
      <w:r w:rsidR="00417071" w:rsidRPr="00086A97">
        <w:rPr>
          <w:lang w:val="en-GB"/>
        </w:rPr>
        <w:t>R</w:t>
      </w:r>
      <w:r w:rsidRPr="00086A97">
        <w:rPr>
          <w:lang w:val="en-GB"/>
        </w:rPr>
        <w:t>-</w:t>
      </w:r>
      <w:r w:rsidR="00726988" w:rsidRPr="00086A97">
        <w:rPr>
          <w:lang w:val="en-GB"/>
        </w:rPr>
        <w:t>410A because tho</w:t>
      </w:r>
      <w:r w:rsidRPr="00086A97">
        <w:rPr>
          <w:lang w:val="en-GB"/>
        </w:rPr>
        <w:t xml:space="preserve">se two substances were in widespread use but possessed different characteristics. He added, however, that it was hoped that in the near future </w:t>
      </w:r>
      <w:r w:rsidR="0030066E" w:rsidRPr="00086A97">
        <w:rPr>
          <w:lang w:val="en-GB"/>
        </w:rPr>
        <w:t xml:space="preserve">testing </w:t>
      </w:r>
      <w:r w:rsidRPr="00086A97">
        <w:rPr>
          <w:lang w:val="en-GB"/>
        </w:rPr>
        <w:t xml:space="preserve">would be developed </w:t>
      </w:r>
      <w:r w:rsidR="00726988" w:rsidRPr="00086A97">
        <w:rPr>
          <w:lang w:val="en-GB"/>
        </w:rPr>
        <w:t>that</w:t>
      </w:r>
      <w:r w:rsidRPr="00086A97">
        <w:rPr>
          <w:lang w:val="en-GB"/>
        </w:rPr>
        <w:t xml:space="preserve"> would permit </w:t>
      </w:r>
      <w:r w:rsidR="0030066E" w:rsidRPr="00086A97">
        <w:rPr>
          <w:lang w:val="en-GB"/>
        </w:rPr>
        <w:t xml:space="preserve">broader </w:t>
      </w:r>
      <w:r w:rsidRPr="00086A97">
        <w:rPr>
          <w:lang w:val="en-GB"/>
        </w:rPr>
        <w:t xml:space="preserve">comparisons to be drawn. He </w:t>
      </w:r>
      <w:r w:rsidR="00726988" w:rsidRPr="00086A97">
        <w:rPr>
          <w:lang w:val="en-GB"/>
        </w:rPr>
        <w:t>said</w:t>
      </w:r>
      <w:r w:rsidRPr="00086A97">
        <w:rPr>
          <w:lang w:val="en-GB"/>
        </w:rPr>
        <w:t xml:space="preserve"> that more information on the time</w:t>
      </w:r>
      <w:r w:rsidR="00D739E2">
        <w:rPr>
          <w:lang w:val="en-GB"/>
        </w:rPr>
        <w:t xml:space="preserve"> </w:t>
      </w:r>
      <w:r w:rsidRPr="00086A97">
        <w:rPr>
          <w:lang w:val="en-GB"/>
        </w:rPr>
        <w:t xml:space="preserve">frames of the testing programmes would be included in the next </w:t>
      </w:r>
      <w:r w:rsidR="002617A0" w:rsidRPr="00086A97">
        <w:rPr>
          <w:lang w:val="en-GB"/>
        </w:rPr>
        <w:t xml:space="preserve">version of the </w:t>
      </w:r>
      <w:r w:rsidRPr="00086A97">
        <w:rPr>
          <w:lang w:val="en-GB"/>
        </w:rPr>
        <w:t xml:space="preserve">report. </w:t>
      </w:r>
    </w:p>
    <w:p w14:paraId="63FC018D" w14:textId="183187C4" w:rsidR="00D94442" w:rsidRPr="00086A97" w:rsidRDefault="00D94442" w:rsidP="00A30032">
      <w:pPr>
        <w:pStyle w:val="Normalnumber"/>
        <w:ind w:left="1247" w:firstLine="0"/>
        <w:rPr>
          <w:lang w:val="en-GB"/>
        </w:rPr>
      </w:pPr>
      <w:r w:rsidRPr="00086A97">
        <w:rPr>
          <w:lang w:val="en-GB"/>
        </w:rPr>
        <w:t xml:space="preserve">Responding to a question on the future commercial availability of new refrigerants, </w:t>
      </w:r>
      <w:r w:rsidR="00726988" w:rsidRPr="00086A97">
        <w:rPr>
          <w:lang w:val="en-GB"/>
        </w:rPr>
        <w:t>he</w:t>
      </w:r>
      <w:r w:rsidRPr="00086A97">
        <w:rPr>
          <w:lang w:val="en-GB"/>
        </w:rPr>
        <w:t xml:space="preserve"> </w:t>
      </w:r>
      <w:r w:rsidR="00726988" w:rsidRPr="00086A97">
        <w:rPr>
          <w:lang w:val="en-GB"/>
        </w:rPr>
        <w:t>said</w:t>
      </w:r>
      <w:r w:rsidRPr="00086A97">
        <w:rPr>
          <w:lang w:val="en-GB"/>
        </w:rPr>
        <w:t xml:space="preserve"> that </w:t>
      </w:r>
      <w:r w:rsidR="00726988" w:rsidRPr="00086A97">
        <w:rPr>
          <w:lang w:val="en-GB"/>
        </w:rPr>
        <w:t>it</w:t>
      </w:r>
      <w:r w:rsidRPr="00086A97">
        <w:rPr>
          <w:lang w:val="en-GB"/>
        </w:rPr>
        <w:t xml:space="preserve"> depended on several factors. While the task force could monitor the </w:t>
      </w:r>
      <w:r w:rsidR="00726988" w:rsidRPr="00086A97">
        <w:rPr>
          <w:lang w:val="en-GB"/>
        </w:rPr>
        <w:t>current</w:t>
      </w:r>
      <w:r w:rsidRPr="00086A97">
        <w:rPr>
          <w:lang w:val="en-GB"/>
        </w:rPr>
        <w:t xml:space="preserve"> situation in the market, it was impossible to foresee future developments.</w:t>
      </w:r>
    </w:p>
    <w:p w14:paraId="4EAD8AB3" w14:textId="5B074754" w:rsidR="00D94442" w:rsidRPr="00086A97" w:rsidRDefault="00D94442" w:rsidP="00A30032">
      <w:pPr>
        <w:pStyle w:val="Normalnumber"/>
        <w:ind w:left="1247" w:firstLine="0"/>
        <w:rPr>
          <w:lang w:val="en-GB"/>
        </w:rPr>
      </w:pPr>
      <w:r w:rsidRPr="00086A97">
        <w:rPr>
          <w:lang w:val="en-GB"/>
        </w:rPr>
        <w:t xml:space="preserve">Responding to questions </w:t>
      </w:r>
      <w:r w:rsidRPr="00EA2595">
        <w:rPr>
          <w:lang w:val="en-GB"/>
        </w:rPr>
        <w:t>on the cost</w:t>
      </w:r>
      <w:r w:rsidRPr="00086A97">
        <w:rPr>
          <w:lang w:val="en-GB"/>
        </w:rPr>
        <w:t xml:space="preserve"> of alternatives </w:t>
      </w:r>
      <w:r w:rsidR="00726988" w:rsidRPr="00086A97">
        <w:rPr>
          <w:lang w:val="en-GB"/>
        </w:rPr>
        <w:t xml:space="preserve">for use </w:t>
      </w:r>
      <w:r w:rsidRPr="00086A97">
        <w:rPr>
          <w:lang w:val="en-GB"/>
        </w:rPr>
        <w:t xml:space="preserve">on fishing vessels, </w:t>
      </w:r>
      <w:proofErr w:type="spellStart"/>
      <w:r w:rsidRPr="00086A97">
        <w:rPr>
          <w:lang w:val="en-GB"/>
        </w:rPr>
        <w:t>Mr.</w:t>
      </w:r>
      <w:proofErr w:type="spellEnd"/>
      <w:r w:rsidRPr="00086A97">
        <w:rPr>
          <w:lang w:val="en-GB"/>
        </w:rPr>
        <w:t xml:space="preserve"> </w:t>
      </w:r>
      <w:proofErr w:type="spellStart"/>
      <w:r w:rsidRPr="00086A97">
        <w:rPr>
          <w:lang w:val="en-GB"/>
        </w:rPr>
        <w:t>Peixoto</w:t>
      </w:r>
      <w:proofErr w:type="spellEnd"/>
      <w:r w:rsidRPr="00086A97">
        <w:rPr>
          <w:lang w:val="en-GB"/>
        </w:rPr>
        <w:t xml:space="preserve"> and </w:t>
      </w:r>
      <w:proofErr w:type="spellStart"/>
      <w:r w:rsidRPr="00086A97">
        <w:rPr>
          <w:lang w:val="en-GB"/>
        </w:rPr>
        <w:t>Mr.</w:t>
      </w:r>
      <w:proofErr w:type="spellEnd"/>
      <w:r w:rsidRPr="00086A97">
        <w:rPr>
          <w:lang w:val="en-GB"/>
        </w:rPr>
        <w:t xml:space="preserve"> Fabio </w:t>
      </w:r>
      <w:proofErr w:type="spellStart"/>
      <w:r w:rsidRPr="00086A97">
        <w:rPr>
          <w:lang w:val="en-GB"/>
        </w:rPr>
        <w:t>Polonara</w:t>
      </w:r>
      <w:proofErr w:type="spellEnd"/>
      <w:r w:rsidRPr="00086A97">
        <w:rPr>
          <w:lang w:val="en-GB"/>
        </w:rPr>
        <w:t>, co-chai</w:t>
      </w:r>
      <w:r w:rsidR="00726988" w:rsidRPr="00086A97">
        <w:rPr>
          <w:lang w:val="en-GB"/>
        </w:rPr>
        <w:t>r of the Refrigeration, Air-</w:t>
      </w:r>
      <w:r w:rsidRPr="00086A97">
        <w:rPr>
          <w:lang w:val="en-GB"/>
        </w:rPr>
        <w:t xml:space="preserve">Conditioning and Heat Pumps Technical Options Committee, explained that the different pressures and toxicities of alternative refrigerants such as carbon dioxide and ammonia required investment in new or modified equipment. In addition, while the cost of the refrigerants themselves was low, other factors, such as the need for additional safety measures, system adjustments to ensure optimum efficiency, and </w:t>
      </w:r>
      <w:r w:rsidR="004D4319" w:rsidRPr="00086A97">
        <w:rPr>
          <w:lang w:val="en-GB"/>
        </w:rPr>
        <w:t xml:space="preserve">the </w:t>
      </w:r>
      <w:r w:rsidRPr="00086A97">
        <w:rPr>
          <w:lang w:val="en-GB"/>
        </w:rPr>
        <w:t>training of technicians unfamiliar with the substances, had all contributed to the task force’s decision t</w:t>
      </w:r>
      <w:r w:rsidR="00726988" w:rsidRPr="00086A97">
        <w:rPr>
          <w:lang w:val="en-GB"/>
        </w:rPr>
        <w:t>o rate the operational cost as “</w:t>
      </w:r>
      <w:r w:rsidRPr="00086A97">
        <w:rPr>
          <w:lang w:val="en-GB"/>
        </w:rPr>
        <w:t>medium</w:t>
      </w:r>
      <w:r w:rsidR="00726988" w:rsidRPr="00086A97">
        <w:rPr>
          <w:lang w:val="en-GB"/>
        </w:rPr>
        <w:t>” rather than “low”</w:t>
      </w:r>
      <w:r w:rsidRPr="00086A97">
        <w:rPr>
          <w:lang w:val="en-GB"/>
        </w:rPr>
        <w:t xml:space="preserve">. Given the pace of development, however, he expected that </w:t>
      </w:r>
      <w:r w:rsidR="00726988" w:rsidRPr="00086A97">
        <w:rPr>
          <w:lang w:val="en-GB"/>
        </w:rPr>
        <w:t>such</w:t>
      </w:r>
      <w:r w:rsidRPr="00086A97">
        <w:rPr>
          <w:lang w:val="en-GB"/>
        </w:rPr>
        <w:t xml:space="preserve"> costs would change in the future, and the task force would continue to monitor the situation. </w:t>
      </w:r>
    </w:p>
    <w:p w14:paraId="37570B6A" w14:textId="3478F6F1" w:rsidR="00D94442" w:rsidRPr="00086A97" w:rsidRDefault="00726988" w:rsidP="00A30032">
      <w:pPr>
        <w:pStyle w:val="Normalnumber"/>
        <w:ind w:left="1247" w:firstLine="0"/>
        <w:rPr>
          <w:lang w:val="en-GB"/>
        </w:rPr>
      </w:pPr>
      <w:r w:rsidRPr="00086A97">
        <w:rPr>
          <w:lang w:val="en-GB"/>
        </w:rPr>
        <w:t xml:space="preserve">Thanking </w:t>
      </w:r>
      <w:r w:rsidR="00D94442" w:rsidRPr="00086A97">
        <w:rPr>
          <w:lang w:val="en-GB"/>
        </w:rPr>
        <w:t xml:space="preserve">another representative who had </w:t>
      </w:r>
      <w:r w:rsidR="004B6DC6" w:rsidRPr="00086A97">
        <w:rPr>
          <w:lang w:val="en-GB"/>
        </w:rPr>
        <w:t xml:space="preserve">indicated the intention to provide updated information on </w:t>
      </w:r>
      <w:r w:rsidR="00D94442" w:rsidRPr="00086A97">
        <w:rPr>
          <w:lang w:val="en-GB"/>
        </w:rPr>
        <w:t xml:space="preserve">the retrofitting of refrigeration systems on fishing vessels, </w:t>
      </w:r>
      <w:proofErr w:type="spellStart"/>
      <w:r w:rsidRPr="00086A97">
        <w:rPr>
          <w:lang w:val="en-GB"/>
        </w:rPr>
        <w:t>Mr.</w:t>
      </w:r>
      <w:proofErr w:type="spellEnd"/>
      <w:r w:rsidRPr="00086A97">
        <w:rPr>
          <w:lang w:val="en-GB"/>
        </w:rPr>
        <w:t xml:space="preserve"> </w:t>
      </w:r>
      <w:proofErr w:type="spellStart"/>
      <w:r w:rsidRPr="00086A97">
        <w:rPr>
          <w:lang w:val="en-GB"/>
        </w:rPr>
        <w:t>Peixoto</w:t>
      </w:r>
      <w:proofErr w:type="spellEnd"/>
      <w:r w:rsidRPr="00086A97">
        <w:rPr>
          <w:lang w:val="en-GB"/>
        </w:rPr>
        <w:t xml:space="preserve"> said</w:t>
      </w:r>
      <w:r w:rsidR="00D94442" w:rsidRPr="00086A97">
        <w:rPr>
          <w:lang w:val="en-GB"/>
        </w:rPr>
        <w:t xml:space="preserve"> that the </w:t>
      </w:r>
      <w:r w:rsidR="00992635" w:rsidRPr="00086A97">
        <w:rPr>
          <w:lang w:val="en-GB"/>
        </w:rPr>
        <w:t xml:space="preserve">next version of the </w:t>
      </w:r>
      <w:r w:rsidRPr="00086A97">
        <w:rPr>
          <w:lang w:val="en-GB"/>
        </w:rPr>
        <w:t>report would contain relevant u</w:t>
      </w:r>
      <w:r w:rsidR="00D94442" w:rsidRPr="00086A97">
        <w:rPr>
          <w:lang w:val="en-GB"/>
        </w:rPr>
        <w:t>pdated information</w:t>
      </w:r>
      <w:r w:rsidRPr="00086A97">
        <w:rPr>
          <w:lang w:val="en-GB"/>
        </w:rPr>
        <w:t xml:space="preserve">, as well as </w:t>
      </w:r>
      <w:r w:rsidR="00D94442" w:rsidRPr="00086A97">
        <w:rPr>
          <w:lang w:val="en-GB"/>
        </w:rPr>
        <w:t>further information on short-term retrofitting options.</w:t>
      </w:r>
    </w:p>
    <w:p w14:paraId="2547C73A" w14:textId="470A9E55" w:rsidR="00D94442" w:rsidRPr="00086A97" w:rsidRDefault="00D94442" w:rsidP="00A30032">
      <w:pPr>
        <w:pStyle w:val="Normalnumber"/>
        <w:ind w:left="1247" w:firstLine="0"/>
        <w:rPr>
          <w:lang w:val="en-GB"/>
        </w:rPr>
      </w:pPr>
      <w:r w:rsidRPr="00086A97">
        <w:rPr>
          <w:lang w:val="en-GB"/>
        </w:rPr>
        <w:t xml:space="preserve">Responding to a question on the safety of ammonia in refrigeration systems, </w:t>
      </w:r>
      <w:r w:rsidR="00726988" w:rsidRPr="00086A97">
        <w:rPr>
          <w:lang w:val="en-GB"/>
        </w:rPr>
        <w:t>he</w:t>
      </w:r>
      <w:r w:rsidRPr="00086A97">
        <w:rPr>
          <w:lang w:val="en-GB"/>
        </w:rPr>
        <w:t xml:space="preserve"> </w:t>
      </w:r>
      <w:r w:rsidR="00726988" w:rsidRPr="00086A97">
        <w:rPr>
          <w:lang w:val="en-GB"/>
        </w:rPr>
        <w:t>said that options for minimiz</w:t>
      </w:r>
      <w:r w:rsidRPr="00086A97">
        <w:rPr>
          <w:lang w:val="en-GB"/>
        </w:rPr>
        <w:t>ing refrigerant charge were currently being explored</w:t>
      </w:r>
      <w:r w:rsidR="00270B01" w:rsidRPr="00086A97">
        <w:rPr>
          <w:lang w:val="en-GB"/>
        </w:rPr>
        <w:t xml:space="preserve"> and that</w:t>
      </w:r>
      <w:r w:rsidRPr="00086A97">
        <w:rPr>
          <w:lang w:val="en-GB"/>
        </w:rPr>
        <w:t xml:space="preserve"> new systems should </w:t>
      </w:r>
      <w:r w:rsidR="00306885" w:rsidRPr="00086A97">
        <w:rPr>
          <w:lang w:val="en-GB"/>
        </w:rPr>
        <w:t>require</w:t>
      </w:r>
      <w:r w:rsidRPr="00086A97">
        <w:rPr>
          <w:lang w:val="en-GB"/>
        </w:rPr>
        <w:t xml:space="preserve"> much lower </w:t>
      </w:r>
      <w:r w:rsidR="00270B01" w:rsidRPr="00086A97">
        <w:rPr>
          <w:lang w:val="en-GB"/>
        </w:rPr>
        <w:t>charges</w:t>
      </w:r>
      <w:r w:rsidRPr="00086A97">
        <w:rPr>
          <w:lang w:val="en-GB"/>
        </w:rPr>
        <w:t xml:space="preserve"> than older ones.</w:t>
      </w:r>
    </w:p>
    <w:p w14:paraId="6018A513" w14:textId="28075870" w:rsidR="00D94442" w:rsidRPr="00086A97" w:rsidRDefault="00D94442" w:rsidP="00A30032">
      <w:pPr>
        <w:pStyle w:val="Normalnumber"/>
        <w:ind w:left="1247" w:firstLine="0"/>
        <w:rPr>
          <w:lang w:val="en-GB"/>
        </w:rPr>
      </w:pPr>
      <w:r w:rsidRPr="00086A97">
        <w:rPr>
          <w:lang w:val="en-GB"/>
        </w:rPr>
        <w:t xml:space="preserve">In response to data provided by </w:t>
      </w:r>
      <w:r w:rsidRPr="00EA2595">
        <w:rPr>
          <w:lang w:val="en-GB"/>
        </w:rPr>
        <w:t>one representative</w:t>
      </w:r>
      <w:r w:rsidR="00E11197" w:rsidRPr="00086A97">
        <w:rPr>
          <w:lang w:val="en-GB"/>
        </w:rPr>
        <w:t xml:space="preserve"> suggesting</w:t>
      </w:r>
      <w:r w:rsidRPr="00086A97">
        <w:rPr>
          <w:lang w:val="en-GB"/>
        </w:rPr>
        <w:t xml:space="preserve"> that total global HFC production capacity and consumption were both higher than the figures included in the report of the task force, </w:t>
      </w:r>
      <w:proofErr w:type="spellStart"/>
      <w:r w:rsidRPr="00086A97">
        <w:rPr>
          <w:lang w:val="en-GB"/>
        </w:rPr>
        <w:t>Mr</w:t>
      </w:r>
      <w:r w:rsidR="00E11197" w:rsidRPr="00086A97">
        <w:rPr>
          <w:lang w:val="en-GB"/>
        </w:rPr>
        <w:t>.</w:t>
      </w:r>
      <w:proofErr w:type="spellEnd"/>
      <w:r w:rsidR="00E11197" w:rsidRPr="00086A97">
        <w:rPr>
          <w:lang w:val="en-GB"/>
        </w:rPr>
        <w:t> </w:t>
      </w:r>
      <w:proofErr w:type="spellStart"/>
      <w:r w:rsidRPr="00086A97">
        <w:rPr>
          <w:lang w:val="en-GB"/>
        </w:rPr>
        <w:t>Kuijpers</w:t>
      </w:r>
      <w:proofErr w:type="spellEnd"/>
      <w:r w:rsidRPr="00086A97">
        <w:rPr>
          <w:lang w:val="en-GB"/>
        </w:rPr>
        <w:t xml:space="preserve"> </w:t>
      </w:r>
      <w:r w:rsidR="00E11197" w:rsidRPr="00086A97">
        <w:rPr>
          <w:lang w:val="en-GB"/>
        </w:rPr>
        <w:t>recalled</w:t>
      </w:r>
      <w:r w:rsidRPr="00086A97">
        <w:rPr>
          <w:lang w:val="en-GB"/>
        </w:rPr>
        <w:t xml:space="preserve"> that the report included figures on the use of HFCs only in the refrigeration and air-conditioning sector, not on HFC use in other sectors. In addition, while </w:t>
      </w:r>
      <w:r w:rsidR="0029112B" w:rsidRPr="00086A97">
        <w:rPr>
          <w:lang w:val="en-GB"/>
        </w:rPr>
        <w:t>parties not operating under paragraph 1 of Article 5 of the Montreal Protocol (</w:t>
      </w:r>
      <w:r w:rsidRPr="00086A97">
        <w:rPr>
          <w:lang w:val="en-GB"/>
        </w:rPr>
        <w:t>non-Article 5 parties</w:t>
      </w:r>
      <w:r w:rsidR="0029112B" w:rsidRPr="00086A97">
        <w:rPr>
          <w:lang w:val="en-GB"/>
        </w:rPr>
        <w:t>)</w:t>
      </w:r>
      <w:r w:rsidRPr="00086A97">
        <w:rPr>
          <w:lang w:val="en-GB"/>
        </w:rPr>
        <w:t xml:space="preserve"> reported data on HFCs </w:t>
      </w:r>
      <w:r w:rsidR="00E11197" w:rsidRPr="00086A97">
        <w:rPr>
          <w:lang w:val="en-GB"/>
        </w:rPr>
        <w:t>under</w:t>
      </w:r>
      <w:r w:rsidRPr="00086A97">
        <w:rPr>
          <w:lang w:val="en-GB"/>
        </w:rPr>
        <w:t xml:space="preserve"> the U</w:t>
      </w:r>
      <w:r w:rsidR="00E11197" w:rsidRPr="00086A97">
        <w:rPr>
          <w:lang w:val="en-GB"/>
        </w:rPr>
        <w:t xml:space="preserve">nited </w:t>
      </w:r>
      <w:r w:rsidRPr="00086A97">
        <w:rPr>
          <w:lang w:val="en-GB"/>
        </w:rPr>
        <w:t>N</w:t>
      </w:r>
      <w:r w:rsidR="00E11197" w:rsidRPr="00086A97">
        <w:rPr>
          <w:lang w:val="en-GB"/>
        </w:rPr>
        <w:t>ations</w:t>
      </w:r>
      <w:r w:rsidRPr="00086A97">
        <w:rPr>
          <w:lang w:val="en-GB"/>
        </w:rPr>
        <w:t xml:space="preserve"> Framework Convention on Climate Change, Article 5 parties had no such obligation, and it was difficult to be precise about production and consumption data for those countries. The task force would welcome any further information </w:t>
      </w:r>
      <w:r w:rsidR="00E11197" w:rsidRPr="00086A97">
        <w:rPr>
          <w:lang w:val="en-GB"/>
        </w:rPr>
        <w:t xml:space="preserve">that </w:t>
      </w:r>
      <w:r w:rsidR="00AB3BB9" w:rsidRPr="00086A97">
        <w:rPr>
          <w:lang w:val="en-GB"/>
        </w:rPr>
        <w:t xml:space="preserve">parties </w:t>
      </w:r>
      <w:r w:rsidRPr="00086A97">
        <w:rPr>
          <w:lang w:val="en-GB"/>
        </w:rPr>
        <w:t xml:space="preserve">could provide and would aim to improve the data included in </w:t>
      </w:r>
      <w:r w:rsidR="002A1C3C" w:rsidRPr="00086A97">
        <w:rPr>
          <w:lang w:val="en-GB"/>
        </w:rPr>
        <w:t xml:space="preserve">the </w:t>
      </w:r>
      <w:r w:rsidRPr="00086A97">
        <w:rPr>
          <w:lang w:val="en-GB"/>
        </w:rPr>
        <w:t xml:space="preserve">next </w:t>
      </w:r>
      <w:r w:rsidR="002A1C3C" w:rsidRPr="00086A97">
        <w:rPr>
          <w:lang w:val="en-GB"/>
        </w:rPr>
        <w:t xml:space="preserve">version of the </w:t>
      </w:r>
      <w:r w:rsidRPr="00086A97">
        <w:rPr>
          <w:lang w:val="en-GB"/>
        </w:rPr>
        <w:t>report.</w:t>
      </w:r>
    </w:p>
    <w:p w14:paraId="06F1A4FD" w14:textId="3CD88A91" w:rsidR="00D94442" w:rsidRPr="00086A97" w:rsidRDefault="00D94442" w:rsidP="00A30032">
      <w:pPr>
        <w:pStyle w:val="Normalnumber"/>
        <w:ind w:left="1247" w:firstLine="0"/>
        <w:rPr>
          <w:lang w:val="en-GB"/>
        </w:rPr>
      </w:pPr>
      <w:r w:rsidRPr="00086A97">
        <w:rPr>
          <w:lang w:val="en-GB"/>
        </w:rPr>
        <w:t xml:space="preserve">In response to a request for the report to include figures for emissions of HFCs as a proportion of total greenhouse gas emissions, </w:t>
      </w:r>
      <w:proofErr w:type="spellStart"/>
      <w:r w:rsidRPr="00086A97">
        <w:rPr>
          <w:lang w:val="en-GB"/>
        </w:rPr>
        <w:t>Mr</w:t>
      </w:r>
      <w:r w:rsidR="00445DEF" w:rsidRPr="00086A97">
        <w:rPr>
          <w:lang w:val="en-GB"/>
        </w:rPr>
        <w:t>.</w:t>
      </w:r>
      <w:proofErr w:type="spellEnd"/>
      <w:r w:rsidRPr="00086A97">
        <w:rPr>
          <w:lang w:val="en-GB"/>
        </w:rPr>
        <w:t xml:space="preserve"> </w:t>
      </w:r>
      <w:proofErr w:type="spellStart"/>
      <w:r w:rsidRPr="00086A97">
        <w:rPr>
          <w:lang w:val="en-GB"/>
        </w:rPr>
        <w:t>Kuijpers</w:t>
      </w:r>
      <w:proofErr w:type="spellEnd"/>
      <w:r w:rsidRPr="00086A97">
        <w:rPr>
          <w:lang w:val="en-GB"/>
        </w:rPr>
        <w:t xml:space="preserve"> pointed out that the task force report contained data on consumption, not on emissions, which depended on a wide range of factors. The task force would consider what additional </w:t>
      </w:r>
      <w:r w:rsidR="00A560DD" w:rsidRPr="00086A97">
        <w:rPr>
          <w:lang w:val="en-GB"/>
        </w:rPr>
        <w:t xml:space="preserve">clarifying </w:t>
      </w:r>
      <w:r w:rsidRPr="00086A97">
        <w:rPr>
          <w:lang w:val="en-GB"/>
        </w:rPr>
        <w:t xml:space="preserve">information it could provide in </w:t>
      </w:r>
      <w:r w:rsidR="000744A4" w:rsidRPr="00086A97">
        <w:rPr>
          <w:lang w:val="en-GB"/>
        </w:rPr>
        <w:t xml:space="preserve">the </w:t>
      </w:r>
      <w:r w:rsidRPr="00086A97">
        <w:rPr>
          <w:lang w:val="en-GB"/>
        </w:rPr>
        <w:t xml:space="preserve">next </w:t>
      </w:r>
      <w:r w:rsidR="000744A4" w:rsidRPr="00086A97">
        <w:rPr>
          <w:lang w:val="en-GB"/>
        </w:rPr>
        <w:t xml:space="preserve">version of the </w:t>
      </w:r>
      <w:r w:rsidRPr="00086A97">
        <w:rPr>
          <w:lang w:val="en-GB"/>
        </w:rPr>
        <w:t xml:space="preserve">report. </w:t>
      </w:r>
    </w:p>
    <w:p w14:paraId="36696B53" w14:textId="5A48BA43" w:rsidR="00D94442" w:rsidRPr="00086A97" w:rsidRDefault="00D94442" w:rsidP="00A30032">
      <w:pPr>
        <w:pStyle w:val="Normalnumber"/>
        <w:ind w:left="1247" w:firstLine="0"/>
        <w:rPr>
          <w:lang w:val="en-GB"/>
        </w:rPr>
      </w:pPr>
      <w:r w:rsidRPr="00086A97">
        <w:rPr>
          <w:lang w:val="en-GB"/>
        </w:rPr>
        <w:t xml:space="preserve">Responding to a request for information on the price of alternatives, and </w:t>
      </w:r>
      <w:r w:rsidR="00445DEF" w:rsidRPr="00086A97">
        <w:rPr>
          <w:lang w:val="en-GB"/>
        </w:rPr>
        <w:t>a specific question on the cost</w:t>
      </w:r>
      <w:r w:rsidRPr="00086A97">
        <w:rPr>
          <w:lang w:val="en-GB"/>
        </w:rPr>
        <w:t xml:space="preserve"> of us</w:t>
      </w:r>
      <w:r w:rsidR="00445DEF" w:rsidRPr="00086A97">
        <w:rPr>
          <w:lang w:val="en-GB"/>
        </w:rPr>
        <w:t>ing</w:t>
      </w:r>
      <w:r w:rsidRPr="00086A97">
        <w:rPr>
          <w:lang w:val="en-GB"/>
        </w:rPr>
        <w:t xml:space="preserve"> carbon dioxid</w:t>
      </w:r>
      <w:r w:rsidR="00445DEF" w:rsidRPr="00086A97">
        <w:rPr>
          <w:lang w:val="en-GB"/>
        </w:rPr>
        <w:t xml:space="preserve">e in supermarkets, he said </w:t>
      </w:r>
      <w:r w:rsidRPr="00086A97">
        <w:rPr>
          <w:lang w:val="en-GB"/>
        </w:rPr>
        <w:t>that it was impossible to provide accurate information</w:t>
      </w:r>
      <w:r w:rsidR="00445DEF" w:rsidRPr="00086A97">
        <w:rPr>
          <w:lang w:val="en-GB"/>
        </w:rPr>
        <w:t xml:space="preserve"> because </w:t>
      </w:r>
      <w:r w:rsidRPr="00086A97">
        <w:rPr>
          <w:lang w:val="en-GB"/>
        </w:rPr>
        <w:t xml:space="preserve">prices varied too much with the use of the substances and the situation was evolving very rapidly. </w:t>
      </w:r>
      <w:r w:rsidR="00445DEF" w:rsidRPr="00086A97">
        <w:rPr>
          <w:lang w:val="en-GB"/>
        </w:rPr>
        <w:t>T</w:t>
      </w:r>
      <w:r w:rsidRPr="00086A97">
        <w:rPr>
          <w:lang w:val="en-GB"/>
        </w:rPr>
        <w:t>he task force</w:t>
      </w:r>
      <w:r w:rsidR="00445DEF" w:rsidRPr="00086A97">
        <w:rPr>
          <w:lang w:val="en-GB"/>
        </w:rPr>
        <w:t xml:space="preserve">, </w:t>
      </w:r>
      <w:r w:rsidR="00184CC5" w:rsidRPr="00086A97">
        <w:rPr>
          <w:lang w:val="en-GB"/>
        </w:rPr>
        <w:t>furthermore</w:t>
      </w:r>
      <w:r w:rsidR="00445DEF" w:rsidRPr="00086A97">
        <w:rPr>
          <w:lang w:val="en-GB"/>
        </w:rPr>
        <w:t>,</w:t>
      </w:r>
      <w:r w:rsidRPr="00086A97">
        <w:rPr>
          <w:lang w:val="en-GB"/>
        </w:rPr>
        <w:t xml:space="preserve"> </w:t>
      </w:r>
      <w:r w:rsidR="00184CC5" w:rsidRPr="00086A97">
        <w:rPr>
          <w:lang w:val="en-GB"/>
        </w:rPr>
        <w:t>considered patents to be important but could not go into</w:t>
      </w:r>
      <w:r w:rsidRPr="00086A97">
        <w:rPr>
          <w:lang w:val="en-GB"/>
        </w:rPr>
        <w:t xml:space="preserve"> information on the expiry dates for the various intellectual property rights applicable to the alternatives</w:t>
      </w:r>
      <w:r w:rsidR="00184CC5" w:rsidRPr="00086A97">
        <w:rPr>
          <w:lang w:val="en-GB"/>
        </w:rPr>
        <w:t>, since that concerned new chemicals and the specific application patents for them</w:t>
      </w:r>
      <w:r w:rsidRPr="00086A97">
        <w:rPr>
          <w:lang w:val="en-GB"/>
        </w:rPr>
        <w:t xml:space="preserve">. He also explained that in calculating the global warming potential of blends of HFCs, </w:t>
      </w:r>
      <w:r w:rsidR="00184CC5" w:rsidRPr="00086A97">
        <w:rPr>
          <w:lang w:val="en-GB"/>
        </w:rPr>
        <w:t xml:space="preserve">an </w:t>
      </w:r>
      <w:r w:rsidRPr="00086A97">
        <w:rPr>
          <w:lang w:val="en-GB"/>
        </w:rPr>
        <w:t>average figure for the blend</w:t>
      </w:r>
      <w:r w:rsidR="00445DEF" w:rsidRPr="00086A97">
        <w:rPr>
          <w:lang w:val="en-GB"/>
        </w:rPr>
        <w:t>s</w:t>
      </w:r>
      <w:r w:rsidRPr="00086A97">
        <w:rPr>
          <w:lang w:val="en-GB"/>
        </w:rPr>
        <w:t xml:space="preserve"> had been used</w:t>
      </w:r>
      <w:r w:rsidR="00445DEF" w:rsidRPr="00086A97">
        <w:rPr>
          <w:lang w:val="en-GB"/>
        </w:rPr>
        <w:t xml:space="preserve">, </w:t>
      </w:r>
      <w:r w:rsidR="00496D68" w:rsidRPr="00086A97">
        <w:rPr>
          <w:lang w:val="en-GB"/>
        </w:rPr>
        <w:t>independent of the components of th</w:t>
      </w:r>
      <w:r w:rsidR="005E5440" w:rsidRPr="00086A97">
        <w:rPr>
          <w:lang w:val="en-GB"/>
        </w:rPr>
        <w:t>o</w:t>
      </w:r>
      <w:r w:rsidR="00496D68" w:rsidRPr="00086A97">
        <w:rPr>
          <w:lang w:val="en-GB"/>
        </w:rPr>
        <w:t xml:space="preserve">se blends. He </w:t>
      </w:r>
      <w:r w:rsidR="00445DEF" w:rsidRPr="00086A97">
        <w:rPr>
          <w:lang w:val="en-GB"/>
        </w:rPr>
        <w:t>confirmed that some of tho</w:t>
      </w:r>
      <w:r w:rsidRPr="00086A97">
        <w:rPr>
          <w:lang w:val="en-GB"/>
        </w:rPr>
        <w:t xml:space="preserve">se components had high global warming potentials. </w:t>
      </w:r>
    </w:p>
    <w:p w14:paraId="1777D8E1" w14:textId="53A6239C" w:rsidR="00D94442" w:rsidRPr="00086A97" w:rsidRDefault="00D94442" w:rsidP="00A30032">
      <w:pPr>
        <w:pStyle w:val="Normalnumber"/>
        <w:ind w:left="1247" w:firstLine="0"/>
        <w:rPr>
          <w:lang w:val="en-GB"/>
        </w:rPr>
      </w:pPr>
      <w:r w:rsidRPr="00086A97">
        <w:rPr>
          <w:lang w:val="en-GB"/>
        </w:rPr>
        <w:t xml:space="preserve">In response </w:t>
      </w:r>
      <w:r w:rsidRPr="00EA2595">
        <w:rPr>
          <w:lang w:val="en-GB"/>
        </w:rPr>
        <w:t>to a question</w:t>
      </w:r>
      <w:r w:rsidRPr="00086A97">
        <w:rPr>
          <w:lang w:val="en-GB"/>
        </w:rPr>
        <w:t xml:space="preserve"> on the reasons behind the projected growth in HFC consumption in the task force’s mitigation scenarios, he </w:t>
      </w:r>
      <w:r w:rsidR="00445DEF" w:rsidRPr="00086A97">
        <w:rPr>
          <w:lang w:val="en-GB"/>
        </w:rPr>
        <w:t>said</w:t>
      </w:r>
      <w:r w:rsidRPr="00086A97">
        <w:rPr>
          <w:lang w:val="en-GB"/>
        </w:rPr>
        <w:t xml:space="preserve"> that </w:t>
      </w:r>
      <w:r w:rsidR="00445DEF" w:rsidRPr="00086A97">
        <w:rPr>
          <w:lang w:val="en-GB"/>
        </w:rPr>
        <w:t>it</w:t>
      </w:r>
      <w:r w:rsidRPr="00086A97">
        <w:rPr>
          <w:lang w:val="en-GB"/>
        </w:rPr>
        <w:t xml:space="preserve"> was </w:t>
      </w:r>
      <w:r w:rsidR="00F11B48" w:rsidRPr="00086A97">
        <w:rPr>
          <w:lang w:val="en-GB"/>
        </w:rPr>
        <w:t xml:space="preserve">mainly </w:t>
      </w:r>
      <w:r w:rsidRPr="00086A97">
        <w:rPr>
          <w:lang w:val="en-GB"/>
        </w:rPr>
        <w:t xml:space="preserve">due to the projections for economic growth included in the model </w:t>
      </w:r>
      <w:r w:rsidR="00445DEF" w:rsidRPr="00086A97">
        <w:rPr>
          <w:lang w:val="en-GB"/>
        </w:rPr>
        <w:t>that</w:t>
      </w:r>
      <w:r w:rsidRPr="00086A97">
        <w:rPr>
          <w:lang w:val="en-GB"/>
        </w:rPr>
        <w:t xml:space="preserve"> had been used by the task force. He</w:t>
      </w:r>
      <w:r w:rsidR="005A160C" w:rsidRPr="00086A97">
        <w:rPr>
          <w:lang w:val="en-GB"/>
        </w:rPr>
        <w:t xml:space="preserve"> expressed agreement</w:t>
      </w:r>
      <w:r w:rsidRPr="00086A97">
        <w:rPr>
          <w:lang w:val="en-GB"/>
        </w:rPr>
        <w:t xml:space="preserve"> with one representative’s request to </w:t>
      </w:r>
      <w:r w:rsidR="00F11B48" w:rsidRPr="00086A97">
        <w:rPr>
          <w:lang w:val="en-GB"/>
        </w:rPr>
        <w:t xml:space="preserve">consider the impact of all sectors </w:t>
      </w:r>
      <w:r w:rsidRPr="00086A97">
        <w:rPr>
          <w:lang w:val="en-GB"/>
        </w:rPr>
        <w:t>in the scenarios in future iterations</w:t>
      </w:r>
      <w:r w:rsidR="005A160C" w:rsidRPr="00086A97">
        <w:rPr>
          <w:lang w:val="en-GB"/>
        </w:rPr>
        <w:t xml:space="preserve">, and he said that the task force would review </w:t>
      </w:r>
      <w:r w:rsidR="001E14D9" w:rsidRPr="00086A97">
        <w:rPr>
          <w:lang w:val="en-GB"/>
        </w:rPr>
        <w:t>whether it would be possible</w:t>
      </w:r>
      <w:r w:rsidRPr="00086A97">
        <w:rPr>
          <w:lang w:val="en-GB"/>
        </w:rPr>
        <w:t xml:space="preserve"> to include in the scenarios</w:t>
      </w:r>
      <w:r w:rsidR="001D75FD" w:rsidRPr="00086A97">
        <w:rPr>
          <w:lang w:val="en-GB"/>
        </w:rPr>
        <w:t xml:space="preserve"> for non</w:t>
      </w:r>
      <w:r w:rsidR="00156357" w:rsidRPr="00086A97">
        <w:rPr>
          <w:lang w:val="en-GB"/>
        </w:rPr>
        <w:noBreakHyphen/>
      </w:r>
      <w:r w:rsidR="001D75FD" w:rsidRPr="00086A97">
        <w:rPr>
          <w:lang w:val="en-GB"/>
        </w:rPr>
        <w:t>Article 5 parties</w:t>
      </w:r>
      <w:r w:rsidRPr="00086A97">
        <w:rPr>
          <w:lang w:val="en-GB"/>
        </w:rPr>
        <w:t xml:space="preserve"> the impact of the phasedown of HFC consumption </w:t>
      </w:r>
      <w:r w:rsidR="005A160C" w:rsidRPr="00086A97">
        <w:rPr>
          <w:lang w:val="en-GB"/>
        </w:rPr>
        <w:t>that</w:t>
      </w:r>
      <w:r w:rsidRPr="00086A97">
        <w:rPr>
          <w:lang w:val="en-GB"/>
        </w:rPr>
        <w:t xml:space="preserve"> would follow the implementation of the E</w:t>
      </w:r>
      <w:r w:rsidR="00F974D5" w:rsidRPr="00086A97">
        <w:rPr>
          <w:lang w:val="en-GB"/>
        </w:rPr>
        <w:t xml:space="preserve">uropean </w:t>
      </w:r>
      <w:r w:rsidRPr="00086A97">
        <w:rPr>
          <w:lang w:val="en-GB"/>
        </w:rPr>
        <w:t>U</w:t>
      </w:r>
      <w:r w:rsidR="00F974D5" w:rsidRPr="00086A97">
        <w:rPr>
          <w:lang w:val="en-GB"/>
        </w:rPr>
        <w:t>nion</w:t>
      </w:r>
      <w:r w:rsidRPr="00086A97">
        <w:rPr>
          <w:lang w:val="en-GB"/>
        </w:rPr>
        <w:t>’s F-Gas regulation.</w:t>
      </w:r>
    </w:p>
    <w:p w14:paraId="6D4AD353" w14:textId="2BE39651" w:rsidR="00D94442" w:rsidRPr="00086A97" w:rsidRDefault="00D94442" w:rsidP="00A30032">
      <w:pPr>
        <w:pStyle w:val="Normalnumber"/>
        <w:ind w:left="1247" w:firstLine="0"/>
        <w:rPr>
          <w:lang w:val="en-GB"/>
        </w:rPr>
      </w:pPr>
      <w:r w:rsidRPr="00086A97">
        <w:rPr>
          <w:lang w:val="en-GB"/>
        </w:rPr>
        <w:t xml:space="preserve">In response to another question, he </w:t>
      </w:r>
      <w:r w:rsidR="00233DE1" w:rsidRPr="00086A97">
        <w:rPr>
          <w:lang w:val="en-GB"/>
        </w:rPr>
        <w:t>said</w:t>
      </w:r>
      <w:r w:rsidRPr="00086A97">
        <w:rPr>
          <w:lang w:val="en-GB"/>
        </w:rPr>
        <w:t xml:space="preserve"> that the energy efficiency of the alternatives had not been taken into account in the scenarios</w:t>
      </w:r>
      <w:r w:rsidR="00233DE1" w:rsidRPr="00086A97">
        <w:rPr>
          <w:lang w:val="en-GB"/>
        </w:rPr>
        <w:t xml:space="preserve"> because </w:t>
      </w:r>
      <w:r w:rsidR="003377B5" w:rsidRPr="00086A97">
        <w:rPr>
          <w:lang w:val="en-GB"/>
        </w:rPr>
        <w:t>it was not related to the scenarios</w:t>
      </w:r>
      <w:r w:rsidR="003A6D2D" w:rsidRPr="00086A97">
        <w:rPr>
          <w:lang w:val="en-GB"/>
        </w:rPr>
        <w:t>, which</w:t>
      </w:r>
      <w:r w:rsidR="003377B5" w:rsidRPr="00086A97">
        <w:rPr>
          <w:lang w:val="en-GB"/>
        </w:rPr>
        <w:t xml:space="preserve"> only considered demand and related amounts of refrigerant. Energy efficiency </w:t>
      </w:r>
      <w:r w:rsidR="003A6D2D" w:rsidRPr="00086A97">
        <w:rPr>
          <w:lang w:val="en-GB"/>
        </w:rPr>
        <w:t>depended heavily</w:t>
      </w:r>
      <w:r w:rsidR="003377B5" w:rsidRPr="00086A97">
        <w:rPr>
          <w:lang w:val="en-GB"/>
        </w:rPr>
        <w:t xml:space="preserve"> on</w:t>
      </w:r>
      <w:r w:rsidRPr="00086A97">
        <w:rPr>
          <w:lang w:val="en-GB"/>
        </w:rPr>
        <w:t xml:space="preserve"> the </w:t>
      </w:r>
      <w:r w:rsidR="003377B5" w:rsidRPr="00086A97">
        <w:rPr>
          <w:lang w:val="en-GB"/>
        </w:rPr>
        <w:t xml:space="preserve">type of </w:t>
      </w:r>
      <w:r w:rsidRPr="00086A97">
        <w:rPr>
          <w:lang w:val="en-GB"/>
        </w:rPr>
        <w:t xml:space="preserve">equipment in use, ambient temperature and </w:t>
      </w:r>
      <w:r w:rsidR="003377B5" w:rsidRPr="00086A97">
        <w:rPr>
          <w:lang w:val="en-GB"/>
        </w:rPr>
        <w:t xml:space="preserve">several </w:t>
      </w:r>
      <w:r w:rsidR="00233DE1" w:rsidRPr="00086A97">
        <w:rPr>
          <w:lang w:val="en-GB"/>
        </w:rPr>
        <w:t>other factors</w:t>
      </w:r>
      <w:r w:rsidRPr="00086A97">
        <w:rPr>
          <w:lang w:val="en-GB"/>
        </w:rPr>
        <w:t xml:space="preserve">. While it was impossible to derive a single figure for the energy efficiency of a given substance, the task force would aim to provide more </w:t>
      </w:r>
      <w:r w:rsidR="006C4454" w:rsidRPr="00086A97">
        <w:rPr>
          <w:lang w:val="en-GB"/>
        </w:rPr>
        <w:t xml:space="preserve">background </w:t>
      </w:r>
      <w:r w:rsidRPr="00086A97">
        <w:rPr>
          <w:lang w:val="en-GB"/>
        </w:rPr>
        <w:t xml:space="preserve">information in </w:t>
      </w:r>
      <w:r w:rsidR="006E0C69" w:rsidRPr="00086A97">
        <w:rPr>
          <w:lang w:val="en-GB"/>
        </w:rPr>
        <w:t xml:space="preserve">the </w:t>
      </w:r>
      <w:r w:rsidRPr="00086A97">
        <w:rPr>
          <w:lang w:val="en-GB"/>
        </w:rPr>
        <w:t xml:space="preserve">next </w:t>
      </w:r>
      <w:r w:rsidR="006E0C69" w:rsidRPr="00086A97">
        <w:rPr>
          <w:lang w:val="en-GB"/>
        </w:rPr>
        <w:t xml:space="preserve">version of the </w:t>
      </w:r>
      <w:r w:rsidRPr="00086A97">
        <w:rPr>
          <w:lang w:val="en-GB"/>
        </w:rPr>
        <w:t xml:space="preserve">report. </w:t>
      </w:r>
    </w:p>
    <w:p w14:paraId="31B5EFE1" w14:textId="615E003D" w:rsidR="00D94442" w:rsidRPr="00086A97" w:rsidRDefault="00D94442" w:rsidP="00A30032">
      <w:pPr>
        <w:pStyle w:val="Normalnumber"/>
        <w:ind w:left="1247" w:firstLine="0"/>
        <w:rPr>
          <w:lang w:val="en-GB"/>
        </w:rPr>
      </w:pPr>
      <w:r w:rsidRPr="00086A97">
        <w:rPr>
          <w:lang w:val="en-GB"/>
        </w:rPr>
        <w:t xml:space="preserve">He agreed with one representative’s observation that the consumption of HFCs in the servicing sector </w:t>
      </w:r>
      <w:r w:rsidR="006813C6" w:rsidRPr="00086A97">
        <w:rPr>
          <w:lang w:val="en-GB"/>
        </w:rPr>
        <w:t xml:space="preserve">– the only use of such substances in most Article 5 parties – </w:t>
      </w:r>
      <w:r w:rsidRPr="00086A97">
        <w:rPr>
          <w:lang w:val="en-GB"/>
        </w:rPr>
        <w:t>would become more important</w:t>
      </w:r>
      <w:r w:rsidR="00E32034" w:rsidRPr="00086A97">
        <w:rPr>
          <w:lang w:val="en-GB"/>
        </w:rPr>
        <w:t xml:space="preserve"> in the future</w:t>
      </w:r>
      <w:r w:rsidRPr="00086A97">
        <w:rPr>
          <w:lang w:val="en-GB"/>
        </w:rPr>
        <w:t xml:space="preserve">, </w:t>
      </w:r>
      <w:r w:rsidR="006813C6" w:rsidRPr="00086A97">
        <w:rPr>
          <w:lang w:val="en-GB"/>
        </w:rPr>
        <w:t xml:space="preserve">as it was </w:t>
      </w:r>
      <w:r w:rsidRPr="00086A97">
        <w:rPr>
          <w:lang w:val="en-GB"/>
        </w:rPr>
        <w:t xml:space="preserve">projected to account for </w:t>
      </w:r>
      <w:r w:rsidR="006813C6" w:rsidRPr="00086A97">
        <w:rPr>
          <w:lang w:val="en-GB"/>
        </w:rPr>
        <w:t xml:space="preserve">the majority of HFC use by 2030. </w:t>
      </w:r>
      <w:r w:rsidR="00E32034" w:rsidRPr="00086A97">
        <w:rPr>
          <w:lang w:val="en-GB"/>
        </w:rPr>
        <w:t>Further investigation of ways to consider sub-scenarios for those future servicing needs would be considered by the task force.</w:t>
      </w:r>
      <w:r w:rsidRPr="00086A97">
        <w:rPr>
          <w:lang w:val="en-GB"/>
        </w:rPr>
        <w:t xml:space="preserve"> </w:t>
      </w:r>
    </w:p>
    <w:p w14:paraId="0DC87FFC" w14:textId="3269F84B" w:rsidR="00D94442" w:rsidRPr="00086A97" w:rsidRDefault="00D94442" w:rsidP="00A30032">
      <w:pPr>
        <w:pStyle w:val="Normalnumber"/>
        <w:ind w:left="1247" w:firstLine="0"/>
        <w:rPr>
          <w:lang w:val="en-GB"/>
        </w:rPr>
      </w:pPr>
      <w:r w:rsidRPr="00086A97">
        <w:rPr>
          <w:lang w:val="en-GB"/>
        </w:rPr>
        <w:t>One representative queried the c</w:t>
      </w:r>
      <w:r w:rsidRPr="00EA2595">
        <w:rPr>
          <w:lang w:val="en-GB"/>
        </w:rPr>
        <w:t>onclusions</w:t>
      </w:r>
      <w:r w:rsidRPr="00086A97">
        <w:rPr>
          <w:lang w:val="en-GB"/>
        </w:rPr>
        <w:t xml:space="preserve"> of the report regard</w:t>
      </w:r>
      <w:r w:rsidR="00CB2660" w:rsidRPr="00086A97">
        <w:rPr>
          <w:lang w:val="en-GB"/>
        </w:rPr>
        <w:t>ing</w:t>
      </w:r>
      <w:r w:rsidRPr="00086A97">
        <w:rPr>
          <w:lang w:val="en-GB"/>
        </w:rPr>
        <w:t xml:space="preserve"> progress with the revision of safety standards, </w:t>
      </w:r>
      <w:r w:rsidR="00CB2660" w:rsidRPr="00086A97">
        <w:rPr>
          <w:lang w:val="en-GB"/>
        </w:rPr>
        <w:t>which</w:t>
      </w:r>
      <w:r w:rsidRPr="00086A97">
        <w:rPr>
          <w:lang w:val="en-GB"/>
        </w:rPr>
        <w:t xml:space="preserve"> he </w:t>
      </w:r>
      <w:r w:rsidR="00CB2660" w:rsidRPr="00086A97">
        <w:rPr>
          <w:lang w:val="en-GB"/>
        </w:rPr>
        <w:t>suggested were</w:t>
      </w:r>
      <w:r w:rsidRPr="00086A97">
        <w:rPr>
          <w:lang w:val="en-GB"/>
        </w:rPr>
        <w:t xml:space="preserve"> too optimistic, </w:t>
      </w:r>
      <w:r w:rsidR="00CB2660" w:rsidRPr="00086A97">
        <w:rPr>
          <w:lang w:val="en-GB"/>
        </w:rPr>
        <w:t xml:space="preserve">as well as </w:t>
      </w:r>
      <w:r w:rsidRPr="00086A97">
        <w:rPr>
          <w:lang w:val="en-GB"/>
        </w:rPr>
        <w:t>the report’s conclusion that district cooling systems could only be installed in new building developments</w:t>
      </w:r>
      <w:r w:rsidR="00CB2660" w:rsidRPr="00086A97">
        <w:rPr>
          <w:lang w:val="en-GB"/>
        </w:rPr>
        <w:t xml:space="preserve"> but not</w:t>
      </w:r>
      <w:r w:rsidRPr="00086A97">
        <w:rPr>
          <w:lang w:val="en-GB"/>
        </w:rPr>
        <w:t xml:space="preserve"> retrofitted. </w:t>
      </w:r>
      <w:r w:rsidR="00086A97" w:rsidRPr="00086A97">
        <w:rPr>
          <w:lang w:val="en-GB"/>
        </w:rPr>
        <w:br/>
      </w:r>
      <w:proofErr w:type="spellStart"/>
      <w:r w:rsidRPr="00086A97">
        <w:rPr>
          <w:lang w:val="en-GB"/>
        </w:rPr>
        <w:t>Mr.</w:t>
      </w:r>
      <w:proofErr w:type="spellEnd"/>
      <w:r w:rsidRPr="00086A97">
        <w:rPr>
          <w:lang w:val="en-GB"/>
        </w:rPr>
        <w:t xml:space="preserve"> </w:t>
      </w:r>
      <w:proofErr w:type="spellStart"/>
      <w:r w:rsidRPr="00086A97">
        <w:rPr>
          <w:lang w:val="en-GB"/>
        </w:rPr>
        <w:t>Kuijpers</w:t>
      </w:r>
      <w:proofErr w:type="spellEnd"/>
      <w:r w:rsidRPr="00086A97">
        <w:rPr>
          <w:lang w:val="en-GB"/>
        </w:rPr>
        <w:t xml:space="preserve"> </w:t>
      </w:r>
      <w:r w:rsidR="00CB2660" w:rsidRPr="00086A97">
        <w:rPr>
          <w:lang w:val="en-GB"/>
        </w:rPr>
        <w:t>said</w:t>
      </w:r>
      <w:r w:rsidRPr="00086A97">
        <w:rPr>
          <w:lang w:val="en-GB"/>
        </w:rPr>
        <w:t xml:space="preserve"> that the task force would look again at both issues</w:t>
      </w:r>
      <w:r w:rsidR="00CB2660" w:rsidRPr="00086A97">
        <w:rPr>
          <w:lang w:val="en-GB"/>
        </w:rPr>
        <w:t xml:space="preserve"> and </w:t>
      </w:r>
      <w:r w:rsidRPr="00086A97">
        <w:rPr>
          <w:lang w:val="en-GB"/>
        </w:rPr>
        <w:t xml:space="preserve">would attempt to </w:t>
      </w:r>
      <w:r w:rsidR="00E32034" w:rsidRPr="00086A97">
        <w:rPr>
          <w:lang w:val="en-GB"/>
        </w:rPr>
        <w:t>further assess the safety issues raised</w:t>
      </w:r>
      <w:r w:rsidR="00132A36" w:rsidRPr="00086A97">
        <w:rPr>
          <w:lang w:val="en-GB"/>
        </w:rPr>
        <w:t xml:space="preserve"> </w:t>
      </w:r>
      <w:r w:rsidR="00CB2660" w:rsidRPr="00086A97">
        <w:rPr>
          <w:lang w:val="en-GB"/>
        </w:rPr>
        <w:t xml:space="preserve">by </w:t>
      </w:r>
      <w:r w:rsidRPr="00086A97">
        <w:rPr>
          <w:lang w:val="en-GB"/>
        </w:rPr>
        <w:t xml:space="preserve">different alternatives. </w:t>
      </w:r>
    </w:p>
    <w:p w14:paraId="06D45E83" w14:textId="4AD5E4DE" w:rsidR="0066499D" w:rsidRPr="00086A97" w:rsidRDefault="0066499D" w:rsidP="00A30032">
      <w:pPr>
        <w:pStyle w:val="Normalnumber"/>
        <w:ind w:left="1247" w:firstLine="0"/>
        <w:rPr>
          <w:lang w:val="en-GB"/>
        </w:rPr>
      </w:pPr>
      <w:r w:rsidRPr="00086A97">
        <w:rPr>
          <w:lang w:val="en-GB"/>
        </w:rPr>
        <w:t xml:space="preserve">One representative suggested that it would be helpful if the Panel could develop its mitigation scenarios further to reflect the proposals for the phasedown schedules for the consumption and production of HFCs set out in the proposals to amend the Montreal Protocol in respect of HFCs, which she said would enable the parties to appreciate the climate benefits of the proposals and their potential cost to the Multilateral Fund. She said that her delegation intended to submit a conference room paper on the subject. </w:t>
      </w:r>
    </w:p>
    <w:p w14:paraId="7330A615" w14:textId="321E49B3" w:rsidR="0066499D" w:rsidRPr="00086A97" w:rsidRDefault="0066499D" w:rsidP="00A30032">
      <w:pPr>
        <w:pStyle w:val="Normalnumber"/>
        <w:ind w:left="1247" w:firstLine="0"/>
        <w:rPr>
          <w:lang w:val="en-GB"/>
        </w:rPr>
      </w:pPr>
      <w:r w:rsidRPr="00086A97">
        <w:rPr>
          <w:lang w:val="en-GB"/>
        </w:rPr>
        <w:t>The Co-Chair suggested that any other representatives with questions or suggested further guidance for the Panel could discuss them bilaterally in the margins of the meeting.</w:t>
      </w:r>
    </w:p>
    <w:p w14:paraId="05DB9BC3" w14:textId="4149A864" w:rsidR="00802A53" w:rsidRPr="00086A97" w:rsidRDefault="005959A9" w:rsidP="00A30032">
      <w:pPr>
        <w:pStyle w:val="Normalnumber"/>
        <w:ind w:left="1247" w:firstLine="0"/>
        <w:rPr>
          <w:lang w:val="en-GB"/>
        </w:rPr>
      </w:pPr>
      <w:r w:rsidRPr="00086A97">
        <w:rPr>
          <w:lang w:val="en-GB"/>
        </w:rPr>
        <w:t xml:space="preserve">At a subsequent session </w:t>
      </w:r>
      <w:proofErr w:type="spellStart"/>
      <w:r w:rsidRPr="00086A97">
        <w:rPr>
          <w:lang w:val="en-GB"/>
        </w:rPr>
        <w:t>Ms.</w:t>
      </w:r>
      <w:proofErr w:type="spellEnd"/>
      <w:r w:rsidRPr="00086A97">
        <w:rPr>
          <w:lang w:val="en-GB"/>
        </w:rPr>
        <w:t xml:space="preserve"> </w:t>
      </w:r>
      <w:proofErr w:type="spellStart"/>
      <w:r w:rsidRPr="00086A97">
        <w:rPr>
          <w:lang w:val="en-GB"/>
        </w:rPr>
        <w:t>Maranion</w:t>
      </w:r>
      <w:proofErr w:type="spellEnd"/>
      <w:r w:rsidRPr="00086A97">
        <w:rPr>
          <w:lang w:val="en-GB"/>
        </w:rPr>
        <w:t xml:space="preserve"> reported that there had been no further discussion of the matter at the current meeting. The Technology and Economic Assessment Panel, she said</w:t>
      </w:r>
      <w:r w:rsidR="009825BC" w:rsidRPr="00086A97">
        <w:rPr>
          <w:lang w:val="en-GB"/>
        </w:rPr>
        <w:t>,</w:t>
      </w:r>
      <w:r w:rsidRPr="00086A97">
        <w:rPr>
          <w:lang w:val="en-GB"/>
        </w:rPr>
        <w:t xml:space="preserve"> would </w:t>
      </w:r>
      <w:r w:rsidR="00EE5917" w:rsidRPr="00086A97">
        <w:rPr>
          <w:lang w:val="en-GB"/>
        </w:rPr>
        <w:t xml:space="preserve">accordingly </w:t>
      </w:r>
      <w:r w:rsidRPr="00086A97">
        <w:rPr>
          <w:lang w:val="en-GB"/>
        </w:rPr>
        <w:t>review the</w:t>
      </w:r>
      <w:r w:rsidR="00611CA5" w:rsidRPr="00086A97">
        <w:rPr>
          <w:lang w:val="en-GB"/>
        </w:rPr>
        <w:t xml:space="preserve"> current version of the</w:t>
      </w:r>
      <w:r w:rsidRPr="00086A97">
        <w:rPr>
          <w:lang w:val="en-GB"/>
        </w:rPr>
        <w:t xml:space="preserve"> report in the light of the comments and suggestions made in plenary and submit </w:t>
      </w:r>
      <w:r w:rsidR="00611CA5" w:rsidRPr="00086A97">
        <w:rPr>
          <w:lang w:val="en-GB"/>
        </w:rPr>
        <w:t>a further</w:t>
      </w:r>
      <w:r w:rsidRPr="00086A97">
        <w:rPr>
          <w:lang w:val="en-GB"/>
        </w:rPr>
        <w:t xml:space="preserve"> updated version for the Twenty-Eighth Meeting of the Parties.</w:t>
      </w:r>
    </w:p>
    <w:p w14:paraId="3A0D51BE" w14:textId="77777777" w:rsidR="00FE793A" w:rsidRPr="00086A97" w:rsidRDefault="00CD0B5E" w:rsidP="00713DD5">
      <w:pPr>
        <w:pStyle w:val="CH1"/>
        <w:rPr>
          <w:szCs w:val="18"/>
          <w:lang w:val="en-GB"/>
        </w:rPr>
      </w:pPr>
      <w:r w:rsidRPr="00086A97">
        <w:rPr>
          <w:lang w:val="en-GB"/>
        </w:rPr>
        <w:tab/>
        <w:t>IV.</w:t>
      </w:r>
      <w:r w:rsidRPr="00086A97">
        <w:rPr>
          <w:lang w:val="en-GB"/>
        </w:rPr>
        <w:tab/>
      </w:r>
      <w:r w:rsidR="0077674A" w:rsidRPr="00086A97">
        <w:rPr>
          <w:lang w:val="en-GB"/>
        </w:rPr>
        <w:t xml:space="preserve">Dubai </w:t>
      </w:r>
      <w:r w:rsidR="00144068" w:rsidRPr="00086A97">
        <w:rPr>
          <w:lang w:val="en-GB"/>
        </w:rPr>
        <w:t>p</w:t>
      </w:r>
      <w:r w:rsidR="0077674A" w:rsidRPr="00086A97">
        <w:rPr>
          <w:lang w:val="en-GB"/>
        </w:rPr>
        <w:t xml:space="preserve">athway on </w:t>
      </w:r>
      <w:proofErr w:type="spellStart"/>
      <w:r w:rsidR="00144068" w:rsidRPr="00086A97">
        <w:rPr>
          <w:lang w:val="en-GB"/>
        </w:rPr>
        <w:t>h</w:t>
      </w:r>
      <w:r w:rsidR="0077674A" w:rsidRPr="00086A97">
        <w:rPr>
          <w:lang w:val="en-GB"/>
        </w:rPr>
        <w:t>ydrofluorocarbons</w:t>
      </w:r>
      <w:proofErr w:type="spellEnd"/>
      <w:r w:rsidR="0077674A" w:rsidRPr="00086A97">
        <w:rPr>
          <w:lang w:val="en-GB"/>
        </w:rPr>
        <w:t xml:space="preserve"> (HFCs)</w:t>
      </w:r>
      <w:r w:rsidR="00EA3551" w:rsidRPr="00086A97">
        <w:rPr>
          <w:lang w:val="en-GB"/>
        </w:rPr>
        <w:t xml:space="preserve"> (</w:t>
      </w:r>
      <w:r w:rsidR="00144068" w:rsidRPr="00086A97">
        <w:rPr>
          <w:lang w:val="en-GB"/>
        </w:rPr>
        <w:t>d</w:t>
      </w:r>
      <w:r w:rsidR="00EA3551" w:rsidRPr="00086A97">
        <w:rPr>
          <w:lang w:val="en-GB"/>
        </w:rPr>
        <w:t>ecision XXVII/1)</w:t>
      </w:r>
    </w:p>
    <w:p w14:paraId="17C5CD25" w14:textId="41CDCF55" w:rsidR="00525D7B" w:rsidRPr="00086A97" w:rsidRDefault="00525D7B" w:rsidP="00A30032">
      <w:pPr>
        <w:pStyle w:val="Normalnumber"/>
        <w:ind w:left="1247" w:firstLine="0"/>
        <w:rPr>
          <w:lang w:val="en-GB"/>
        </w:rPr>
      </w:pPr>
      <w:r w:rsidRPr="00086A97">
        <w:rPr>
          <w:lang w:val="en-GB"/>
        </w:rPr>
        <w:t xml:space="preserve">Introducing item 4 of the agenda, </w:t>
      </w:r>
      <w:r w:rsidRPr="00B26802">
        <w:rPr>
          <w:lang w:val="en-GB"/>
        </w:rPr>
        <w:t>the Co-Chair</w:t>
      </w:r>
      <w:r w:rsidRPr="00086A97">
        <w:rPr>
          <w:lang w:val="en-GB"/>
        </w:rPr>
        <w:t xml:space="preserve"> of the Open-ended Working Group </w:t>
      </w:r>
      <w:r w:rsidR="00247732" w:rsidRPr="00086A97">
        <w:rPr>
          <w:lang w:val="en-GB"/>
        </w:rPr>
        <w:t>recalled</w:t>
      </w:r>
      <w:r w:rsidRPr="00086A97">
        <w:rPr>
          <w:lang w:val="en-GB"/>
        </w:rPr>
        <w:t xml:space="preserve"> that the</w:t>
      </w:r>
      <w:r w:rsidR="007343F2" w:rsidRPr="00086A97">
        <w:rPr>
          <w:lang w:val="en-GB"/>
        </w:rPr>
        <w:t xml:space="preserve"> Working Group at its</w:t>
      </w:r>
      <w:r w:rsidRPr="00086A97">
        <w:rPr>
          <w:lang w:val="en-GB"/>
        </w:rPr>
        <w:t xml:space="preserve"> resumed </w:t>
      </w:r>
      <w:r w:rsidR="007343F2" w:rsidRPr="00086A97">
        <w:rPr>
          <w:lang w:val="en-GB"/>
        </w:rPr>
        <w:t>thirty-seventh</w:t>
      </w:r>
      <w:r w:rsidRPr="00086A97">
        <w:rPr>
          <w:lang w:val="en-GB"/>
        </w:rPr>
        <w:t xml:space="preserve"> meeting had agreed on solutions to the challenges identified in the Dubai pathway, which had been captured in </w:t>
      </w:r>
      <w:r w:rsidR="007343F2" w:rsidRPr="00086A97">
        <w:rPr>
          <w:lang w:val="en-GB"/>
        </w:rPr>
        <w:t>an</w:t>
      </w:r>
      <w:r w:rsidRPr="00086A97">
        <w:rPr>
          <w:lang w:val="en-GB"/>
        </w:rPr>
        <w:t xml:space="preserve"> outcome document </w:t>
      </w:r>
      <w:r w:rsidR="007343F2" w:rsidRPr="00086A97">
        <w:rPr>
          <w:lang w:val="en-GB"/>
        </w:rPr>
        <w:t>prepared</w:t>
      </w:r>
      <w:r w:rsidRPr="00086A97">
        <w:rPr>
          <w:lang w:val="en-GB"/>
        </w:rPr>
        <w:t xml:space="preserve"> for the </w:t>
      </w:r>
      <w:r w:rsidR="007343F2" w:rsidRPr="00086A97">
        <w:rPr>
          <w:lang w:val="en-GB"/>
        </w:rPr>
        <w:t>current</w:t>
      </w:r>
      <w:r w:rsidRPr="00086A97">
        <w:rPr>
          <w:lang w:val="en-GB"/>
        </w:rPr>
        <w:t xml:space="preserve"> meeting (document UNEP/OzL.Pro.WG.1/38/7</w:t>
      </w:r>
      <w:r w:rsidR="007343F2" w:rsidRPr="00086A97">
        <w:rPr>
          <w:lang w:val="en-GB"/>
        </w:rPr>
        <w:t xml:space="preserve"> and Corr.1</w:t>
      </w:r>
      <w:r w:rsidRPr="00086A97">
        <w:rPr>
          <w:lang w:val="en-GB"/>
        </w:rPr>
        <w:t xml:space="preserve">). The </w:t>
      </w:r>
      <w:r w:rsidR="007343F2" w:rsidRPr="00086A97">
        <w:rPr>
          <w:lang w:val="en-GB"/>
        </w:rPr>
        <w:t>Working Group decided</w:t>
      </w:r>
      <w:r w:rsidRPr="00086A97">
        <w:rPr>
          <w:lang w:val="en-GB"/>
        </w:rPr>
        <w:t xml:space="preserve"> that the contact group </w:t>
      </w:r>
      <w:r w:rsidR="004849AE" w:rsidRPr="00086A97">
        <w:rPr>
          <w:lang w:val="en-GB"/>
        </w:rPr>
        <w:t xml:space="preserve">on the feasibility and ways of managing HFCs </w:t>
      </w:r>
      <w:r w:rsidR="007343F2" w:rsidRPr="00086A97">
        <w:rPr>
          <w:lang w:val="en-GB"/>
        </w:rPr>
        <w:t>that</w:t>
      </w:r>
      <w:r w:rsidRPr="00086A97">
        <w:rPr>
          <w:lang w:val="en-GB"/>
        </w:rPr>
        <w:t xml:space="preserve"> had been established </w:t>
      </w:r>
      <w:r w:rsidR="004849AE" w:rsidRPr="00086A97">
        <w:rPr>
          <w:lang w:val="en-GB"/>
        </w:rPr>
        <w:t>at the Twenty-Seventh Meeting of the Parties</w:t>
      </w:r>
      <w:r w:rsidR="008242DC" w:rsidRPr="00086A97">
        <w:rPr>
          <w:lang w:val="en-GB"/>
        </w:rPr>
        <w:t xml:space="preserve"> </w:t>
      </w:r>
      <w:r w:rsidR="00C630DF" w:rsidRPr="00086A97">
        <w:rPr>
          <w:lang w:val="en-GB"/>
        </w:rPr>
        <w:t>and continued during the thirty</w:t>
      </w:r>
      <w:r w:rsidR="00C630DF" w:rsidRPr="00086A97">
        <w:rPr>
          <w:lang w:val="en-GB"/>
        </w:rPr>
        <w:noBreakHyphen/>
      </w:r>
      <w:r w:rsidR="008242DC" w:rsidRPr="00086A97">
        <w:rPr>
          <w:lang w:val="en-GB"/>
        </w:rPr>
        <w:t>seventh and resumed thirty-seventh meetings of the Open-ended Working Group</w:t>
      </w:r>
      <w:r w:rsidRPr="00086A97">
        <w:rPr>
          <w:lang w:val="en-GB"/>
        </w:rPr>
        <w:t xml:space="preserve">, co-chaired by </w:t>
      </w:r>
      <w:proofErr w:type="spellStart"/>
      <w:r w:rsidRPr="00086A97">
        <w:rPr>
          <w:lang w:val="en-GB"/>
        </w:rPr>
        <w:t>Mr.</w:t>
      </w:r>
      <w:proofErr w:type="spellEnd"/>
      <w:r w:rsidR="00156357" w:rsidRPr="00086A97">
        <w:rPr>
          <w:lang w:val="en-GB"/>
        </w:rPr>
        <w:t> </w:t>
      </w:r>
      <w:r w:rsidRPr="00086A97">
        <w:rPr>
          <w:lang w:val="en-GB"/>
        </w:rPr>
        <w:t>Patrick</w:t>
      </w:r>
      <w:r w:rsidR="00156357" w:rsidRPr="00086A97">
        <w:rPr>
          <w:lang w:val="en-GB"/>
        </w:rPr>
        <w:t> </w:t>
      </w:r>
      <w:proofErr w:type="spellStart"/>
      <w:r w:rsidRPr="00086A97">
        <w:rPr>
          <w:lang w:val="en-GB"/>
        </w:rPr>
        <w:t>McInerney</w:t>
      </w:r>
      <w:proofErr w:type="spellEnd"/>
      <w:r w:rsidRPr="00086A97">
        <w:rPr>
          <w:lang w:val="en-GB"/>
        </w:rPr>
        <w:t xml:space="preserve"> (Australia) and </w:t>
      </w:r>
      <w:proofErr w:type="spellStart"/>
      <w:r w:rsidRPr="00086A97">
        <w:rPr>
          <w:lang w:val="en-GB"/>
        </w:rPr>
        <w:t>Mr.</w:t>
      </w:r>
      <w:proofErr w:type="spellEnd"/>
      <w:r w:rsidRPr="00086A97">
        <w:rPr>
          <w:lang w:val="en-GB"/>
        </w:rPr>
        <w:t xml:space="preserve"> Xia </w:t>
      </w:r>
      <w:proofErr w:type="spellStart"/>
      <w:r w:rsidRPr="00086A97">
        <w:rPr>
          <w:lang w:val="en-GB"/>
        </w:rPr>
        <w:t>Yingxian</w:t>
      </w:r>
      <w:proofErr w:type="spellEnd"/>
      <w:r w:rsidRPr="00086A97">
        <w:rPr>
          <w:lang w:val="en-GB"/>
        </w:rPr>
        <w:t xml:space="preserve"> (China), would </w:t>
      </w:r>
      <w:r w:rsidR="00CE0BA2" w:rsidRPr="00086A97">
        <w:rPr>
          <w:lang w:val="en-GB"/>
        </w:rPr>
        <w:t xml:space="preserve">continue to </w:t>
      </w:r>
      <w:r w:rsidRPr="00086A97">
        <w:rPr>
          <w:lang w:val="en-GB"/>
        </w:rPr>
        <w:t xml:space="preserve">work on the proposals </w:t>
      </w:r>
      <w:r w:rsidR="007343F2" w:rsidRPr="00086A97">
        <w:rPr>
          <w:lang w:val="en-GB"/>
        </w:rPr>
        <w:t>to amend the Montreal Protocol in respect of HFCs</w:t>
      </w:r>
      <w:r w:rsidR="00440C0B" w:rsidRPr="00086A97">
        <w:rPr>
          <w:lang w:val="en-GB"/>
        </w:rPr>
        <w:t>.</w:t>
      </w:r>
      <w:r w:rsidR="00A216AA" w:rsidRPr="00086A97">
        <w:rPr>
          <w:lang w:val="en-GB"/>
        </w:rPr>
        <w:t xml:space="preserve"> </w:t>
      </w:r>
      <w:r w:rsidR="00440C0B" w:rsidRPr="00086A97">
        <w:rPr>
          <w:lang w:val="en-GB"/>
        </w:rPr>
        <w:t>T</w:t>
      </w:r>
      <w:r w:rsidRPr="00086A97">
        <w:rPr>
          <w:lang w:val="en-GB"/>
        </w:rPr>
        <w:t xml:space="preserve">hose elements of solutions </w:t>
      </w:r>
      <w:r w:rsidR="00440C0B" w:rsidRPr="00086A97">
        <w:rPr>
          <w:lang w:val="en-GB"/>
        </w:rPr>
        <w:t xml:space="preserve">to the challenges </w:t>
      </w:r>
      <w:r w:rsidRPr="00086A97">
        <w:rPr>
          <w:lang w:val="en-GB"/>
        </w:rPr>
        <w:t xml:space="preserve">that it had </w:t>
      </w:r>
      <w:r w:rsidR="00440C0B" w:rsidRPr="00086A97">
        <w:rPr>
          <w:lang w:val="en-GB"/>
        </w:rPr>
        <w:t xml:space="preserve">generated </w:t>
      </w:r>
      <w:r w:rsidRPr="00086A97">
        <w:rPr>
          <w:lang w:val="en-GB"/>
        </w:rPr>
        <w:t>would be taken up during the amendment negotiations and resolved prior to the adoption of an</w:t>
      </w:r>
      <w:r w:rsidR="007343F2" w:rsidRPr="00086A97">
        <w:rPr>
          <w:lang w:val="en-GB"/>
        </w:rPr>
        <w:t>y</w:t>
      </w:r>
      <w:r w:rsidRPr="00086A97">
        <w:rPr>
          <w:lang w:val="en-GB"/>
        </w:rPr>
        <w:t xml:space="preserve"> amendment.</w:t>
      </w:r>
    </w:p>
    <w:p w14:paraId="718421F0" w14:textId="653C7756" w:rsidR="00D772A8" w:rsidRPr="00086A97" w:rsidRDefault="00D772A8" w:rsidP="00A30032">
      <w:pPr>
        <w:pStyle w:val="Normalnumber"/>
        <w:ind w:left="1247" w:firstLine="0"/>
        <w:rPr>
          <w:lang w:val="en-GB"/>
        </w:rPr>
      </w:pPr>
      <w:r w:rsidRPr="00086A97">
        <w:rPr>
          <w:lang w:val="en-GB"/>
        </w:rPr>
        <w:t xml:space="preserve">The Co-Chair subsequently announced that two conference room papers had been submitted, </w:t>
      </w:r>
      <w:r w:rsidR="009662D4" w:rsidRPr="00086A97">
        <w:rPr>
          <w:lang w:val="en-GB"/>
        </w:rPr>
        <w:t xml:space="preserve">by India and Pakistan, </w:t>
      </w:r>
      <w:r w:rsidRPr="00086A97">
        <w:rPr>
          <w:lang w:val="en-GB"/>
        </w:rPr>
        <w:t xml:space="preserve">each </w:t>
      </w:r>
      <w:r w:rsidR="006158E9" w:rsidRPr="00086A97">
        <w:rPr>
          <w:lang w:val="en-GB"/>
        </w:rPr>
        <w:t xml:space="preserve">setting out </w:t>
      </w:r>
      <w:r w:rsidRPr="00086A97">
        <w:rPr>
          <w:lang w:val="en-GB"/>
        </w:rPr>
        <w:t xml:space="preserve">draft decision text for consideration by the Working Group for inclusion in decisions by the Meeting of the Parties under the Dubai pathway on HFCs. A third conference room paper had also been submitted, </w:t>
      </w:r>
      <w:r w:rsidR="009662D4" w:rsidRPr="00086A97">
        <w:rPr>
          <w:lang w:val="en-GB"/>
        </w:rPr>
        <w:t xml:space="preserve">by </w:t>
      </w:r>
      <w:r w:rsidR="008B6722" w:rsidRPr="00086A97">
        <w:rPr>
          <w:lang w:val="en-GB"/>
        </w:rPr>
        <w:t xml:space="preserve">Canada and </w:t>
      </w:r>
      <w:r w:rsidR="009662D4" w:rsidRPr="00086A97">
        <w:rPr>
          <w:lang w:val="en-GB"/>
        </w:rPr>
        <w:t>the United States</w:t>
      </w:r>
      <w:r w:rsidR="008B6722" w:rsidRPr="00086A97">
        <w:rPr>
          <w:lang w:val="en-GB"/>
        </w:rPr>
        <w:t xml:space="preserve"> of America</w:t>
      </w:r>
      <w:r w:rsidR="00EE7E32" w:rsidRPr="00086A97">
        <w:rPr>
          <w:lang w:val="en-GB"/>
        </w:rPr>
        <w:t>,</w:t>
      </w:r>
      <w:r w:rsidR="008B6722" w:rsidRPr="00086A97">
        <w:rPr>
          <w:lang w:val="en-GB"/>
        </w:rPr>
        <w:t xml:space="preserve"> setting out </w:t>
      </w:r>
      <w:r w:rsidRPr="00086A97">
        <w:rPr>
          <w:lang w:val="en-GB"/>
        </w:rPr>
        <w:t xml:space="preserve">a </w:t>
      </w:r>
      <w:r w:rsidR="009662D4" w:rsidRPr="00086A97">
        <w:rPr>
          <w:lang w:val="en-GB"/>
        </w:rPr>
        <w:t xml:space="preserve">draft decision providing </w:t>
      </w:r>
      <w:r w:rsidRPr="00086A97">
        <w:rPr>
          <w:lang w:val="en-GB"/>
        </w:rPr>
        <w:t>for the Technology and Economic Assessment Panel to produce a report on the climate benefits and costs of reducing HFCs under each of the proposed amendments. It was agreed that all three conference room papers should be discussed by the contact group on HFCs.</w:t>
      </w:r>
    </w:p>
    <w:p w14:paraId="126DEFBE" w14:textId="51B40D5C" w:rsidR="00F80281" w:rsidRPr="00086A97" w:rsidRDefault="004849AE" w:rsidP="00A30032">
      <w:pPr>
        <w:pStyle w:val="Normalnumber"/>
        <w:ind w:left="1247" w:firstLine="0"/>
        <w:rPr>
          <w:lang w:val="en-GB"/>
        </w:rPr>
      </w:pPr>
      <w:r w:rsidRPr="00086A97">
        <w:rPr>
          <w:lang w:val="en-GB"/>
        </w:rPr>
        <w:t>Subsequently, at the final s</w:t>
      </w:r>
      <w:r w:rsidR="00F80281" w:rsidRPr="00086A97">
        <w:rPr>
          <w:lang w:val="en-GB"/>
        </w:rPr>
        <w:t>ession of the current meeting, o</w:t>
      </w:r>
      <w:r w:rsidRPr="00086A97">
        <w:rPr>
          <w:lang w:val="en-GB"/>
        </w:rPr>
        <w:t>n the afternoon of Thursday, 21</w:t>
      </w:r>
      <w:r w:rsidR="004A2091">
        <w:rPr>
          <w:lang w:val="en-GB"/>
        </w:rPr>
        <w:t> </w:t>
      </w:r>
      <w:r w:rsidRPr="00086A97">
        <w:rPr>
          <w:lang w:val="en-GB"/>
        </w:rPr>
        <w:t xml:space="preserve">July, the co-chair of the contact group reported that </w:t>
      </w:r>
      <w:r w:rsidR="00F80281" w:rsidRPr="00086A97">
        <w:rPr>
          <w:lang w:val="en-GB"/>
        </w:rPr>
        <w:t xml:space="preserve">the members of the group had actively discussed issues relating to the proposed amendments </w:t>
      </w:r>
      <w:r w:rsidR="00F77112" w:rsidRPr="00086A97">
        <w:rPr>
          <w:lang w:val="en-GB"/>
        </w:rPr>
        <w:t>to</w:t>
      </w:r>
      <w:r w:rsidR="00F80281" w:rsidRPr="00086A97">
        <w:rPr>
          <w:lang w:val="en-GB"/>
        </w:rPr>
        <w:t xml:space="preserve"> the Protocol in respect of HFCs, including the calculation of baselines, the year in which any freeze should commence </w:t>
      </w:r>
      <w:r w:rsidR="00174217" w:rsidRPr="00086A97">
        <w:rPr>
          <w:lang w:val="en-GB"/>
        </w:rPr>
        <w:t xml:space="preserve">and </w:t>
      </w:r>
      <w:r w:rsidR="00F80281" w:rsidRPr="00086A97">
        <w:rPr>
          <w:lang w:val="en-GB"/>
        </w:rPr>
        <w:t xml:space="preserve">reduction steps, including the </w:t>
      </w:r>
      <w:r w:rsidR="00973DD4">
        <w:rPr>
          <w:lang w:val="en-GB"/>
        </w:rPr>
        <w:t xml:space="preserve">estimation of </w:t>
      </w:r>
      <w:r w:rsidR="00EB552D">
        <w:rPr>
          <w:lang w:val="en-GB"/>
        </w:rPr>
        <w:t>amounts and timing of</w:t>
      </w:r>
      <w:r w:rsidR="00973DD4">
        <w:rPr>
          <w:lang w:val="en-GB"/>
        </w:rPr>
        <w:t xml:space="preserve"> </w:t>
      </w:r>
      <w:r w:rsidR="002B631B">
        <w:rPr>
          <w:lang w:val="en-GB"/>
        </w:rPr>
        <w:t xml:space="preserve">the </w:t>
      </w:r>
      <w:r w:rsidR="00341840" w:rsidRPr="00086A97">
        <w:rPr>
          <w:lang w:val="en-GB"/>
        </w:rPr>
        <w:t xml:space="preserve">peak </w:t>
      </w:r>
      <w:r w:rsidR="00F80281" w:rsidRPr="00086A97">
        <w:rPr>
          <w:lang w:val="en-GB"/>
        </w:rPr>
        <w:t>year</w:t>
      </w:r>
      <w:r w:rsidR="00EB552D">
        <w:rPr>
          <w:lang w:val="en-GB"/>
        </w:rPr>
        <w:t xml:space="preserve"> for production and consumption</w:t>
      </w:r>
      <w:r w:rsidR="00973DD4">
        <w:rPr>
          <w:lang w:val="en-GB"/>
        </w:rPr>
        <w:t>, for both Article 5 and non-Article 5 parties</w:t>
      </w:r>
      <w:r w:rsidR="00377153" w:rsidRPr="00086A97">
        <w:rPr>
          <w:lang w:val="en-GB"/>
        </w:rPr>
        <w:t xml:space="preserve">. The contact group had not reached agreement on any issue, however, and it accordingly recommended that its work continue to enable further informal discussion on those issues in the margins of the Third Extraordinary Meeting of the Parties. </w:t>
      </w:r>
    </w:p>
    <w:p w14:paraId="2C05CAA7" w14:textId="1F221745" w:rsidR="00CD0B5E" w:rsidRPr="00086A97" w:rsidRDefault="004849AE" w:rsidP="00A30032">
      <w:pPr>
        <w:pStyle w:val="Normalnumber"/>
        <w:ind w:left="1247" w:firstLine="0"/>
        <w:rPr>
          <w:lang w:val="en-GB"/>
        </w:rPr>
      </w:pPr>
      <w:r w:rsidRPr="00086A97">
        <w:rPr>
          <w:lang w:val="en-GB"/>
        </w:rPr>
        <w:t>The Open-ended Working Group</w:t>
      </w:r>
      <w:r w:rsidR="009662D4" w:rsidRPr="00086A97">
        <w:rPr>
          <w:lang w:val="en-GB"/>
        </w:rPr>
        <w:t xml:space="preserve"> accordingly </w:t>
      </w:r>
      <w:r w:rsidR="00DC305C">
        <w:rPr>
          <w:lang w:val="en-GB"/>
        </w:rPr>
        <w:t xml:space="preserve">decided to </w:t>
      </w:r>
      <w:r w:rsidR="008676A1">
        <w:rPr>
          <w:lang w:val="en-GB"/>
        </w:rPr>
        <w:t>suspend</w:t>
      </w:r>
      <w:r w:rsidR="00DC305C">
        <w:rPr>
          <w:lang w:val="en-GB"/>
        </w:rPr>
        <w:t xml:space="preserve"> </w:t>
      </w:r>
      <w:r w:rsidR="00EB552D">
        <w:rPr>
          <w:lang w:val="en-GB"/>
        </w:rPr>
        <w:t xml:space="preserve">its thirty-eighth meeting </w:t>
      </w:r>
      <w:r w:rsidR="008676A1">
        <w:rPr>
          <w:lang w:val="en-GB"/>
        </w:rPr>
        <w:t>to allow</w:t>
      </w:r>
      <w:r w:rsidR="00EB552D">
        <w:rPr>
          <w:lang w:val="en-GB"/>
        </w:rPr>
        <w:t xml:space="preserve"> the </w:t>
      </w:r>
      <w:r w:rsidRPr="00086A97">
        <w:rPr>
          <w:lang w:val="en-GB"/>
        </w:rPr>
        <w:t>contact group</w:t>
      </w:r>
      <w:r w:rsidR="009662D4" w:rsidRPr="00086A97">
        <w:rPr>
          <w:lang w:val="en-GB"/>
        </w:rPr>
        <w:t xml:space="preserve">, including through informal consultations, </w:t>
      </w:r>
      <w:r w:rsidR="008676A1">
        <w:rPr>
          <w:lang w:val="en-GB"/>
        </w:rPr>
        <w:t>to</w:t>
      </w:r>
      <w:r w:rsidR="008676A1" w:rsidRPr="00086A97">
        <w:rPr>
          <w:lang w:val="en-GB"/>
        </w:rPr>
        <w:t xml:space="preserve"> </w:t>
      </w:r>
      <w:r w:rsidR="009662D4" w:rsidRPr="00086A97">
        <w:rPr>
          <w:lang w:val="en-GB"/>
        </w:rPr>
        <w:t xml:space="preserve">continue to discuss the issues outlined above in the margins of the Third Extraordinary Meeting of the Parties and </w:t>
      </w:r>
      <w:r w:rsidR="008676A1">
        <w:rPr>
          <w:lang w:val="en-GB"/>
        </w:rPr>
        <w:t>to</w:t>
      </w:r>
      <w:r w:rsidR="008676A1" w:rsidRPr="00086A97">
        <w:rPr>
          <w:lang w:val="en-GB"/>
        </w:rPr>
        <w:t xml:space="preserve"> </w:t>
      </w:r>
      <w:r w:rsidR="009662D4" w:rsidRPr="00086A97">
        <w:rPr>
          <w:lang w:val="en-GB"/>
        </w:rPr>
        <w:t xml:space="preserve">report on the outcome of its discussions to the </w:t>
      </w:r>
      <w:r w:rsidR="00E10C95" w:rsidRPr="00086A97">
        <w:rPr>
          <w:lang w:val="en-GB"/>
        </w:rPr>
        <w:t xml:space="preserve">Third </w:t>
      </w:r>
      <w:r w:rsidR="00AB3BB9" w:rsidRPr="00086A97">
        <w:rPr>
          <w:lang w:val="en-GB"/>
        </w:rPr>
        <w:t xml:space="preserve">Extraordinary </w:t>
      </w:r>
      <w:r w:rsidR="009662D4" w:rsidRPr="00086A97">
        <w:rPr>
          <w:lang w:val="en-GB"/>
        </w:rPr>
        <w:t>Meeting of the Parties in plenary. The contact group would also further consider the three conference room papers referred to above, along with a fourth conference room paper</w:t>
      </w:r>
      <w:r w:rsidRPr="00086A97">
        <w:rPr>
          <w:lang w:val="en-GB"/>
        </w:rPr>
        <w:t>,</w:t>
      </w:r>
      <w:r w:rsidR="00E83418" w:rsidRPr="00086A97">
        <w:rPr>
          <w:lang w:val="en-GB"/>
        </w:rPr>
        <w:t xml:space="preserve"> </w:t>
      </w:r>
      <w:r w:rsidR="00EE54CA" w:rsidRPr="00086A97">
        <w:rPr>
          <w:lang w:val="en-GB"/>
        </w:rPr>
        <w:t xml:space="preserve">submitted by Pakistan, </w:t>
      </w:r>
      <w:r w:rsidRPr="00086A97">
        <w:rPr>
          <w:lang w:val="en-GB"/>
        </w:rPr>
        <w:t>proposing draft decision text for draft decisions of the Meeting of the Parties</w:t>
      </w:r>
      <w:r w:rsidR="00E01B4B" w:rsidRPr="00086A97">
        <w:rPr>
          <w:lang w:val="en-GB"/>
        </w:rPr>
        <w:t xml:space="preserve"> under the Dubai </w:t>
      </w:r>
      <w:r w:rsidR="003E555E" w:rsidRPr="00086A97">
        <w:rPr>
          <w:lang w:val="en-GB"/>
        </w:rPr>
        <w:t>p</w:t>
      </w:r>
      <w:r w:rsidR="00E01B4B" w:rsidRPr="00086A97">
        <w:rPr>
          <w:lang w:val="en-GB"/>
        </w:rPr>
        <w:t>athway</w:t>
      </w:r>
      <w:r w:rsidRPr="00086A97">
        <w:rPr>
          <w:lang w:val="en-GB"/>
        </w:rPr>
        <w:t>.</w:t>
      </w:r>
      <w:r w:rsidR="00F6794F" w:rsidRPr="00086A97">
        <w:rPr>
          <w:lang w:val="en-GB"/>
        </w:rPr>
        <w:t xml:space="preserve"> </w:t>
      </w:r>
      <w:r w:rsidR="0096511D" w:rsidRPr="00086A97">
        <w:rPr>
          <w:lang w:val="en-GB"/>
        </w:rPr>
        <w:t>The content of those conference room papers is reproduced in annex</w:t>
      </w:r>
      <w:r w:rsidR="009313B1" w:rsidRPr="00086A97">
        <w:rPr>
          <w:lang w:val="en-GB"/>
        </w:rPr>
        <w:t>es</w:t>
      </w:r>
      <w:r w:rsidR="0096511D" w:rsidRPr="00086A97">
        <w:rPr>
          <w:lang w:val="en-GB"/>
        </w:rPr>
        <w:t xml:space="preserve"> II–V to the present report. </w:t>
      </w:r>
      <w:r w:rsidR="00F6794F" w:rsidRPr="00086A97">
        <w:rPr>
          <w:lang w:val="en-GB"/>
        </w:rPr>
        <w:t>It was agreed that every effort would be made to avoid holding meetings of the contact group concurrently with the meeting of any other contact group during the Third Extraordinary Meeting of the Parties.</w:t>
      </w:r>
    </w:p>
    <w:p w14:paraId="0CEE5604" w14:textId="25825508" w:rsidR="00713DD5" w:rsidRPr="00086A97" w:rsidRDefault="00713DD5" w:rsidP="00713DD5">
      <w:pPr>
        <w:pStyle w:val="CH1"/>
        <w:rPr>
          <w:szCs w:val="18"/>
          <w:lang w:val="en-GB"/>
        </w:rPr>
      </w:pPr>
      <w:r w:rsidRPr="00086A97">
        <w:rPr>
          <w:lang w:val="en-GB"/>
        </w:rPr>
        <w:tab/>
        <w:t>V.</w:t>
      </w:r>
      <w:r w:rsidRPr="00086A97">
        <w:rPr>
          <w:lang w:val="en-GB"/>
        </w:rPr>
        <w:tab/>
      </w:r>
      <w:r w:rsidR="003250FC" w:rsidRPr="00086A97">
        <w:rPr>
          <w:lang w:val="en-GB"/>
        </w:rPr>
        <w:t>Technology and Economic Assessment Panel 2016 report</w:t>
      </w:r>
    </w:p>
    <w:p w14:paraId="312776EF" w14:textId="60E3A3A1" w:rsidR="000345B6" w:rsidRPr="00086A97" w:rsidRDefault="000345B6" w:rsidP="00A30032">
      <w:pPr>
        <w:pStyle w:val="Normalnumber"/>
        <w:ind w:left="1247" w:firstLine="0"/>
        <w:rPr>
          <w:lang w:val="en-GB"/>
        </w:rPr>
      </w:pPr>
      <w:r w:rsidRPr="00086A97">
        <w:rPr>
          <w:lang w:val="en-GB"/>
        </w:rPr>
        <w:t xml:space="preserve">Introducing item 5 </w:t>
      </w:r>
      <w:r w:rsidRPr="00B26802">
        <w:rPr>
          <w:lang w:val="en-GB"/>
        </w:rPr>
        <w:t>of the agenda</w:t>
      </w:r>
      <w:r w:rsidRPr="00086A97">
        <w:rPr>
          <w:lang w:val="en-GB"/>
        </w:rPr>
        <w:t>, the Co-Chair of the Open-ended Working Group drew attention to the three volumes of the 2016 progress report of the Technology and Economic Assessment Panel, containing, respectivel</w:t>
      </w:r>
      <w:r w:rsidR="00997CC6" w:rsidRPr="00086A97">
        <w:rPr>
          <w:lang w:val="en-GB"/>
        </w:rPr>
        <w:t>y, the progress reports of the Panel’s technical options c</w:t>
      </w:r>
      <w:r w:rsidRPr="00086A97">
        <w:rPr>
          <w:lang w:val="en-GB"/>
        </w:rPr>
        <w:t xml:space="preserve">ommittees, the follow-up to decision XXVI/7 on </w:t>
      </w:r>
      <w:proofErr w:type="spellStart"/>
      <w:r w:rsidRPr="00086A97">
        <w:rPr>
          <w:lang w:val="en-GB"/>
        </w:rPr>
        <w:t>halons</w:t>
      </w:r>
      <w:proofErr w:type="spellEnd"/>
      <w:r w:rsidRPr="00086A97">
        <w:rPr>
          <w:lang w:val="en-GB"/>
        </w:rPr>
        <w:t xml:space="preserve">, proposals for essential-use nominations, information on the discrepancies between observed </w:t>
      </w:r>
      <w:r w:rsidR="00997CC6" w:rsidRPr="00086A97">
        <w:rPr>
          <w:lang w:val="en-GB"/>
        </w:rPr>
        <w:t xml:space="preserve">atmospheric </w:t>
      </w:r>
      <w:r w:rsidRPr="00086A97">
        <w:rPr>
          <w:lang w:val="en-GB"/>
        </w:rPr>
        <w:t xml:space="preserve">concentrations of and reported data on carbon tetrachloride, and matters </w:t>
      </w:r>
      <w:r w:rsidR="00247732" w:rsidRPr="00086A97">
        <w:rPr>
          <w:lang w:val="en-GB"/>
        </w:rPr>
        <w:t>relating</w:t>
      </w:r>
      <w:r w:rsidR="00997CC6" w:rsidRPr="00086A97">
        <w:rPr>
          <w:lang w:val="en-GB"/>
        </w:rPr>
        <w:t xml:space="preserve"> to</w:t>
      </w:r>
      <w:r w:rsidRPr="00086A97">
        <w:rPr>
          <w:lang w:val="en-GB"/>
        </w:rPr>
        <w:t xml:space="preserve"> the membership of the Pa</w:t>
      </w:r>
      <w:r w:rsidR="00997CC6" w:rsidRPr="00086A97">
        <w:rPr>
          <w:lang w:val="en-GB"/>
        </w:rPr>
        <w:t>nel and administrative issues (v</w:t>
      </w:r>
      <w:r w:rsidRPr="00086A97">
        <w:rPr>
          <w:lang w:val="en-GB"/>
        </w:rPr>
        <w:t>olume 1); the initial report on critical-use n</w:t>
      </w:r>
      <w:r w:rsidR="00997CC6" w:rsidRPr="00086A97">
        <w:rPr>
          <w:lang w:val="en-GB"/>
        </w:rPr>
        <w:t>ominations for methyl bromide (v</w:t>
      </w:r>
      <w:r w:rsidRPr="00086A97">
        <w:rPr>
          <w:lang w:val="en-GB"/>
        </w:rPr>
        <w:t>olume 2); and the report under decision XXVII/5 on iss</w:t>
      </w:r>
      <w:r w:rsidR="00997CC6" w:rsidRPr="00086A97">
        <w:rPr>
          <w:lang w:val="en-GB"/>
        </w:rPr>
        <w:t>ues related to HCFC phase-out (v</w:t>
      </w:r>
      <w:r w:rsidRPr="00086A97">
        <w:rPr>
          <w:lang w:val="en-GB"/>
        </w:rPr>
        <w:t>olume 3).</w:t>
      </w:r>
    </w:p>
    <w:p w14:paraId="788B9A8A" w14:textId="16F57B13" w:rsidR="000345B6" w:rsidRPr="00086A97" w:rsidRDefault="000345B6" w:rsidP="00A30032">
      <w:pPr>
        <w:pStyle w:val="Normalnumber"/>
        <w:ind w:left="1247" w:firstLine="0"/>
        <w:rPr>
          <w:lang w:val="en-GB"/>
        </w:rPr>
      </w:pPr>
      <w:r w:rsidRPr="00086A97">
        <w:rPr>
          <w:lang w:val="en-GB"/>
        </w:rPr>
        <w:t xml:space="preserve">Members of the Panel </w:t>
      </w:r>
      <w:r w:rsidR="00997CC6" w:rsidRPr="00086A97">
        <w:rPr>
          <w:lang w:val="en-GB"/>
        </w:rPr>
        <w:t xml:space="preserve">and its technical options committees </w:t>
      </w:r>
      <w:r w:rsidRPr="00086A97">
        <w:rPr>
          <w:lang w:val="en-GB"/>
        </w:rPr>
        <w:t>then made presentations summarizing the m</w:t>
      </w:r>
      <w:r w:rsidR="00997CC6" w:rsidRPr="00086A97">
        <w:rPr>
          <w:lang w:val="en-GB"/>
        </w:rPr>
        <w:t>ain findings of the report</w:t>
      </w:r>
      <w:r w:rsidRPr="00086A97">
        <w:rPr>
          <w:lang w:val="en-GB"/>
        </w:rPr>
        <w:t xml:space="preserve"> as </w:t>
      </w:r>
      <w:r w:rsidR="00997CC6" w:rsidRPr="00086A97">
        <w:rPr>
          <w:lang w:val="en-GB"/>
        </w:rPr>
        <w:t xml:space="preserve">follows: </w:t>
      </w:r>
      <w:proofErr w:type="spellStart"/>
      <w:r w:rsidR="00997CC6" w:rsidRPr="00086A97">
        <w:rPr>
          <w:lang w:val="en-GB"/>
        </w:rPr>
        <w:t>Mr.</w:t>
      </w:r>
      <w:proofErr w:type="spellEnd"/>
      <w:r w:rsidR="00997CC6" w:rsidRPr="00086A97">
        <w:rPr>
          <w:lang w:val="en-GB"/>
        </w:rPr>
        <w:t xml:space="preserve"> Ashley Woodcock – Co-Chair of the Panel and interim Co-C</w:t>
      </w:r>
      <w:r w:rsidRPr="00086A97">
        <w:rPr>
          <w:lang w:val="en-GB"/>
        </w:rPr>
        <w:t xml:space="preserve">hair of the Foams Technical Options Committee; </w:t>
      </w:r>
      <w:proofErr w:type="spellStart"/>
      <w:r w:rsidRPr="00086A97">
        <w:rPr>
          <w:lang w:val="en-GB"/>
        </w:rPr>
        <w:t>Mr.</w:t>
      </w:r>
      <w:proofErr w:type="spellEnd"/>
      <w:r w:rsidRPr="00086A97">
        <w:rPr>
          <w:lang w:val="en-GB"/>
        </w:rPr>
        <w:t xml:space="preserve"> Sergey </w:t>
      </w:r>
      <w:proofErr w:type="spellStart"/>
      <w:r w:rsidRPr="00086A97">
        <w:rPr>
          <w:lang w:val="en-GB"/>
        </w:rPr>
        <w:t>Kopylov</w:t>
      </w:r>
      <w:proofErr w:type="spellEnd"/>
      <w:r w:rsidRPr="00086A97">
        <w:rPr>
          <w:lang w:val="en-GB"/>
        </w:rPr>
        <w:t xml:space="preserve"> – </w:t>
      </w:r>
      <w:proofErr w:type="spellStart"/>
      <w:r w:rsidRPr="00086A97">
        <w:rPr>
          <w:lang w:val="en-GB"/>
        </w:rPr>
        <w:t>Halons</w:t>
      </w:r>
      <w:proofErr w:type="spellEnd"/>
      <w:r w:rsidRPr="00086A97">
        <w:rPr>
          <w:lang w:val="en-GB"/>
        </w:rPr>
        <w:t xml:space="preserve"> Technical Options Committee; </w:t>
      </w:r>
      <w:proofErr w:type="spellStart"/>
      <w:r w:rsidRPr="00086A97">
        <w:rPr>
          <w:lang w:val="en-GB"/>
        </w:rPr>
        <w:t>Ms.</w:t>
      </w:r>
      <w:proofErr w:type="spellEnd"/>
      <w:r w:rsidRPr="00086A97">
        <w:rPr>
          <w:lang w:val="en-GB"/>
        </w:rPr>
        <w:t xml:space="preserve"> Marta </w:t>
      </w:r>
      <w:proofErr w:type="spellStart"/>
      <w:r w:rsidRPr="00086A97">
        <w:rPr>
          <w:lang w:val="en-GB"/>
        </w:rPr>
        <w:t>Pizano</w:t>
      </w:r>
      <w:proofErr w:type="spellEnd"/>
      <w:r w:rsidRPr="00086A97">
        <w:rPr>
          <w:lang w:val="en-GB"/>
        </w:rPr>
        <w:t xml:space="preserve">, </w:t>
      </w:r>
      <w:proofErr w:type="spellStart"/>
      <w:r w:rsidRPr="00086A97">
        <w:rPr>
          <w:lang w:val="en-GB"/>
        </w:rPr>
        <w:t>Mr.</w:t>
      </w:r>
      <w:proofErr w:type="spellEnd"/>
      <w:r w:rsidRPr="00086A97">
        <w:rPr>
          <w:lang w:val="en-GB"/>
        </w:rPr>
        <w:t xml:space="preserve"> Ian Porter and </w:t>
      </w:r>
      <w:proofErr w:type="spellStart"/>
      <w:r w:rsidRPr="00086A97">
        <w:rPr>
          <w:lang w:val="en-GB"/>
        </w:rPr>
        <w:t>Mr.</w:t>
      </w:r>
      <w:proofErr w:type="spellEnd"/>
      <w:r w:rsidRPr="00086A97">
        <w:rPr>
          <w:lang w:val="en-GB"/>
        </w:rPr>
        <w:t xml:space="preserve"> Mohammed </w:t>
      </w:r>
      <w:proofErr w:type="spellStart"/>
      <w:r w:rsidRPr="00086A97">
        <w:rPr>
          <w:lang w:val="en-GB"/>
        </w:rPr>
        <w:t>Besri</w:t>
      </w:r>
      <w:proofErr w:type="spellEnd"/>
      <w:r w:rsidRPr="00086A97">
        <w:rPr>
          <w:lang w:val="en-GB"/>
        </w:rPr>
        <w:t xml:space="preserve"> – Methyl Bromide Technical Options Committee; </w:t>
      </w:r>
      <w:proofErr w:type="spellStart"/>
      <w:r w:rsidRPr="00086A97">
        <w:rPr>
          <w:lang w:val="en-GB"/>
        </w:rPr>
        <w:t>Ms.</w:t>
      </w:r>
      <w:proofErr w:type="spellEnd"/>
      <w:r w:rsidRPr="00086A97">
        <w:rPr>
          <w:lang w:val="en-GB"/>
        </w:rPr>
        <w:t xml:space="preserve"> Helen Tope, </w:t>
      </w:r>
      <w:proofErr w:type="spellStart"/>
      <w:r w:rsidRPr="00086A97">
        <w:rPr>
          <w:lang w:val="en-GB"/>
        </w:rPr>
        <w:t>Mr.</w:t>
      </w:r>
      <w:proofErr w:type="spellEnd"/>
      <w:r w:rsidRPr="00086A97">
        <w:rPr>
          <w:lang w:val="en-GB"/>
        </w:rPr>
        <w:t xml:space="preserve"> </w:t>
      </w:r>
      <w:proofErr w:type="spellStart"/>
      <w:r w:rsidRPr="00086A97">
        <w:rPr>
          <w:lang w:val="en-GB"/>
        </w:rPr>
        <w:t>Jianjun</w:t>
      </w:r>
      <w:proofErr w:type="spellEnd"/>
      <w:r w:rsidRPr="00086A97">
        <w:rPr>
          <w:lang w:val="en-GB"/>
        </w:rPr>
        <w:t xml:space="preserve"> Zhang and </w:t>
      </w:r>
      <w:proofErr w:type="spellStart"/>
      <w:r w:rsidRPr="00086A97">
        <w:rPr>
          <w:lang w:val="en-GB"/>
        </w:rPr>
        <w:t>Mr.</w:t>
      </w:r>
      <w:proofErr w:type="spellEnd"/>
      <w:r w:rsidRPr="00086A97">
        <w:rPr>
          <w:lang w:val="en-GB"/>
        </w:rPr>
        <w:t xml:space="preserve"> Keiichi Ohnishi – Medical and Chemicals Technical Options Committ</w:t>
      </w:r>
      <w:r w:rsidR="00997CC6" w:rsidRPr="00086A97">
        <w:rPr>
          <w:lang w:val="en-GB"/>
        </w:rPr>
        <w:t xml:space="preserve">ee; and </w:t>
      </w:r>
      <w:proofErr w:type="spellStart"/>
      <w:r w:rsidR="00997CC6" w:rsidRPr="00086A97">
        <w:rPr>
          <w:lang w:val="en-GB"/>
        </w:rPr>
        <w:t>Mr.</w:t>
      </w:r>
      <w:proofErr w:type="spellEnd"/>
      <w:r w:rsidR="00997CC6" w:rsidRPr="00086A97">
        <w:rPr>
          <w:lang w:val="en-GB"/>
        </w:rPr>
        <w:t xml:space="preserve"> Lambert </w:t>
      </w:r>
      <w:proofErr w:type="spellStart"/>
      <w:r w:rsidR="00997CC6" w:rsidRPr="00086A97">
        <w:rPr>
          <w:lang w:val="en-GB"/>
        </w:rPr>
        <w:t>Kuijpers</w:t>
      </w:r>
      <w:proofErr w:type="spellEnd"/>
      <w:r w:rsidR="00997CC6" w:rsidRPr="00086A97">
        <w:rPr>
          <w:lang w:val="en-GB"/>
        </w:rPr>
        <w:t xml:space="preserve"> – </w:t>
      </w:r>
      <w:r w:rsidR="001D666A" w:rsidRPr="00086A97">
        <w:rPr>
          <w:lang w:val="en-GB"/>
        </w:rPr>
        <w:t>Senior Expert</w:t>
      </w:r>
      <w:r w:rsidRPr="00086A97">
        <w:rPr>
          <w:lang w:val="en-GB"/>
        </w:rPr>
        <w:t xml:space="preserve"> of the Panel. A summary of the presentations, as prepared by the pre</w:t>
      </w:r>
      <w:r w:rsidR="00065F9D" w:rsidRPr="00086A97">
        <w:rPr>
          <w:lang w:val="en-GB"/>
        </w:rPr>
        <w:t>senters, is set out in annex </w:t>
      </w:r>
      <w:r w:rsidR="00D87964" w:rsidRPr="00086A97">
        <w:rPr>
          <w:lang w:val="en-GB"/>
        </w:rPr>
        <w:t>I</w:t>
      </w:r>
      <w:r w:rsidRPr="00086A97">
        <w:rPr>
          <w:lang w:val="en-GB"/>
        </w:rPr>
        <w:t xml:space="preserve"> to the present report.</w:t>
      </w:r>
    </w:p>
    <w:p w14:paraId="11DF7BEC" w14:textId="7BAD68B2" w:rsidR="000345B6" w:rsidRPr="00086A97" w:rsidRDefault="000345B6" w:rsidP="00A30032">
      <w:pPr>
        <w:pStyle w:val="Normalnumber"/>
        <w:ind w:left="1247" w:firstLine="0"/>
        <w:rPr>
          <w:lang w:val="en-GB"/>
        </w:rPr>
      </w:pPr>
      <w:r w:rsidRPr="00086A97">
        <w:rPr>
          <w:lang w:val="en-GB"/>
        </w:rPr>
        <w:t xml:space="preserve">In the ensuing discussion, all the representatives who spoke expressed appreciation to the Panel and its technical options committees for their continued work and the progress report, which </w:t>
      </w:r>
      <w:r w:rsidR="00077946" w:rsidRPr="00086A97">
        <w:rPr>
          <w:lang w:val="en-GB"/>
        </w:rPr>
        <w:t xml:space="preserve">they said </w:t>
      </w:r>
      <w:r w:rsidRPr="00086A97">
        <w:rPr>
          <w:lang w:val="en-GB"/>
        </w:rPr>
        <w:t xml:space="preserve">was proving </w:t>
      </w:r>
      <w:r w:rsidR="00077946" w:rsidRPr="00086A97">
        <w:rPr>
          <w:lang w:val="en-GB"/>
        </w:rPr>
        <w:t xml:space="preserve">to be </w:t>
      </w:r>
      <w:r w:rsidRPr="00086A97">
        <w:rPr>
          <w:lang w:val="en-GB"/>
        </w:rPr>
        <w:t>very useful. A number of representatives posed questions regarding matters highlighted during the presentation or discussed in the report.</w:t>
      </w:r>
    </w:p>
    <w:p w14:paraId="6999C650" w14:textId="622DD702" w:rsidR="000345B6" w:rsidRPr="00086A97" w:rsidRDefault="000345B6" w:rsidP="00A30032">
      <w:pPr>
        <w:pStyle w:val="Normalnumber"/>
        <w:ind w:left="1247" w:firstLine="0"/>
        <w:rPr>
          <w:lang w:val="en-GB"/>
        </w:rPr>
      </w:pPr>
      <w:r w:rsidRPr="00086A97">
        <w:rPr>
          <w:lang w:val="en-GB"/>
        </w:rPr>
        <w:t xml:space="preserve">The representative of the Russian Federation </w:t>
      </w:r>
      <w:r w:rsidR="00077946" w:rsidRPr="009E72DF">
        <w:rPr>
          <w:lang w:val="en-GB"/>
        </w:rPr>
        <w:t>said</w:t>
      </w:r>
      <w:r w:rsidRPr="009E72DF">
        <w:rPr>
          <w:lang w:val="en-GB"/>
        </w:rPr>
        <w:t xml:space="preserve"> that</w:t>
      </w:r>
      <w:r w:rsidRPr="00086A97">
        <w:rPr>
          <w:lang w:val="en-GB"/>
        </w:rPr>
        <w:t xml:space="preserve"> the report and presentation were in error in claiming that CFCs were still used in the production of metered-dose inhalers in his country; only HFCs had been used for </w:t>
      </w:r>
      <w:r w:rsidR="00077946" w:rsidRPr="00086A97">
        <w:rPr>
          <w:lang w:val="en-GB"/>
        </w:rPr>
        <w:t>that</w:t>
      </w:r>
      <w:r w:rsidRPr="00086A97">
        <w:rPr>
          <w:lang w:val="en-GB"/>
        </w:rPr>
        <w:t xml:space="preserve"> purpose since 2015, and CFCs were used only under an essential-use exemption for aerospace applications. Observing that the data </w:t>
      </w:r>
      <w:r w:rsidR="00077946" w:rsidRPr="00086A97">
        <w:rPr>
          <w:lang w:val="en-GB"/>
        </w:rPr>
        <w:t xml:space="preserve">that </w:t>
      </w:r>
      <w:r w:rsidRPr="00086A97">
        <w:rPr>
          <w:lang w:val="en-GB"/>
        </w:rPr>
        <w:t>the Panel had reported had been taken from the Russian Federation’s report</w:t>
      </w:r>
      <w:r w:rsidR="00360F53" w:rsidRPr="00086A97">
        <w:rPr>
          <w:lang w:val="en-GB"/>
        </w:rPr>
        <w:t>ing accounting framework</w:t>
      </w:r>
      <w:r w:rsidRPr="00086A97">
        <w:rPr>
          <w:lang w:val="en-GB"/>
        </w:rPr>
        <w:t xml:space="preserve"> and industry </w:t>
      </w:r>
      <w:r w:rsidR="00360F53" w:rsidRPr="00086A97">
        <w:rPr>
          <w:lang w:val="en-GB"/>
        </w:rPr>
        <w:t xml:space="preserve">information </w:t>
      </w:r>
      <w:r w:rsidRPr="00086A97">
        <w:rPr>
          <w:lang w:val="en-GB"/>
        </w:rPr>
        <w:t xml:space="preserve">in the country, </w:t>
      </w:r>
      <w:proofErr w:type="spellStart"/>
      <w:r w:rsidRPr="00086A97">
        <w:rPr>
          <w:lang w:val="en-GB"/>
        </w:rPr>
        <w:t>Ms.</w:t>
      </w:r>
      <w:proofErr w:type="spellEnd"/>
      <w:r w:rsidRPr="00086A97">
        <w:rPr>
          <w:lang w:val="en-GB"/>
        </w:rPr>
        <w:t xml:space="preserve"> Tope </w:t>
      </w:r>
      <w:r w:rsidR="00077946" w:rsidRPr="00086A97">
        <w:rPr>
          <w:lang w:val="en-GB"/>
        </w:rPr>
        <w:t>said</w:t>
      </w:r>
      <w:r w:rsidRPr="00086A97">
        <w:rPr>
          <w:lang w:val="en-GB"/>
        </w:rPr>
        <w:t xml:space="preserve"> that the Panel would be happy to correct </w:t>
      </w:r>
      <w:r w:rsidR="009A09E9" w:rsidRPr="00086A97">
        <w:rPr>
          <w:lang w:val="en-GB"/>
        </w:rPr>
        <w:t xml:space="preserve">any incorrect </w:t>
      </w:r>
      <w:r w:rsidRPr="00086A97">
        <w:rPr>
          <w:lang w:val="en-GB"/>
        </w:rPr>
        <w:t>information</w:t>
      </w:r>
      <w:r w:rsidR="00077946" w:rsidRPr="00086A97">
        <w:rPr>
          <w:lang w:val="en-GB"/>
        </w:rPr>
        <w:t xml:space="preserve"> following more detailed discussion </w:t>
      </w:r>
      <w:r w:rsidRPr="00086A97">
        <w:rPr>
          <w:lang w:val="en-GB"/>
        </w:rPr>
        <w:t>with the representative.</w:t>
      </w:r>
    </w:p>
    <w:p w14:paraId="50DD6151" w14:textId="1BFFD12B" w:rsidR="000345B6" w:rsidRPr="00086A97" w:rsidRDefault="000345B6" w:rsidP="00A30032">
      <w:pPr>
        <w:pStyle w:val="Normalnumber"/>
        <w:ind w:left="1247" w:firstLine="0"/>
        <w:rPr>
          <w:lang w:val="en-GB"/>
        </w:rPr>
      </w:pPr>
      <w:r w:rsidRPr="00086A97">
        <w:rPr>
          <w:lang w:val="en-GB"/>
        </w:rPr>
        <w:t xml:space="preserve">In response to a question about possible emissions of ozone-depleting substances used as feedstock during transport and storage, </w:t>
      </w:r>
      <w:proofErr w:type="spellStart"/>
      <w:r w:rsidRPr="00086A97">
        <w:rPr>
          <w:lang w:val="en-GB"/>
        </w:rPr>
        <w:t>Ms.</w:t>
      </w:r>
      <w:proofErr w:type="spellEnd"/>
      <w:r w:rsidRPr="00086A97">
        <w:rPr>
          <w:lang w:val="en-GB"/>
        </w:rPr>
        <w:t xml:space="preserve"> Tope explained that the Panel had used a leakage rate of 0.5 per cent </w:t>
      </w:r>
      <w:r w:rsidR="004276F8" w:rsidRPr="00086A97">
        <w:rPr>
          <w:lang w:val="en-GB"/>
        </w:rPr>
        <w:t>because</w:t>
      </w:r>
      <w:r w:rsidRPr="00086A97">
        <w:rPr>
          <w:lang w:val="en-GB"/>
        </w:rPr>
        <w:t xml:space="preserve"> that was the figure estimated by the Intergovernmental Panel on Climate Change for the leakage rate </w:t>
      </w:r>
      <w:r w:rsidR="000B53D0" w:rsidRPr="00086A97">
        <w:rPr>
          <w:lang w:val="en-GB"/>
        </w:rPr>
        <w:t xml:space="preserve">for </w:t>
      </w:r>
      <w:r w:rsidRPr="00086A97">
        <w:rPr>
          <w:lang w:val="en-GB"/>
        </w:rPr>
        <w:t>HFC</w:t>
      </w:r>
      <w:r w:rsidR="000B53D0" w:rsidRPr="00086A97">
        <w:rPr>
          <w:lang w:val="en-GB"/>
        </w:rPr>
        <w:t xml:space="preserve"> production</w:t>
      </w:r>
      <w:r w:rsidRPr="00086A97">
        <w:rPr>
          <w:lang w:val="en-GB"/>
        </w:rPr>
        <w:t xml:space="preserve">. </w:t>
      </w:r>
      <w:r w:rsidR="000B53D0" w:rsidRPr="00086A97">
        <w:rPr>
          <w:lang w:val="en-GB"/>
        </w:rPr>
        <w:t xml:space="preserve">It was very difficult, she said, to estimate those emissions due to the range of different processes that had to be considered across the range of ozone-depleting substances. </w:t>
      </w:r>
      <w:r w:rsidRPr="00086A97">
        <w:rPr>
          <w:lang w:val="en-GB"/>
        </w:rPr>
        <w:t xml:space="preserve">She accepted, however, that since </w:t>
      </w:r>
      <w:r w:rsidR="004276F8" w:rsidRPr="00086A97">
        <w:rPr>
          <w:lang w:val="en-GB"/>
        </w:rPr>
        <w:t>that</w:t>
      </w:r>
      <w:r w:rsidRPr="00086A97">
        <w:rPr>
          <w:lang w:val="en-GB"/>
        </w:rPr>
        <w:t xml:space="preserve"> figure did not take into account emissions during transport or storage, emissions were likely to be higher. </w:t>
      </w:r>
      <w:r w:rsidR="004276F8" w:rsidRPr="00086A97">
        <w:rPr>
          <w:lang w:val="en-GB"/>
        </w:rPr>
        <w:t>That</w:t>
      </w:r>
      <w:r w:rsidRPr="00086A97">
        <w:rPr>
          <w:lang w:val="en-GB"/>
        </w:rPr>
        <w:t xml:space="preserve"> was a very difficult figure to estimate, however, and uses of </w:t>
      </w:r>
      <w:r w:rsidR="004276F8" w:rsidRPr="00086A97">
        <w:rPr>
          <w:lang w:val="en-GB"/>
        </w:rPr>
        <w:t xml:space="preserve">large quantities of </w:t>
      </w:r>
      <w:r w:rsidRPr="00086A97">
        <w:rPr>
          <w:lang w:val="en-GB"/>
        </w:rPr>
        <w:t xml:space="preserve">feedstock tended to be well managed. </w:t>
      </w:r>
      <w:r w:rsidR="004276F8" w:rsidRPr="00086A97">
        <w:rPr>
          <w:lang w:val="en-GB"/>
        </w:rPr>
        <w:t>T</w:t>
      </w:r>
      <w:r w:rsidRPr="00086A97">
        <w:rPr>
          <w:lang w:val="en-GB"/>
        </w:rPr>
        <w:t>he Panel</w:t>
      </w:r>
      <w:r w:rsidR="004276F8" w:rsidRPr="00086A97">
        <w:rPr>
          <w:lang w:val="en-GB"/>
        </w:rPr>
        <w:t>, however,</w:t>
      </w:r>
      <w:r w:rsidRPr="00086A97">
        <w:rPr>
          <w:lang w:val="en-GB"/>
        </w:rPr>
        <w:t xml:space="preserve"> would review new information just </w:t>
      </w:r>
      <w:r w:rsidR="000B53D0" w:rsidRPr="00086A97">
        <w:rPr>
          <w:lang w:val="en-GB"/>
        </w:rPr>
        <w:t xml:space="preserve">published </w:t>
      </w:r>
      <w:r w:rsidRPr="00086A97">
        <w:rPr>
          <w:lang w:val="en-GB"/>
        </w:rPr>
        <w:t xml:space="preserve">and </w:t>
      </w:r>
      <w:r w:rsidR="000B53D0" w:rsidRPr="00086A97">
        <w:rPr>
          <w:lang w:val="en-GB"/>
        </w:rPr>
        <w:t>work where possible to improve</w:t>
      </w:r>
      <w:r w:rsidRPr="00086A97">
        <w:rPr>
          <w:lang w:val="en-GB"/>
        </w:rPr>
        <w:t xml:space="preserve"> estimate</w:t>
      </w:r>
      <w:r w:rsidR="000B53D0" w:rsidRPr="00086A97">
        <w:rPr>
          <w:lang w:val="en-GB"/>
        </w:rPr>
        <w:t>s</w:t>
      </w:r>
      <w:r w:rsidRPr="00086A97">
        <w:rPr>
          <w:lang w:val="en-GB"/>
        </w:rPr>
        <w:t xml:space="preserve">. </w:t>
      </w:r>
      <w:r w:rsidR="000B53D0" w:rsidRPr="00086A97">
        <w:rPr>
          <w:lang w:val="en-GB"/>
        </w:rPr>
        <w:t>She invited parties to provide any information that could be use</w:t>
      </w:r>
      <w:r w:rsidR="00F05C17" w:rsidRPr="00086A97">
        <w:rPr>
          <w:lang w:val="en-GB"/>
        </w:rPr>
        <w:t>d</w:t>
      </w:r>
      <w:r w:rsidR="000B53D0" w:rsidRPr="00086A97">
        <w:rPr>
          <w:lang w:val="en-GB"/>
        </w:rPr>
        <w:t xml:space="preserve"> to better characterize emissions from feedstock uses.</w:t>
      </w:r>
    </w:p>
    <w:p w14:paraId="792691D7" w14:textId="627F55D3" w:rsidR="000345B6" w:rsidRPr="00086A97" w:rsidRDefault="000345B6" w:rsidP="00A30032">
      <w:pPr>
        <w:pStyle w:val="Normalnumber"/>
        <w:ind w:left="1247" w:firstLine="0"/>
        <w:rPr>
          <w:lang w:val="en-GB"/>
        </w:rPr>
      </w:pPr>
      <w:r w:rsidRPr="00086A97">
        <w:rPr>
          <w:lang w:val="en-GB"/>
        </w:rPr>
        <w:t xml:space="preserve">Responding to a question </w:t>
      </w:r>
      <w:r w:rsidRPr="0048721D">
        <w:rPr>
          <w:lang w:val="en-GB"/>
        </w:rPr>
        <w:t>about the continued</w:t>
      </w:r>
      <w:r w:rsidR="00C73DD6" w:rsidRPr="00086A97">
        <w:rPr>
          <w:lang w:val="en-GB"/>
        </w:rPr>
        <w:t xml:space="preserve"> use of methyl bromide </w:t>
      </w:r>
      <w:r w:rsidR="0008029C" w:rsidRPr="00086A97">
        <w:rPr>
          <w:lang w:val="en-GB"/>
        </w:rPr>
        <w:t>by one</w:t>
      </w:r>
      <w:r w:rsidR="00C73DD6" w:rsidRPr="00086A97">
        <w:rPr>
          <w:lang w:val="en-GB"/>
        </w:rPr>
        <w:t xml:space="preserve"> p</w:t>
      </w:r>
      <w:r w:rsidRPr="00086A97">
        <w:rPr>
          <w:lang w:val="en-GB"/>
        </w:rPr>
        <w:t>art</w:t>
      </w:r>
      <w:r w:rsidR="0008029C" w:rsidRPr="00086A97">
        <w:rPr>
          <w:lang w:val="en-GB"/>
        </w:rPr>
        <w:t>y</w:t>
      </w:r>
      <w:r w:rsidR="00C73DD6" w:rsidRPr="00086A97">
        <w:rPr>
          <w:lang w:val="en-GB"/>
        </w:rPr>
        <w:t xml:space="preserve">, </w:t>
      </w:r>
      <w:proofErr w:type="spellStart"/>
      <w:r w:rsidR="00C73DD6" w:rsidRPr="00086A97">
        <w:rPr>
          <w:lang w:val="en-GB"/>
        </w:rPr>
        <w:t>Mr.</w:t>
      </w:r>
      <w:proofErr w:type="spellEnd"/>
      <w:r w:rsidR="00C73DD6" w:rsidRPr="00086A97">
        <w:rPr>
          <w:lang w:val="en-GB"/>
        </w:rPr>
        <w:t> </w:t>
      </w:r>
      <w:r w:rsidRPr="00086A97">
        <w:rPr>
          <w:lang w:val="en-GB"/>
        </w:rPr>
        <w:t xml:space="preserve">Porter </w:t>
      </w:r>
      <w:r w:rsidR="00DE2354" w:rsidRPr="00086A97">
        <w:rPr>
          <w:lang w:val="en-GB"/>
        </w:rPr>
        <w:t xml:space="preserve">said </w:t>
      </w:r>
      <w:r w:rsidRPr="00086A97">
        <w:rPr>
          <w:lang w:val="en-GB"/>
        </w:rPr>
        <w:t xml:space="preserve">that </w:t>
      </w:r>
      <w:r w:rsidR="00DE2354" w:rsidRPr="00086A97">
        <w:rPr>
          <w:lang w:val="en-GB"/>
        </w:rPr>
        <w:t xml:space="preserve">there were differences in the specific circumstances of nominations by parties, particularly with regard to </w:t>
      </w:r>
      <w:r w:rsidR="00DD5CB9" w:rsidRPr="00086A97">
        <w:rPr>
          <w:lang w:val="en-GB"/>
        </w:rPr>
        <w:t xml:space="preserve">national </w:t>
      </w:r>
      <w:r w:rsidRPr="00086A97">
        <w:rPr>
          <w:lang w:val="en-GB"/>
        </w:rPr>
        <w:t xml:space="preserve">regulations </w:t>
      </w:r>
      <w:r w:rsidR="00C73DD6" w:rsidRPr="00086A97">
        <w:rPr>
          <w:lang w:val="en-GB"/>
        </w:rPr>
        <w:t>that</w:t>
      </w:r>
      <w:r w:rsidRPr="00086A97">
        <w:rPr>
          <w:lang w:val="en-GB"/>
        </w:rPr>
        <w:t xml:space="preserve"> </w:t>
      </w:r>
      <w:r w:rsidR="00DE2354" w:rsidRPr="00086A97">
        <w:rPr>
          <w:lang w:val="en-GB"/>
        </w:rPr>
        <w:t xml:space="preserve">affected </w:t>
      </w:r>
      <w:r w:rsidRPr="00086A97">
        <w:rPr>
          <w:lang w:val="en-GB"/>
        </w:rPr>
        <w:t xml:space="preserve">the </w:t>
      </w:r>
      <w:r w:rsidR="00680EEB" w:rsidRPr="00086A97">
        <w:rPr>
          <w:lang w:val="en-GB"/>
        </w:rPr>
        <w:t xml:space="preserve">availability and </w:t>
      </w:r>
      <w:r w:rsidRPr="00086A97">
        <w:rPr>
          <w:lang w:val="en-GB"/>
        </w:rPr>
        <w:t>adoption of alternatives</w:t>
      </w:r>
      <w:r w:rsidR="00680EEB" w:rsidRPr="00086A97">
        <w:rPr>
          <w:lang w:val="en-GB"/>
        </w:rPr>
        <w:t>. A positive sign, however</w:t>
      </w:r>
      <w:r w:rsidR="00A36A51" w:rsidRPr="00086A97">
        <w:rPr>
          <w:lang w:val="en-GB"/>
        </w:rPr>
        <w:t>,</w:t>
      </w:r>
      <w:r w:rsidR="00C73DD6" w:rsidRPr="00086A97">
        <w:rPr>
          <w:lang w:val="en-GB"/>
        </w:rPr>
        <w:t xml:space="preserve"> </w:t>
      </w:r>
      <w:r w:rsidR="00680EEB" w:rsidRPr="00086A97">
        <w:rPr>
          <w:lang w:val="en-GB"/>
        </w:rPr>
        <w:t>was</w:t>
      </w:r>
      <w:r w:rsidR="00C73DD6" w:rsidRPr="00086A97">
        <w:rPr>
          <w:lang w:val="en-GB"/>
        </w:rPr>
        <w:t xml:space="preserve"> that the trend in consumption was nevertheless clearly downwards</w:t>
      </w:r>
      <w:r w:rsidRPr="00086A97">
        <w:rPr>
          <w:lang w:val="en-GB"/>
        </w:rPr>
        <w:t xml:space="preserve">. </w:t>
      </w:r>
      <w:r w:rsidR="00C73DD6" w:rsidRPr="00086A97">
        <w:rPr>
          <w:lang w:val="en-GB"/>
        </w:rPr>
        <w:t xml:space="preserve">He also offered to discuss </w:t>
      </w:r>
      <w:r w:rsidR="00E51B96" w:rsidRPr="00086A97">
        <w:rPr>
          <w:lang w:val="en-GB"/>
        </w:rPr>
        <w:t>iss</w:t>
      </w:r>
      <w:r w:rsidR="00F15503" w:rsidRPr="00086A97">
        <w:rPr>
          <w:lang w:val="en-GB"/>
        </w:rPr>
        <w:t>ues related to non-</w:t>
      </w:r>
      <w:r w:rsidR="00E51B96" w:rsidRPr="00086A97">
        <w:rPr>
          <w:lang w:val="en-GB"/>
        </w:rPr>
        <w:t>reported</w:t>
      </w:r>
      <w:r w:rsidR="00C73DD6" w:rsidRPr="00086A97">
        <w:rPr>
          <w:lang w:val="en-GB"/>
        </w:rPr>
        <w:t xml:space="preserve"> uses of </w:t>
      </w:r>
      <w:r w:rsidRPr="00086A97">
        <w:rPr>
          <w:lang w:val="en-GB"/>
        </w:rPr>
        <w:t xml:space="preserve">methyl bromide </w:t>
      </w:r>
      <w:r w:rsidR="00C73DD6" w:rsidRPr="00086A97">
        <w:rPr>
          <w:lang w:val="en-GB"/>
        </w:rPr>
        <w:t>with a representative posing a number of questions on that subject</w:t>
      </w:r>
      <w:r w:rsidRPr="00086A97">
        <w:rPr>
          <w:lang w:val="en-GB"/>
        </w:rPr>
        <w:t>.</w:t>
      </w:r>
    </w:p>
    <w:p w14:paraId="79EE2510" w14:textId="60351E68" w:rsidR="000345B6" w:rsidRPr="00086A97" w:rsidRDefault="000345B6" w:rsidP="00A30032">
      <w:pPr>
        <w:pStyle w:val="Normalnumber"/>
        <w:ind w:left="1247" w:firstLine="0"/>
        <w:rPr>
          <w:lang w:val="en-GB"/>
        </w:rPr>
      </w:pPr>
      <w:r w:rsidRPr="00086A97">
        <w:rPr>
          <w:lang w:val="en-GB"/>
        </w:rPr>
        <w:t xml:space="preserve">In response to a question about the disposal of unwanted </w:t>
      </w:r>
      <w:proofErr w:type="spellStart"/>
      <w:r w:rsidRPr="00086A97">
        <w:rPr>
          <w:lang w:val="en-GB"/>
        </w:rPr>
        <w:t>halons</w:t>
      </w:r>
      <w:proofErr w:type="spellEnd"/>
      <w:r w:rsidRPr="00086A97">
        <w:rPr>
          <w:lang w:val="en-GB"/>
        </w:rPr>
        <w:t xml:space="preserve">, </w:t>
      </w:r>
      <w:proofErr w:type="spellStart"/>
      <w:r w:rsidRPr="00086A97">
        <w:rPr>
          <w:lang w:val="en-GB"/>
        </w:rPr>
        <w:t>Mr.</w:t>
      </w:r>
      <w:proofErr w:type="spellEnd"/>
      <w:r w:rsidRPr="00086A97">
        <w:rPr>
          <w:lang w:val="en-GB"/>
        </w:rPr>
        <w:t xml:space="preserve"> Porter </w:t>
      </w:r>
      <w:r w:rsidR="00A9286E" w:rsidRPr="00086A97">
        <w:rPr>
          <w:lang w:val="en-GB"/>
        </w:rPr>
        <w:t>said</w:t>
      </w:r>
      <w:r w:rsidRPr="00086A97">
        <w:rPr>
          <w:lang w:val="en-GB"/>
        </w:rPr>
        <w:t xml:space="preserve"> that cylinders should always be returned to their manufacturers rather than left to corrode, which could be </w:t>
      </w:r>
      <w:r w:rsidR="00A9286E" w:rsidRPr="00086A97">
        <w:rPr>
          <w:lang w:val="en-GB"/>
        </w:rPr>
        <w:t>dangerous. Observing that many p</w:t>
      </w:r>
      <w:r w:rsidRPr="00086A97">
        <w:rPr>
          <w:lang w:val="en-GB"/>
        </w:rPr>
        <w:t xml:space="preserve">arties had established networks </w:t>
      </w:r>
      <w:r w:rsidR="00A9286E" w:rsidRPr="00086A97">
        <w:rPr>
          <w:lang w:val="en-GB"/>
        </w:rPr>
        <w:t>for</w:t>
      </w:r>
      <w:r w:rsidRPr="00086A97">
        <w:rPr>
          <w:lang w:val="en-GB"/>
        </w:rPr>
        <w:t xml:space="preserve"> collect</w:t>
      </w:r>
      <w:r w:rsidR="00A9286E" w:rsidRPr="00086A97">
        <w:rPr>
          <w:lang w:val="en-GB"/>
        </w:rPr>
        <w:t>ing</w:t>
      </w:r>
      <w:r w:rsidRPr="00086A97">
        <w:rPr>
          <w:lang w:val="en-GB"/>
        </w:rPr>
        <w:t xml:space="preserve"> such unwanted cylinders, </w:t>
      </w:r>
      <w:r w:rsidR="008E1F4F" w:rsidRPr="00086A97">
        <w:rPr>
          <w:lang w:val="en-GB"/>
        </w:rPr>
        <w:t xml:space="preserve">he </w:t>
      </w:r>
      <w:r w:rsidR="006D2AE8" w:rsidRPr="00086A97">
        <w:rPr>
          <w:lang w:val="en-GB"/>
        </w:rPr>
        <w:t xml:space="preserve">said that the Technology and Economic Assessment Panel could </w:t>
      </w:r>
      <w:r w:rsidRPr="00086A97">
        <w:rPr>
          <w:lang w:val="en-GB"/>
        </w:rPr>
        <w:t xml:space="preserve">discuss the matter in more detail with interested representatives. </w:t>
      </w:r>
    </w:p>
    <w:p w14:paraId="2B3D0D85" w14:textId="79E3836F" w:rsidR="000E19F1" w:rsidRPr="00086A97" w:rsidRDefault="000E19F1" w:rsidP="00A30032">
      <w:pPr>
        <w:pStyle w:val="Normalnumber"/>
        <w:ind w:left="1247" w:firstLine="0"/>
        <w:rPr>
          <w:szCs w:val="20"/>
          <w:lang w:val="en-GB"/>
        </w:rPr>
      </w:pPr>
      <w:proofErr w:type="spellStart"/>
      <w:r w:rsidRPr="00086A97">
        <w:rPr>
          <w:szCs w:val="20"/>
          <w:lang w:val="en-GB"/>
        </w:rPr>
        <w:t>Ms</w:t>
      </w:r>
      <w:r w:rsidR="006A2253" w:rsidRPr="00086A97">
        <w:rPr>
          <w:szCs w:val="20"/>
          <w:lang w:val="en-GB"/>
        </w:rPr>
        <w:t>.</w:t>
      </w:r>
      <w:proofErr w:type="spellEnd"/>
      <w:r w:rsidRPr="00086A97">
        <w:rPr>
          <w:szCs w:val="20"/>
          <w:lang w:val="en-GB"/>
        </w:rPr>
        <w:t xml:space="preserve"> </w:t>
      </w:r>
      <w:proofErr w:type="spellStart"/>
      <w:r w:rsidRPr="00086A97">
        <w:rPr>
          <w:szCs w:val="20"/>
          <w:lang w:val="en-GB"/>
        </w:rPr>
        <w:t>Pizano</w:t>
      </w:r>
      <w:proofErr w:type="spellEnd"/>
      <w:r w:rsidRPr="00086A97">
        <w:rPr>
          <w:szCs w:val="20"/>
          <w:lang w:val="en-GB"/>
        </w:rPr>
        <w:t xml:space="preserve"> mentioned that the co-chairs ha</w:t>
      </w:r>
      <w:r w:rsidR="00462DB5" w:rsidRPr="00086A97">
        <w:rPr>
          <w:szCs w:val="20"/>
          <w:lang w:val="en-GB"/>
        </w:rPr>
        <w:t>d</w:t>
      </w:r>
      <w:r w:rsidRPr="00086A97">
        <w:rPr>
          <w:szCs w:val="20"/>
          <w:lang w:val="en-GB"/>
        </w:rPr>
        <w:t xml:space="preserve"> rekindled their cooperation with the </w:t>
      </w:r>
      <w:r w:rsidR="00462DB5" w:rsidRPr="00086A97">
        <w:rPr>
          <w:szCs w:val="20"/>
          <w:lang w:val="en-GB"/>
        </w:rPr>
        <w:t xml:space="preserve">secretariat of the </w:t>
      </w:r>
      <w:r w:rsidRPr="00086A97">
        <w:rPr>
          <w:szCs w:val="20"/>
          <w:lang w:val="en-GB"/>
        </w:rPr>
        <w:t>International Plant Protection Convention</w:t>
      </w:r>
      <w:r w:rsidR="00462DB5" w:rsidRPr="00086A97">
        <w:rPr>
          <w:szCs w:val="20"/>
          <w:lang w:val="en-GB"/>
        </w:rPr>
        <w:t xml:space="preserve"> in accordance with</w:t>
      </w:r>
      <w:r w:rsidR="00A93A50" w:rsidRPr="00086A97">
        <w:rPr>
          <w:szCs w:val="20"/>
          <w:lang w:val="en-GB"/>
        </w:rPr>
        <w:t xml:space="preserve"> a</w:t>
      </w:r>
      <w:r w:rsidR="00462DB5" w:rsidRPr="00086A97">
        <w:rPr>
          <w:szCs w:val="20"/>
          <w:lang w:val="en-GB"/>
        </w:rPr>
        <w:t xml:space="preserve"> m</w:t>
      </w:r>
      <w:r w:rsidRPr="00086A97">
        <w:rPr>
          <w:szCs w:val="20"/>
          <w:lang w:val="en-GB"/>
        </w:rPr>
        <w:t xml:space="preserve">emorandum of </w:t>
      </w:r>
      <w:r w:rsidR="00462DB5" w:rsidRPr="00086A97">
        <w:rPr>
          <w:szCs w:val="20"/>
          <w:lang w:val="en-GB"/>
        </w:rPr>
        <w:t>u</w:t>
      </w:r>
      <w:r w:rsidRPr="00086A97">
        <w:rPr>
          <w:szCs w:val="20"/>
          <w:lang w:val="en-GB"/>
        </w:rPr>
        <w:t>nderstanding</w:t>
      </w:r>
      <w:r w:rsidR="00462DB5" w:rsidRPr="00086A97">
        <w:rPr>
          <w:szCs w:val="20"/>
          <w:lang w:val="en-GB"/>
        </w:rPr>
        <w:t xml:space="preserve"> between the Convention secretariat and the Ozone Secretariat</w:t>
      </w:r>
      <w:r w:rsidRPr="00086A97">
        <w:rPr>
          <w:szCs w:val="20"/>
          <w:lang w:val="en-GB"/>
        </w:rPr>
        <w:t xml:space="preserve">. The Convention </w:t>
      </w:r>
      <w:r w:rsidR="003270C2" w:rsidRPr="00086A97">
        <w:rPr>
          <w:szCs w:val="20"/>
          <w:lang w:val="en-GB"/>
        </w:rPr>
        <w:t xml:space="preserve">secretariat </w:t>
      </w:r>
      <w:r w:rsidRPr="00086A97">
        <w:rPr>
          <w:szCs w:val="20"/>
          <w:lang w:val="en-GB"/>
        </w:rPr>
        <w:t xml:space="preserve">had indicated that </w:t>
      </w:r>
      <w:r w:rsidR="003270C2" w:rsidRPr="00086A97">
        <w:rPr>
          <w:szCs w:val="20"/>
          <w:lang w:val="en-GB"/>
        </w:rPr>
        <w:t>the Convention’s</w:t>
      </w:r>
      <w:r w:rsidRPr="00086A97">
        <w:rPr>
          <w:szCs w:val="20"/>
          <w:lang w:val="en-GB"/>
        </w:rPr>
        <w:t xml:space="preserve"> Commission for </w:t>
      </w:r>
      <w:proofErr w:type="spellStart"/>
      <w:r w:rsidRPr="00086A97">
        <w:rPr>
          <w:szCs w:val="20"/>
          <w:lang w:val="en-GB"/>
        </w:rPr>
        <w:t>Phytosanitary</w:t>
      </w:r>
      <w:proofErr w:type="spellEnd"/>
      <w:r w:rsidRPr="00086A97">
        <w:rPr>
          <w:szCs w:val="20"/>
          <w:lang w:val="en-GB"/>
        </w:rPr>
        <w:t xml:space="preserve"> </w:t>
      </w:r>
      <w:r w:rsidR="0048721D">
        <w:rPr>
          <w:szCs w:val="20"/>
          <w:lang w:val="en-GB"/>
        </w:rPr>
        <w:t>M</w:t>
      </w:r>
      <w:r w:rsidR="0048721D" w:rsidRPr="00086A97">
        <w:rPr>
          <w:szCs w:val="20"/>
          <w:lang w:val="en-GB"/>
        </w:rPr>
        <w:t xml:space="preserve">easures </w:t>
      </w:r>
      <w:r w:rsidRPr="00086A97">
        <w:rPr>
          <w:szCs w:val="20"/>
          <w:lang w:val="en-GB"/>
        </w:rPr>
        <w:t xml:space="preserve">was considering quarantine treatments with </w:t>
      </w:r>
      <w:proofErr w:type="spellStart"/>
      <w:r w:rsidRPr="00086A97">
        <w:rPr>
          <w:szCs w:val="20"/>
          <w:lang w:val="en-GB"/>
        </w:rPr>
        <w:t>sulfuryl</w:t>
      </w:r>
      <w:proofErr w:type="spellEnd"/>
      <w:r w:rsidRPr="00086A97">
        <w:rPr>
          <w:szCs w:val="20"/>
          <w:lang w:val="en-GB"/>
        </w:rPr>
        <w:t xml:space="preserve"> fluoride and modified atmospheres for control</w:t>
      </w:r>
      <w:r w:rsidR="00462DB5" w:rsidRPr="00086A97">
        <w:rPr>
          <w:szCs w:val="20"/>
          <w:lang w:val="en-GB"/>
        </w:rPr>
        <w:t>l</w:t>
      </w:r>
      <w:r w:rsidRPr="00086A97">
        <w:rPr>
          <w:szCs w:val="20"/>
          <w:lang w:val="en-GB"/>
        </w:rPr>
        <w:t xml:space="preserve">ing some quarantine pests. A revision to </w:t>
      </w:r>
      <w:r w:rsidR="00462DB5" w:rsidRPr="00086A97">
        <w:rPr>
          <w:szCs w:val="20"/>
          <w:lang w:val="en-GB"/>
        </w:rPr>
        <w:t>I</w:t>
      </w:r>
      <w:r w:rsidRPr="00086A97">
        <w:rPr>
          <w:szCs w:val="20"/>
          <w:lang w:val="en-GB"/>
        </w:rPr>
        <w:t xml:space="preserve">nternational Standard for </w:t>
      </w:r>
      <w:proofErr w:type="spellStart"/>
      <w:r w:rsidRPr="00086A97">
        <w:rPr>
          <w:szCs w:val="20"/>
          <w:lang w:val="en-GB"/>
        </w:rPr>
        <w:t>Phytosanitary</w:t>
      </w:r>
      <w:proofErr w:type="spellEnd"/>
      <w:r w:rsidRPr="00086A97">
        <w:rPr>
          <w:szCs w:val="20"/>
          <w:lang w:val="en-GB"/>
        </w:rPr>
        <w:t xml:space="preserve"> Measure 15 (ISPM-15)</w:t>
      </w:r>
      <w:r w:rsidR="00462DB5" w:rsidRPr="00086A97">
        <w:rPr>
          <w:szCs w:val="20"/>
          <w:lang w:val="en-GB"/>
        </w:rPr>
        <w:t>,</w:t>
      </w:r>
      <w:r w:rsidRPr="00086A97">
        <w:rPr>
          <w:szCs w:val="20"/>
          <w:lang w:val="en-GB"/>
        </w:rPr>
        <w:t xml:space="preserve"> regarding wood packaging material</w:t>
      </w:r>
      <w:r w:rsidR="00462DB5" w:rsidRPr="00086A97">
        <w:rPr>
          <w:szCs w:val="20"/>
          <w:lang w:val="en-GB"/>
        </w:rPr>
        <w:t>,</w:t>
      </w:r>
      <w:r w:rsidRPr="00086A97">
        <w:rPr>
          <w:szCs w:val="20"/>
          <w:lang w:val="en-GB"/>
        </w:rPr>
        <w:t xml:space="preserve"> to consider </w:t>
      </w:r>
      <w:r w:rsidR="00E34B04" w:rsidRPr="00086A97">
        <w:rPr>
          <w:szCs w:val="20"/>
          <w:lang w:val="en-GB"/>
        </w:rPr>
        <w:t xml:space="preserve">such </w:t>
      </w:r>
      <w:r w:rsidRPr="00086A97">
        <w:rPr>
          <w:szCs w:val="20"/>
          <w:lang w:val="en-GB"/>
        </w:rPr>
        <w:t>new treatments</w:t>
      </w:r>
      <w:r w:rsidR="00A93A50" w:rsidRPr="00086A97">
        <w:rPr>
          <w:szCs w:val="20"/>
          <w:lang w:val="en-GB"/>
        </w:rPr>
        <w:t>,</w:t>
      </w:r>
      <w:r w:rsidRPr="00086A97">
        <w:rPr>
          <w:szCs w:val="20"/>
          <w:lang w:val="en-GB"/>
        </w:rPr>
        <w:t xml:space="preserve"> </w:t>
      </w:r>
      <w:r w:rsidR="003270C2" w:rsidRPr="00086A97">
        <w:rPr>
          <w:szCs w:val="20"/>
          <w:lang w:val="en-GB"/>
        </w:rPr>
        <w:t>wa</w:t>
      </w:r>
      <w:r w:rsidRPr="00086A97">
        <w:rPr>
          <w:szCs w:val="20"/>
          <w:lang w:val="en-GB"/>
        </w:rPr>
        <w:t>s also envis</w:t>
      </w:r>
      <w:r w:rsidR="003270C2" w:rsidRPr="00086A97">
        <w:rPr>
          <w:szCs w:val="20"/>
          <w:lang w:val="en-GB"/>
        </w:rPr>
        <w:t>aged</w:t>
      </w:r>
      <w:r w:rsidRPr="00086A97">
        <w:rPr>
          <w:szCs w:val="20"/>
          <w:lang w:val="en-GB"/>
        </w:rPr>
        <w:t xml:space="preserve">. </w:t>
      </w:r>
      <w:r w:rsidR="00462DB5" w:rsidRPr="00086A97">
        <w:rPr>
          <w:szCs w:val="20"/>
          <w:lang w:val="en-GB"/>
        </w:rPr>
        <w:t xml:space="preserve">One representative said in response that the Technology and Economic Assessment Panel </w:t>
      </w:r>
      <w:r w:rsidRPr="00086A97">
        <w:rPr>
          <w:szCs w:val="20"/>
          <w:lang w:val="en-GB"/>
        </w:rPr>
        <w:t xml:space="preserve">and the </w:t>
      </w:r>
      <w:r w:rsidR="00462DB5" w:rsidRPr="00086A97">
        <w:rPr>
          <w:szCs w:val="20"/>
          <w:lang w:val="en-GB"/>
        </w:rPr>
        <w:t xml:space="preserve">Ozone </w:t>
      </w:r>
      <w:r w:rsidRPr="00086A97">
        <w:rPr>
          <w:szCs w:val="20"/>
          <w:lang w:val="en-GB"/>
        </w:rPr>
        <w:t xml:space="preserve">Secretariat </w:t>
      </w:r>
      <w:r w:rsidR="00462DB5" w:rsidRPr="00086A97">
        <w:rPr>
          <w:szCs w:val="20"/>
          <w:lang w:val="en-GB"/>
        </w:rPr>
        <w:t>should</w:t>
      </w:r>
      <w:r w:rsidRPr="00086A97">
        <w:rPr>
          <w:szCs w:val="20"/>
          <w:lang w:val="en-GB"/>
        </w:rPr>
        <w:t xml:space="preserve"> continue the</w:t>
      </w:r>
      <w:r w:rsidR="00462DB5" w:rsidRPr="00086A97">
        <w:rPr>
          <w:szCs w:val="20"/>
          <w:lang w:val="en-GB"/>
        </w:rPr>
        <w:t>ir</w:t>
      </w:r>
      <w:r w:rsidRPr="00086A97">
        <w:rPr>
          <w:szCs w:val="20"/>
          <w:lang w:val="en-GB"/>
        </w:rPr>
        <w:t xml:space="preserve"> cooperation with </w:t>
      </w:r>
      <w:r w:rsidR="00462DB5" w:rsidRPr="00086A97">
        <w:rPr>
          <w:szCs w:val="20"/>
          <w:lang w:val="en-GB"/>
        </w:rPr>
        <w:t>the Panel</w:t>
      </w:r>
      <w:r w:rsidR="00A10FB5" w:rsidRPr="00086A97">
        <w:rPr>
          <w:szCs w:val="20"/>
          <w:lang w:val="en-GB"/>
        </w:rPr>
        <w:t>.</w:t>
      </w:r>
    </w:p>
    <w:p w14:paraId="0BFA2FCB" w14:textId="46B095C8" w:rsidR="000E19F1" w:rsidRPr="00086A97" w:rsidRDefault="00857D1C" w:rsidP="00A30032">
      <w:pPr>
        <w:pStyle w:val="Normalnumber"/>
        <w:ind w:left="1247" w:firstLine="0"/>
        <w:rPr>
          <w:szCs w:val="20"/>
          <w:lang w:val="en-GB"/>
        </w:rPr>
      </w:pPr>
      <w:r w:rsidRPr="00086A97">
        <w:rPr>
          <w:szCs w:val="20"/>
          <w:lang w:val="en-GB"/>
        </w:rPr>
        <w:t>Another member of the Committee provided</w:t>
      </w:r>
      <w:r w:rsidR="000E19F1" w:rsidRPr="00086A97">
        <w:rPr>
          <w:szCs w:val="20"/>
          <w:lang w:val="en-GB"/>
        </w:rPr>
        <w:t xml:space="preserve"> information about amounts apparently traded illegally</w:t>
      </w:r>
      <w:r w:rsidRPr="00086A97">
        <w:rPr>
          <w:szCs w:val="20"/>
          <w:lang w:val="en-GB"/>
        </w:rPr>
        <w:t>, and one representativ</w:t>
      </w:r>
      <w:r w:rsidR="000B2075" w:rsidRPr="00086A97">
        <w:rPr>
          <w:szCs w:val="20"/>
          <w:lang w:val="en-GB"/>
        </w:rPr>
        <w:t>e</w:t>
      </w:r>
      <w:r w:rsidRPr="00086A97">
        <w:rPr>
          <w:szCs w:val="20"/>
          <w:lang w:val="en-GB"/>
        </w:rPr>
        <w:t xml:space="preserve">, speaking on behalf of a group of parties, </w:t>
      </w:r>
      <w:r w:rsidR="000E19F1" w:rsidRPr="00086A97">
        <w:rPr>
          <w:szCs w:val="20"/>
          <w:lang w:val="en-GB"/>
        </w:rPr>
        <w:t xml:space="preserve">expressed the wish to discuss </w:t>
      </w:r>
      <w:r w:rsidRPr="00086A97">
        <w:rPr>
          <w:szCs w:val="20"/>
          <w:lang w:val="en-GB"/>
        </w:rPr>
        <w:t xml:space="preserve">the matter </w:t>
      </w:r>
      <w:r w:rsidR="000E19F1" w:rsidRPr="00086A97">
        <w:rPr>
          <w:szCs w:val="20"/>
          <w:lang w:val="en-GB"/>
        </w:rPr>
        <w:t xml:space="preserve">bilaterally </w:t>
      </w:r>
      <w:r w:rsidRPr="00086A97">
        <w:rPr>
          <w:szCs w:val="20"/>
          <w:lang w:val="en-GB"/>
        </w:rPr>
        <w:t>to gain a better</w:t>
      </w:r>
      <w:r w:rsidR="000E19F1" w:rsidRPr="00086A97">
        <w:rPr>
          <w:szCs w:val="20"/>
          <w:lang w:val="en-GB"/>
        </w:rPr>
        <w:t xml:space="preserve"> understand</w:t>
      </w:r>
      <w:r w:rsidRPr="00086A97">
        <w:rPr>
          <w:szCs w:val="20"/>
          <w:lang w:val="en-GB"/>
        </w:rPr>
        <w:t>ing of</w:t>
      </w:r>
      <w:r w:rsidR="00AA4047" w:rsidRPr="00086A97">
        <w:rPr>
          <w:szCs w:val="20"/>
          <w:lang w:val="en-GB"/>
        </w:rPr>
        <w:t xml:space="preserve"> </w:t>
      </w:r>
      <w:r w:rsidR="000E19F1" w:rsidRPr="00086A97">
        <w:rPr>
          <w:szCs w:val="20"/>
          <w:lang w:val="en-GB"/>
        </w:rPr>
        <w:t xml:space="preserve">the situation. </w:t>
      </w:r>
    </w:p>
    <w:p w14:paraId="61CA9E20" w14:textId="36F1D2C6" w:rsidR="000345B6" w:rsidRPr="00086A97" w:rsidRDefault="000345B6" w:rsidP="00A30032">
      <w:pPr>
        <w:pStyle w:val="Normalnumber"/>
        <w:ind w:left="1247" w:firstLine="0"/>
        <w:rPr>
          <w:lang w:val="en-GB"/>
        </w:rPr>
      </w:pPr>
      <w:r w:rsidRPr="00086A97">
        <w:rPr>
          <w:lang w:val="en-GB"/>
        </w:rPr>
        <w:t>In response to a questi</w:t>
      </w:r>
      <w:r w:rsidR="00A9286E" w:rsidRPr="00086A97">
        <w:rPr>
          <w:lang w:val="en-GB"/>
        </w:rPr>
        <w:t>on about the use of the phrase “show promise”</w:t>
      </w:r>
      <w:r w:rsidRPr="00086A97">
        <w:rPr>
          <w:lang w:val="en-GB"/>
        </w:rPr>
        <w:t xml:space="preserve"> in the section of the report </w:t>
      </w:r>
      <w:r w:rsidR="00A9286E" w:rsidRPr="00086A97">
        <w:rPr>
          <w:lang w:val="en-GB"/>
        </w:rPr>
        <w:t>that</w:t>
      </w:r>
      <w:r w:rsidRPr="00086A97">
        <w:rPr>
          <w:lang w:val="en-GB"/>
        </w:rPr>
        <w:t xml:space="preserve"> described the testing of alternative refrigerants </w:t>
      </w:r>
      <w:r w:rsidR="00A9286E" w:rsidRPr="00086A97">
        <w:rPr>
          <w:lang w:val="en-GB"/>
        </w:rPr>
        <w:t>in high ambient temperature</w:t>
      </w:r>
      <w:r w:rsidRPr="00086A97">
        <w:rPr>
          <w:lang w:val="en-GB"/>
        </w:rPr>
        <w:t xml:space="preserve">s, </w:t>
      </w:r>
      <w:proofErr w:type="spellStart"/>
      <w:r w:rsidRPr="00086A97">
        <w:rPr>
          <w:lang w:val="en-GB"/>
        </w:rPr>
        <w:t>Mr.</w:t>
      </w:r>
      <w:proofErr w:type="spellEnd"/>
      <w:r w:rsidRPr="00086A97">
        <w:rPr>
          <w:lang w:val="en-GB"/>
        </w:rPr>
        <w:t xml:space="preserve"> </w:t>
      </w:r>
      <w:proofErr w:type="spellStart"/>
      <w:r w:rsidRPr="00086A97">
        <w:rPr>
          <w:lang w:val="en-GB"/>
        </w:rPr>
        <w:t>Kuijpers</w:t>
      </w:r>
      <w:proofErr w:type="spellEnd"/>
      <w:r w:rsidRPr="00086A97">
        <w:rPr>
          <w:lang w:val="en-GB"/>
        </w:rPr>
        <w:t xml:space="preserve"> accepted that the wording was imprecise and </w:t>
      </w:r>
      <w:r w:rsidR="00A9286E" w:rsidRPr="00086A97">
        <w:rPr>
          <w:lang w:val="en-GB"/>
        </w:rPr>
        <w:t xml:space="preserve">said that it would be </w:t>
      </w:r>
      <w:r w:rsidRPr="00086A97">
        <w:rPr>
          <w:lang w:val="en-GB"/>
        </w:rPr>
        <w:t>revise</w:t>
      </w:r>
      <w:r w:rsidR="00A9286E" w:rsidRPr="00086A97">
        <w:rPr>
          <w:lang w:val="en-GB"/>
        </w:rPr>
        <w:t>d</w:t>
      </w:r>
      <w:r w:rsidRPr="00086A97">
        <w:rPr>
          <w:lang w:val="en-GB"/>
        </w:rPr>
        <w:t xml:space="preserve"> in the Panel’s next report. </w:t>
      </w:r>
    </w:p>
    <w:p w14:paraId="531D1F3C" w14:textId="70D8CCA4" w:rsidR="000345B6" w:rsidRPr="00086A97" w:rsidRDefault="000345B6" w:rsidP="00A30032">
      <w:pPr>
        <w:pStyle w:val="Normalnumber"/>
        <w:ind w:left="1247" w:firstLine="0"/>
        <w:rPr>
          <w:lang w:val="en-GB"/>
        </w:rPr>
      </w:pPr>
      <w:r w:rsidRPr="00086A97">
        <w:rPr>
          <w:lang w:val="en-GB"/>
        </w:rPr>
        <w:t>Responding to a request for clarification</w:t>
      </w:r>
      <w:r w:rsidR="00A9286E" w:rsidRPr="00086A97">
        <w:rPr>
          <w:lang w:val="en-GB"/>
        </w:rPr>
        <w:t xml:space="preserve"> of tables 5.2, 5.3 and 5.4 in v</w:t>
      </w:r>
      <w:r w:rsidRPr="00086A97">
        <w:rPr>
          <w:lang w:val="en-GB"/>
        </w:rPr>
        <w:t xml:space="preserve">olume III of the Panel’s report, containing information on the potential need for </w:t>
      </w:r>
      <w:r w:rsidR="00A9286E" w:rsidRPr="00086A97">
        <w:rPr>
          <w:lang w:val="en-GB"/>
        </w:rPr>
        <w:t xml:space="preserve">the </w:t>
      </w:r>
      <w:r w:rsidRPr="00086A97">
        <w:rPr>
          <w:lang w:val="en-GB"/>
        </w:rPr>
        <w:t>production of HCFCs to meet the bas</w:t>
      </w:r>
      <w:r w:rsidR="00A9286E" w:rsidRPr="00086A97">
        <w:rPr>
          <w:lang w:val="en-GB"/>
        </w:rPr>
        <w:t>ic domestic needs of Article 5 p</w:t>
      </w:r>
      <w:r w:rsidRPr="00086A97">
        <w:rPr>
          <w:lang w:val="en-GB"/>
        </w:rPr>
        <w:t xml:space="preserve">arties, </w:t>
      </w:r>
      <w:proofErr w:type="spellStart"/>
      <w:r w:rsidRPr="00086A97">
        <w:rPr>
          <w:lang w:val="en-GB"/>
        </w:rPr>
        <w:t>Mr.</w:t>
      </w:r>
      <w:proofErr w:type="spellEnd"/>
      <w:r w:rsidRPr="00086A97">
        <w:rPr>
          <w:lang w:val="en-GB"/>
        </w:rPr>
        <w:t xml:space="preserve"> </w:t>
      </w:r>
      <w:proofErr w:type="spellStart"/>
      <w:r w:rsidRPr="00086A97">
        <w:rPr>
          <w:lang w:val="en-GB"/>
        </w:rPr>
        <w:t>Kuijpers</w:t>
      </w:r>
      <w:proofErr w:type="spellEnd"/>
      <w:r w:rsidRPr="00086A97">
        <w:rPr>
          <w:lang w:val="en-GB"/>
        </w:rPr>
        <w:t xml:space="preserve"> explained that in each table the mi</w:t>
      </w:r>
      <w:r w:rsidR="00A9286E" w:rsidRPr="00086A97">
        <w:rPr>
          <w:lang w:val="en-GB"/>
        </w:rPr>
        <w:t>ddle row, labelled “consumption”</w:t>
      </w:r>
      <w:r w:rsidRPr="00086A97">
        <w:rPr>
          <w:lang w:val="en-GB"/>
        </w:rPr>
        <w:t xml:space="preserve">, set out the allowed HCFC consumption levels under the Montreal Protocol. In response to a further question about whether there were likely to be shortages of individual substances, he explained that the Panel had analysed projections for each substance, as well as for HCFCs in the aggregate, and did not believe that </w:t>
      </w:r>
      <w:r w:rsidR="00A9286E" w:rsidRPr="00086A97">
        <w:rPr>
          <w:lang w:val="en-GB"/>
        </w:rPr>
        <w:t xml:space="preserve">any shortages were </w:t>
      </w:r>
      <w:r w:rsidRPr="00086A97">
        <w:rPr>
          <w:lang w:val="en-GB"/>
        </w:rPr>
        <w:t xml:space="preserve">likely. </w:t>
      </w:r>
    </w:p>
    <w:p w14:paraId="2E668516" w14:textId="28364392" w:rsidR="00713DD5" w:rsidRPr="00086A97" w:rsidRDefault="000345B6" w:rsidP="00A30032">
      <w:pPr>
        <w:pStyle w:val="Normalnumber"/>
        <w:ind w:left="1247" w:firstLine="0"/>
        <w:rPr>
          <w:lang w:val="en-GB"/>
        </w:rPr>
      </w:pPr>
      <w:r w:rsidRPr="00086A97">
        <w:rPr>
          <w:lang w:val="en-GB"/>
        </w:rPr>
        <w:t xml:space="preserve">Thanking the Panel once again for its hard work, the </w:t>
      </w:r>
      <w:r w:rsidR="0048721D">
        <w:rPr>
          <w:lang w:val="en-GB"/>
        </w:rPr>
        <w:t>C</w:t>
      </w:r>
      <w:r w:rsidR="0048721D" w:rsidRPr="00086A97">
        <w:rPr>
          <w:lang w:val="en-GB"/>
        </w:rPr>
        <w:t>o</w:t>
      </w:r>
      <w:r w:rsidRPr="00086A97">
        <w:rPr>
          <w:lang w:val="en-GB"/>
        </w:rPr>
        <w:t>-</w:t>
      </w:r>
      <w:r w:rsidR="0048721D">
        <w:rPr>
          <w:lang w:val="en-GB"/>
        </w:rPr>
        <w:t>C</w:t>
      </w:r>
      <w:r w:rsidR="0048721D" w:rsidRPr="00086A97">
        <w:rPr>
          <w:lang w:val="en-GB"/>
        </w:rPr>
        <w:t xml:space="preserve">hair </w:t>
      </w:r>
      <w:r w:rsidRPr="00086A97">
        <w:rPr>
          <w:lang w:val="en-GB"/>
        </w:rPr>
        <w:t xml:space="preserve">of the Open-ended Working Group suggested that representatives with </w:t>
      </w:r>
      <w:r w:rsidR="001B377C" w:rsidRPr="00086A97">
        <w:rPr>
          <w:lang w:val="en-GB"/>
        </w:rPr>
        <w:t xml:space="preserve">other </w:t>
      </w:r>
      <w:r w:rsidRPr="00086A97">
        <w:rPr>
          <w:lang w:val="en-GB"/>
        </w:rPr>
        <w:t>questions for the Panel could discuss them bilaterally in the margins of the meeting.</w:t>
      </w:r>
    </w:p>
    <w:p w14:paraId="10884260" w14:textId="2DAFD3F4" w:rsidR="00713DD5" w:rsidRPr="00086A97" w:rsidRDefault="00713DD5" w:rsidP="00713DD5">
      <w:pPr>
        <w:pStyle w:val="CH1"/>
        <w:rPr>
          <w:szCs w:val="18"/>
          <w:lang w:val="en-GB"/>
        </w:rPr>
      </w:pPr>
      <w:r w:rsidRPr="00086A97">
        <w:rPr>
          <w:lang w:val="en-GB"/>
        </w:rPr>
        <w:tab/>
        <w:t>VI.</w:t>
      </w:r>
      <w:r w:rsidRPr="00086A97">
        <w:rPr>
          <w:lang w:val="en-GB"/>
        </w:rPr>
        <w:tab/>
      </w:r>
      <w:r w:rsidR="003250FC" w:rsidRPr="00086A97">
        <w:rPr>
          <w:lang w:val="en-GB"/>
        </w:rPr>
        <w:t>Issues related to exemptions under Articles 2A–2I of the Montreal Protocol</w:t>
      </w:r>
    </w:p>
    <w:p w14:paraId="4D631167" w14:textId="751E460A" w:rsidR="003250FC" w:rsidRPr="00086A97" w:rsidRDefault="003250FC" w:rsidP="003250FC">
      <w:pPr>
        <w:pStyle w:val="CH2"/>
        <w:rPr>
          <w:lang w:val="en-GB"/>
        </w:rPr>
      </w:pPr>
      <w:r w:rsidRPr="00086A97">
        <w:rPr>
          <w:lang w:val="en-GB"/>
        </w:rPr>
        <w:tab/>
        <w:t>A</w:t>
      </w:r>
      <w:r w:rsidR="0013233D" w:rsidRPr="00086A97">
        <w:rPr>
          <w:lang w:val="en-GB"/>
        </w:rPr>
        <w:t>.</w:t>
      </w:r>
      <w:r w:rsidRPr="00086A97">
        <w:rPr>
          <w:lang w:val="en-GB"/>
        </w:rPr>
        <w:tab/>
      </w:r>
      <w:r w:rsidR="002E41B0" w:rsidRPr="00086A97">
        <w:rPr>
          <w:lang w:val="en-GB"/>
        </w:rPr>
        <w:t>N</w:t>
      </w:r>
      <w:r w:rsidRPr="00086A97">
        <w:rPr>
          <w:lang w:val="en-GB"/>
        </w:rPr>
        <w:t>ominations for essential-use exemptions for 2017</w:t>
      </w:r>
    </w:p>
    <w:p w14:paraId="6210E4EC" w14:textId="44CAF076" w:rsidR="0013233D" w:rsidRPr="007212A0" w:rsidRDefault="0013233D" w:rsidP="00A30032">
      <w:pPr>
        <w:pStyle w:val="Normalnumber"/>
        <w:ind w:left="1247" w:firstLine="0"/>
        <w:rPr>
          <w:lang w:val="en-GB"/>
        </w:rPr>
      </w:pPr>
      <w:r w:rsidRPr="00086A97">
        <w:rPr>
          <w:lang w:val="en-GB"/>
        </w:rPr>
        <w:t xml:space="preserve">Introducing </w:t>
      </w:r>
      <w:r w:rsidRPr="000A5F67">
        <w:rPr>
          <w:lang w:val="en-GB"/>
        </w:rPr>
        <w:t>sub-item 6 (a) of</w:t>
      </w:r>
      <w:r w:rsidRPr="00086A97">
        <w:rPr>
          <w:lang w:val="en-GB"/>
        </w:rPr>
        <w:t xml:space="preserve"> the agenda, the Co-Chair recalled that an essential-use exemption nomination for carbon </w:t>
      </w:r>
      <w:r w:rsidRPr="00370087">
        <w:rPr>
          <w:lang w:val="en-GB"/>
        </w:rPr>
        <w:t xml:space="preserve">tetrachloride for </w:t>
      </w:r>
      <w:r w:rsidR="007C2378" w:rsidRPr="00370087">
        <w:rPr>
          <w:lang w:val="en-GB"/>
        </w:rPr>
        <w:t xml:space="preserve">a </w:t>
      </w:r>
      <w:r w:rsidRPr="00370087">
        <w:rPr>
          <w:lang w:val="en-GB"/>
        </w:rPr>
        <w:t>laboratory and analytical use submitted by China was under consideration and had been mentioned during the presentation by the Technology</w:t>
      </w:r>
      <w:r w:rsidR="004B78FF" w:rsidRPr="00370087">
        <w:rPr>
          <w:lang w:val="en-GB"/>
        </w:rPr>
        <w:t xml:space="preserve"> and Economic Assessment Panel o</w:t>
      </w:r>
      <w:r w:rsidRPr="00370087">
        <w:rPr>
          <w:lang w:val="en-GB"/>
        </w:rPr>
        <w:t>n its 2016 progress report.</w:t>
      </w:r>
      <w:r w:rsidRPr="007212A0">
        <w:rPr>
          <w:lang w:val="en-GB"/>
        </w:rPr>
        <w:t xml:space="preserve"> </w:t>
      </w:r>
    </w:p>
    <w:p w14:paraId="3773578F" w14:textId="323AC413" w:rsidR="0013233D" w:rsidRPr="00086A97" w:rsidRDefault="0013233D" w:rsidP="00A30032">
      <w:pPr>
        <w:pStyle w:val="Normalnumber"/>
        <w:ind w:left="1247" w:firstLine="0"/>
        <w:rPr>
          <w:lang w:val="en-GB"/>
        </w:rPr>
      </w:pPr>
      <w:r w:rsidRPr="007212A0">
        <w:rPr>
          <w:lang w:val="en-GB"/>
        </w:rPr>
        <w:t xml:space="preserve">The representative of China described the </w:t>
      </w:r>
      <w:r w:rsidR="004B78FF" w:rsidRPr="007212A0">
        <w:rPr>
          <w:lang w:val="en-GB"/>
        </w:rPr>
        <w:t>challenges that her country faced</w:t>
      </w:r>
      <w:r w:rsidRPr="007212A0">
        <w:rPr>
          <w:lang w:val="en-GB"/>
        </w:rPr>
        <w:t xml:space="preserve"> in identifying viable alternatives to carbon tetrachloride </w:t>
      </w:r>
      <w:r w:rsidRPr="00370087">
        <w:rPr>
          <w:lang w:val="en-GB"/>
        </w:rPr>
        <w:t>for laboratory and analytical use</w:t>
      </w:r>
      <w:r w:rsidR="00862BB3" w:rsidRPr="007212A0">
        <w:rPr>
          <w:lang w:val="en-GB"/>
        </w:rPr>
        <w:t xml:space="preserve"> </w:t>
      </w:r>
      <w:r w:rsidR="001E3ABD" w:rsidRPr="007212A0">
        <w:rPr>
          <w:lang w:val="en-GB"/>
        </w:rPr>
        <w:t>for</w:t>
      </w:r>
      <w:r w:rsidR="001E3ABD" w:rsidRPr="00086A97">
        <w:rPr>
          <w:lang w:val="en-GB"/>
        </w:rPr>
        <w:t xml:space="preserve"> </w:t>
      </w:r>
      <w:r w:rsidR="00862BB3" w:rsidRPr="00086A97">
        <w:rPr>
          <w:lang w:val="en-GB"/>
        </w:rPr>
        <w:t>testing for oil and grease in water</w:t>
      </w:r>
      <w:r w:rsidRPr="00086A97">
        <w:rPr>
          <w:lang w:val="en-GB"/>
        </w:rPr>
        <w:t xml:space="preserve">, </w:t>
      </w:r>
      <w:r w:rsidR="004B78FF" w:rsidRPr="00086A97">
        <w:rPr>
          <w:lang w:val="en-GB"/>
        </w:rPr>
        <w:t xml:space="preserve">saying that </w:t>
      </w:r>
      <w:r w:rsidRPr="00086A97">
        <w:rPr>
          <w:lang w:val="en-GB"/>
        </w:rPr>
        <w:t xml:space="preserve">the country placed great importance on finding solutions and </w:t>
      </w:r>
      <w:r w:rsidR="00440C0B" w:rsidRPr="00086A97">
        <w:rPr>
          <w:lang w:val="en-GB"/>
        </w:rPr>
        <w:t xml:space="preserve">was </w:t>
      </w:r>
      <w:r w:rsidR="004B78FF" w:rsidRPr="00086A97">
        <w:rPr>
          <w:lang w:val="en-GB"/>
        </w:rPr>
        <w:t xml:space="preserve">no longer requesting </w:t>
      </w:r>
      <w:r w:rsidRPr="00086A97">
        <w:rPr>
          <w:lang w:val="en-GB"/>
        </w:rPr>
        <w:t>essential-use exemptions</w:t>
      </w:r>
      <w:r w:rsidR="004B78FF" w:rsidRPr="00086A97">
        <w:rPr>
          <w:lang w:val="en-GB"/>
        </w:rPr>
        <w:t xml:space="preserve"> for the substance</w:t>
      </w:r>
      <w:r w:rsidRPr="00086A97">
        <w:rPr>
          <w:lang w:val="en-GB"/>
        </w:rPr>
        <w:t>. China would submit a conference room paper on its carbon tetrachloride nomination for final consideration by the Twenty-Eighth Meeting of the Parties.</w:t>
      </w:r>
    </w:p>
    <w:p w14:paraId="06681597" w14:textId="330BF784" w:rsidR="0013233D" w:rsidRPr="00086A97" w:rsidRDefault="0013233D" w:rsidP="00A30032">
      <w:pPr>
        <w:pStyle w:val="Normalnumber"/>
        <w:ind w:left="1247" w:firstLine="0"/>
        <w:rPr>
          <w:lang w:val="en-GB"/>
        </w:rPr>
      </w:pPr>
      <w:r w:rsidRPr="00086A97">
        <w:rPr>
          <w:lang w:val="en-GB"/>
        </w:rPr>
        <w:t>One representative, speaking on beha</w:t>
      </w:r>
      <w:r w:rsidR="004B78FF" w:rsidRPr="00086A97">
        <w:rPr>
          <w:lang w:val="en-GB"/>
        </w:rPr>
        <w:t xml:space="preserve">lf of a group of </w:t>
      </w:r>
      <w:r w:rsidR="00116C0B" w:rsidRPr="00086A97">
        <w:rPr>
          <w:lang w:val="en-GB"/>
        </w:rPr>
        <w:t>parties</w:t>
      </w:r>
      <w:r w:rsidRPr="00086A97">
        <w:rPr>
          <w:lang w:val="en-GB"/>
        </w:rPr>
        <w:t xml:space="preserve">, noted that the Technology and Economic Assessment Panel, in its progress report, had alluded to the fact that China had identified a number of internationally available methods for the analysis of oil in water, and he queried why those methods had not been applied in the country. It was </w:t>
      </w:r>
      <w:proofErr w:type="gramStart"/>
      <w:r w:rsidRPr="00086A97">
        <w:rPr>
          <w:lang w:val="en-GB"/>
        </w:rPr>
        <w:t>promising,</w:t>
      </w:r>
      <w:proofErr w:type="gramEnd"/>
      <w:r w:rsidRPr="00086A97">
        <w:rPr>
          <w:lang w:val="en-GB"/>
        </w:rPr>
        <w:t xml:space="preserve"> however, that China planned to publish new standards in 2017 for implementation in 2018. Finally, he said that the items of information requested of China by the Medical and Chemicals Technical Options Committee </w:t>
      </w:r>
      <w:r w:rsidR="00E543EE" w:rsidRPr="00086A97">
        <w:rPr>
          <w:lang w:val="en-GB"/>
        </w:rPr>
        <w:t xml:space="preserve">should </w:t>
      </w:r>
      <w:r w:rsidRPr="00086A97">
        <w:rPr>
          <w:lang w:val="en-GB"/>
        </w:rPr>
        <w:t>be reflected in the operative text of the conference room paper to be presented by China.</w:t>
      </w:r>
    </w:p>
    <w:p w14:paraId="09CD9087" w14:textId="3877B017" w:rsidR="00DE2354" w:rsidRPr="00086A97" w:rsidRDefault="00DE2354" w:rsidP="00A30032">
      <w:pPr>
        <w:pStyle w:val="Normalnumber"/>
        <w:ind w:left="1247" w:firstLine="0"/>
        <w:rPr>
          <w:lang w:val="en-GB"/>
        </w:rPr>
      </w:pPr>
      <w:r w:rsidRPr="00086A97">
        <w:rPr>
          <w:lang w:val="en-GB"/>
        </w:rPr>
        <w:t xml:space="preserve">At a subsequent session, </w:t>
      </w:r>
      <w:r w:rsidRPr="00E666AA">
        <w:rPr>
          <w:lang w:val="en-GB"/>
        </w:rPr>
        <w:t>the representative</w:t>
      </w:r>
      <w:r w:rsidRPr="00086A97">
        <w:rPr>
          <w:lang w:val="en-GB"/>
        </w:rPr>
        <w:t xml:space="preserve"> of China introduced a conference room paper presenting a proposed draft decision on an essential-use exemption </w:t>
      </w:r>
      <w:r w:rsidR="001C2403" w:rsidRPr="00086A97">
        <w:rPr>
          <w:lang w:val="en-GB"/>
        </w:rPr>
        <w:t xml:space="preserve">for carbon </w:t>
      </w:r>
      <w:r w:rsidR="001C2403" w:rsidRPr="00F13BCD">
        <w:rPr>
          <w:lang w:val="en-GB"/>
        </w:rPr>
        <w:t xml:space="preserve">tetrachloride </w:t>
      </w:r>
      <w:r w:rsidRPr="00F13BCD">
        <w:rPr>
          <w:lang w:val="en-GB"/>
        </w:rPr>
        <w:t xml:space="preserve">for </w:t>
      </w:r>
      <w:r w:rsidRPr="00370087">
        <w:rPr>
          <w:lang w:val="en-GB"/>
        </w:rPr>
        <w:t>laboratory and analytical use</w:t>
      </w:r>
      <w:r w:rsidRPr="00F13BCD">
        <w:rPr>
          <w:lang w:val="en-GB"/>
        </w:rPr>
        <w:t xml:space="preserve"> for 2017 in China. The draft decision, she said, was </w:t>
      </w:r>
      <w:r w:rsidR="001C2403" w:rsidRPr="00F13BCD">
        <w:rPr>
          <w:lang w:val="en-GB"/>
        </w:rPr>
        <w:t xml:space="preserve">based on the decision from </w:t>
      </w:r>
      <w:proofErr w:type="gramStart"/>
      <w:r w:rsidR="00C04C0A" w:rsidRPr="00F13BCD">
        <w:rPr>
          <w:lang w:val="en-GB"/>
        </w:rPr>
        <w:t>2015,</w:t>
      </w:r>
      <w:proofErr w:type="gramEnd"/>
      <w:r w:rsidR="001C2403" w:rsidRPr="00F13BCD">
        <w:rPr>
          <w:lang w:val="en-GB"/>
        </w:rPr>
        <w:t xml:space="preserve"> </w:t>
      </w:r>
      <w:r w:rsidRPr="00F13BCD">
        <w:rPr>
          <w:lang w:val="en-GB"/>
        </w:rPr>
        <w:t xml:space="preserve">decision XXVII/2, on China's essential-use exemption </w:t>
      </w:r>
      <w:r w:rsidR="00C04C0A" w:rsidRPr="00F13BCD">
        <w:rPr>
          <w:lang w:val="en-GB"/>
        </w:rPr>
        <w:t xml:space="preserve">for the same </w:t>
      </w:r>
      <w:r w:rsidR="00C04C0A" w:rsidRPr="00370087">
        <w:rPr>
          <w:lang w:val="en-GB"/>
        </w:rPr>
        <w:t>use</w:t>
      </w:r>
      <w:r w:rsidR="00C04C0A" w:rsidRPr="00F13BCD">
        <w:rPr>
          <w:lang w:val="en-GB"/>
        </w:rPr>
        <w:t xml:space="preserve"> </w:t>
      </w:r>
      <w:r w:rsidRPr="00F13BCD">
        <w:rPr>
          <w:lang w:val="en-GB"/>
        </w:rPr>
        <w:t>for 2016</w:t>
      </w:r>
      <w:r w:rsidR="001C2403" w:rsidRPr="00086A97">
        <w:rPr>
          <w:lang w:val="en-GB"/>
        </w:rPr>
        <w:t>.</w:t>
      </w:r>
      <w:r w:rsidR="00B574BB" w:rsidRPr="00086A97">
        <w:rPr>
          <w:lang w:val="en-GB"/>
        </w:rPr>
        <w:t xml:space="preserve"> </w:t>
      </w:r>
      <w:r w:rsidR="001C2403" w:rsidRPr="00086A97">
        <w:rPr>
          <w:lang w:val="en-GB"/>
        </w:rPr>
        <w:t xml:space="preserve">The new </w:t>
      </w:r>
      <w:r w:rsidR="00C04C0A" w:rsidRPr="00086A97">
        <w:rPr>
          <w:lang w:val="en-GB"/>
        </w:rPr>
        <w:t>draft decision</w:t>
      </w:r>
      <w:r w:rsidR="001C2403" w:rsidRPr="00086A97">
        <w:rPr>
          <w:lang w:val="en-GB"/>
        </w:rPr>
        <w:t xml:space="preserve"> </w:t>
      </w:r>
      <w:r w:rsidRPr="00086A97">
        <w:rPr>
          <w:lang w:val="en-GB"/>
        </w:rPr>
        <w:t>reflect</w:t>
      </w:r>
      <w:r w:rsidR="001C2403" w:rsidRPr="00086A97">
        <w:rPr>
          <w:lang w:val="en-GB"/>
        </w:rPr>
        <w:t>ed</w:t>
      </w:r>
      <w:r w:rsidRPr="00086A97">
        <w:rPr>
          <w:lang w:val="en-GB"/>
        </w:rPr>
        <w:t xml:space="preserve"> the recommendations of the Technology and Economic Assessment Panel and the comments made at the current meeting in bilateral discussions with the European Union.</w:t>
      </w:r>
    </w:p>
    <w:p w14:paraId="2E2E5380" w14:textId="28B00147" w:rsidR="00DE2354" w:rsidRPr="00086A97" w:rsidRDefault="00A71737" w:rsidP="00A30032">
      <w:pPr>
        <w:pStyle w:val="Normalnumber"/>
        <w:ind w:left="1247" w:firstLine="0"/>
        <w:rPr>
          <w:lang w:val="en-GB"/>
        </w:rPr>
      </w:pPr>
      <w:r w:rsidRPr="00086A97">
        <w:rPr>
          <w:lang w:val="en-GB"/>
        </w:rPr>
        <w:t>Following the introduction of the conference room paper</w:t>
      </w:r>
      <w:r w:rsidR="00DE2354" w:rsidRPr="00086A97">
        <w:rPr>
          <w:lang w:val="en-GB"/>
        </w:rPr>
        <w:t xml:space="preserve"> one representative </w:t>
      </w:r>
      <w:r w:rsidR="00416315" w:rsidRPr="00086A97">
        <w:rPr>
          <w:lang w:val="en-GB"/>
        </w:rPr>
        <w:t xml:space="preserve">said </w:t>
      </w:r>
      <w:r w:rsidR="00DE2354" w:rsidRPr="00086A97">
        <w:rPr>
          <w:lang w:val="en-GB"/>
        </w:rPr>
        <w:t xml:space="preserve">that his country had discovered that some </w:t>
      </w:r>
      <w:r w:rsidR="001C5E3E" w:rsidRPr="00086A97">
        <w:rPr>
          <w:lang w:val="en-GB"/>
        </w:rPr>
        <w:t xml:space="preserve">substances </w:t>
      </w:r>
      <w:r w:rsidR="00DE2354" w:rsidRPr="00086A97">
        <w:rPr>
          <w:lang w:val="en-GB"/>
        </w:rPr>
        <w:t xml:space="preserve">imported </w:t>
      </w:r>
      <w:r w:rsidR="001C5E3E" w:rsidRPr="00086A97">
        <w:rPr>
          <w:lang w:val="en-GB"/>
        </w:rPr>
        <w:t xml:space="preserve">as HFCs </w:t>
      </w:r>
      <w:r w:rsidR="00DE2354" w:rsidRPr="00086A97">
        <w:rPr>
          <w:lang w:val="en-GB"/>
        </w:rPr>
        <w:t xml:space="preserve">for laboratory and analytical uses were </w:t>
      </w:r>
      <w:r w:rsidR="001C5E3E" w:rsidRPr="00086A97">
        <w:rPr>
          <w:lang w:val="en-GB"/>
        </w:rPr>
        <w:t xml:space="preserve">in fact </w:t>
      </w:r>
      <w:r w:rsidR="00DE2354" w:rsidRPr="00086A97">
        <w:rPr>
          <w:lang w:val="en-GB"/>
        </w:rPr>
        <w:t xml:space="preserve">HCFCs, and he requested guidance on how to obtain authorization to use the substances </w:t>
      </w:r>
      <w:r w:rsidR="001C5E3E" w:rsidRPr="00086A97">
        <w:rPr>
          <w:lang w:val="en-GB"/>
        </w:rPr>
        <w:t xml:space="preserve">in a manner that complied with </w:t>
      </w:r>
      <w:r w:rsidR="00F92483" w:rsidRPr="00086A97">
        <w:rPr>
          <w:lang w:val="en-GB"/>
        </w:rPr>
        <w:t xml:space="preserve">the party’s </w:t>
      </w:r>
      <w:r w:rsidR="001C5E3E" w:rsidRPr="00086A97">
        <w:rPr>
          <w:lang w:val="en-GB"/>
        </w:rPr>
        <w:t xml:space="preserve">obligations under </w:t>
      </w:r>
      <w:r w:rsidR="00DE2354" w:rsidRPr="00086A97">
        <w:rPr>
          <w:lang w:val="en-GB"/>
        </w:rPr>
        <w:t>the Montreal Protocol.</w:t>
      </w:r>
    </w:p>
    <w:p w14:paraId="6E05C8D8" w14:textId="62AB384C" w:rsidR="003250FC" w:rsidRPr="00086A97" w:rsidRDefault="00B5674B" w:rsidP="00A30032">
      <w:pPr>
        <w:pStyle w:val="Normalnumber"/>
        <w:ind w:left="1247" w:firstLine="0"/>
        <w:rPr>
          <w:lang w:val="en-GB"/>
        </w:rPr>
      </w:pPr>
      <w:r w:rsidRPr="00086A97">
        <w:rPr>
          <w:lang w:val="en-GB"/>
        </w:rPr>
        <w:t>Subsequently the representative of China introduced a revised version of the draft decision</w:t>
      </w:r>
      <w:r w:rsidR="00873B1B" w:rsidRPr="00086A97">
        <w:rPr>
          <w:lang w:val="en-GB"/>
        </w:rPr>
        <w:t>, which</w:t>
      </w:r>
      <w:r w:rsidRPr="00086A97">
        <w:rPr>
          <w:lang w:val="en-GB"/>
        </w:rPr>
        <w:t xml:space="preserve"> his delegation had prepared to take into account </w:t>
      </w:r>
      <w:r w:rsidR="004967E1" w:rsidRPr="00086A97">
        <w:rPr>
          <w:lang w:val="en-GB"/>
        </w:rPr>
        <w:t>informal</w:t>
      </w:r>
      <w:r w:rsidRPr="00086A97">
        <w:rPr>
          <w:lang w:val="en-GB"/>
        </w:rPr>
        <w:t xml:space="preserve"> discussions that had taken place in the margins of the current meeting</w:t>
      </w:r>
      <w:r w:rsidR="008B481B" w:rsidRPr="00086A97">
        <w:rPr>
          <w:lang w:val="en-GB"/>
        </w:rPr>
        <w:t xml:space="preserve"> following discussion of the matter in plenary</w:t>
      </w:r>
      <w:r w:rsidRPr="00086A97">
        <w:rPr>
          <w:lang w:val="en-GB"/>
        </w:rPr>
        <w:t xml:space="preserve">. </w:t>
      </w:r>
      <w:r w:rsidR="00C51D30" w:rsidRPr="00086A97">
        <w:rPr>
          <w:lang w:val="en-GB"/>
        </w:rPr>
        <w:t xml:space="preserve">The Working Group agreed to forward the </w:t>
      </w:r>
      <w:r w:rsidR="00C97666" w:rsidRPr="00086A97">
        <w:rPr>
          <w:lang w:val="en-GB"/>
        </w:rPr>
        <w:t xml:space="preserve">revised </w:t>
      </w:r>
      <w:r w:rsidR="00C51D30" w:rsidRPr="00086A97">
        <w:rPr>
          <w:lang w:val="en-GB"/>
        </w:rPr>
        <w:t>draft</w:t>
      </w:r>
      <w:r w:rsidR="00BA5D1B" w:rsidRPr="00086A97">
        <w:rPr>
          <w:lang w:val="en-GB"/>
        </w:rPr>
        <w:t xml:space="preserve"> decision, as set out in annex </w:t>
      </w:r>
      <w:r w:rsidR="005964E0" w:rsidRPr="00086A97">
        <w:rPr>
          <w:lang w:val="en-GB"/>
        </w:rPr>
        <w:t>V</w:t>
      </w:r>
      <w:r w:rsidR="00BA5D1B" w:rsidRPr="00086A97">
        <w:rPr>
          <w:lang w:val="en-GB"/>
        </w:rPr>
        <w:t>I</w:t>
      </w:r>
      <w:r w:rsidR="00C51D30" w:rsidRPr="00086A97">
        <w:rPr>
          <w:lang w:val="en-GB"/>
        </w:rPr>
        <w:t xml:space="preserve"> to the present report, to the Twenty-Eighth Meeting of the Parties for further consideration.</w:t>
      </w:r>
      <w:r w:rsidR="00C51D30" w:rsidRPr="00086A97" w:rsidDel="00B5674B">
        <w:rPr>
          <w:lang w:val="en-GB"/>
        </w:rPr>
        <w:t xml:space="preserve"> </w:t>
      </w:r>
    </w:p>
    <w:p w14:paraId="04CADB03" w14:textId="1F4F461C" w:rsidR="003250FC" w:rsidRPr="00086A97" w:rsidRDefault="003250FC" w:rsidP="003250FC">
      <w:pPr>
        <w:pStyle w:val="CH2"/>
        <w:rPr>
          <w:lang w:val="en-GB"/>
        </w:rPr>
      </w:pPr>
      <w:r w:rsidRPr="00086A97">
        <w:rPr>
          <w:lang w:val="en-GB"/>
        </w:rPr>
        <w:tab/>
        <w:t>B.</w:t>
      </w:r>
      <w:r w:rsidRPr="00086A97">
        <w:rPr>
          <w:lang w:val="en-GB"/>
        </w:rPr>
        <w:tab/>
        <w:t>Nominations for critical-use exemptions for 2017 and 2018</w:t>
      </w:r>
    </w:p>
    <w:p w14:paraId="3CF66A9D" w14:textId="74C74759" w:rsidR="00D446A5" w:rsidRPr="00086A97" w:rsidRDefault="00D446A5" w:rsidP="00A30032">
      <w:pPr>
        <w:pStyle w:val="Normalnumber"/>
        <w:ind w:left="1247" w:firstLine="0"/>
        <w:rPr>
          <w:lang w:val="en-GB"/>
        </w:rPr>
      </w:pPr>
      <w:r w:rsidRPr="00086A97">
        <w:rPr>
          <w:lang w:val="en-GB"/>
        </w:rPr>
        <w:t xml:space="preserve">Introducing </w:t>
      </w:r>
      <w:r w:rsidRPr="00E666AA">
        <w:rPr>
          <w:lang w:val="en-GB"/>
        </w:rPr>
        <w:t>the sub-item, the</w:t>
      </w:r>
      <w:r w:rsidRPr="00086A97">
        <w:rPr>
          <w:lang w:val="en-GB"/>
        </w:rPr>
        <w:t xml:space="preserve"> Co-Chair said that five parties had submitted eight nominations for critical-us</w:t>
      </w:r>
      <w:r w:rsidR="004B78FF" w:rsidRPr="00086A97">
        <w:rPr>
          <w:lang w:val="en-GB"/>
        </w:rPr>
        <w:t>e exemptions for methyl bromide</w:t>
      </w:r>
      <w:r w:rsidRPr="00086A97">
        <w:rPr>
          <w:lang w:val="en-GB"/>
        </w:rPr>
        <w:t xml:space="preserve"> and </w:t>
      </w:r>
      <w:r w:rsidR="004B78FF" w:rsidRPr="00086A97">
        <w:rPr>
          <w:lang w:val="en-GB"/>
        </w:rPr>
        <w:t xml:space="preserve">that </w:t>
      </w:r>
      <w:r w:rsidRPr="00086A97">
        <w:rPr>
          <w:lang w:val="en-GB"/>
        </w:rPr>
        <w:t xml:space="preserve">the Methyl Bromide Technical Options Committee had carried out an initial evaluation of the nominations, as outlined during the presentation by the Technology and Economic Assessment Panel on its 2016 progress report. </w:t>
      </w:r>
    </w:p>
    <w:p w14:paraId="3E51F22F" w14:textId="69B1B819" w:rsidR="00D446A5" w:rsidRPr="00086A97" w:rsidRDefault="00D446A5" w:rsidP="00A30032">
      <w:pPr>
        <w:pStyle w:val="Normalnumber"/>
        <w:ind w:left="1247" w:firstLine="0"/>
        <w:rPr>
          <w:lang w:val="en-GB"/>
        </w:rPr>
      </w:pPr>
      <w:r w:rsidRPr="00086A97">
        <w:rPr>
          <w:lang w:val="en-GB"/>
        </w:rPr>
        <w:t>In the ensuing discussion, the representatives of Canada, Australia and South Africa expressed appreciation to the Methyl Bromide Technical Options Committee for its assessment of the</w:t>
      </w:r>
      <w:r w:rsidR="004B78FF" w:rsidRPr="00086A97">
        <w:rPr>
          <w:lang w:val="en-GB"/>
        </w:rPr>
        <w:t>ir country’s</w:t>
      </w:r>
      <w:r w:rsidRPr="00086A97">
        <w:rPr>
          <w:lang w:val="en-GB"/>
        </w:rPr>
        <w:t xml:space="preserve"> nominations for critical-use exemptions.</w:t>
      </w:r>
    </w:p>
    <w:p w14:paraId="610EFB01" w14:textId="5D9BA28F" w:rsidR="00D446A5" w:rsidRPr="00086A97" w:rsidRDefault="004B78FF" w:rsidP="00A30032">
      <w:pPr>
        <w:pStyle w:val="Normalnumber"/>
        <w:ind w:left="1247" w:firstLine="0"/>
        <w:rPr>
          <w:lang w:val="en-GB"/>
        </w:rPr>
      </w:pPr>
      <w:r w:rsidRPr="00086A97">
        <w:rPr>
          <w:lang w:val="en-GB"/>
        </w:rPr>
        <w:t xml:space="preserve">The representative of Canada </w:t>
      </w:r>
      <w:r w:rsidR="00D446A5" w:rsidRPr="00086A97">
        <w:rPr>
          <w:lang w:val="en-GB"/>
        </w:rPr>
        <w:t xml:space="preserve">congratulated </w:t>
      </w:r>
      <w:r w:rsidR="00AB3BB9" w:rsidRPr="00086A97">
        <w:rPr>
          <w:lang w:val="en-GB"/>
        </w:rPr>
        <w:t xml:space="preserve">parties </w:t>
      </w:r>
      <w:r w:rsidR="00D446A5" w:rsidRPr="00086A97">
        <w:rPr>
          <w:lang w:val="en-GB"/>
        </w:rPr>
        <w:t xml:space="preserve">on their efforts to reduce nominations and quantities for critical-use exemptions for methyl bromide. She </w:t>
      </w:r>
      <w:r w:rsidRPr="00086A97">
        <w:rPr>
          <w:lang w:val="en-GB"/>
        </w:rPr>
        <w:t>said</w:t>
      </w:r>
      <w:r w:rsidR="00D446A5" w:rsidRPr="00086A97">
        <w:rPr>
          <w:lang w:val="en-GB"/>
        </w:rPr>
        <w:t xml:space="preserve"> that Canada had in fact submitted its report on the impact of chloropic</w:t>
      </w:r>
      <w:r w:rsidR="00AC6907">
        <w:rPr>
          <w:lang w:val="en-GB"/>
        </w:rPr>
        <w:t>r</w:t>
      </w:r>
      <w:r w:rsidR="00D446A5" w:rsidRPr="00086A97">
        <w:rPr>
          <w:lang w:val="en-GB"/>
        </w:rPr>
        <w:t xml:space="preserve">in on groundwater to the Methyl Bromide Technical Options Committee in accordance with decision XXV/4 of the Meeting of the Parties, </w:t>
      </w:r>
      <w:r w:rsidRPr="00086A97">
        <w:rPr>
          <w:lang w:val="en-GB"/>
        </w:rPr>
        <w:t>al</w:t>
      </w:r>
      <w:r w:rsidR="00D446A5" w:rsidRPr="00086A97">
        <w:rPr>
          <w:lang w:val="en-GB"/>
        </w:rPr>
        <w:t xml:space="preserve">though the progress report of the Technology and Economic Assessment Panel indicated otherwise. Canada would provide further information on its research programme </w:t>
      </w:r>
      <w:r w:rsidR="00CA5310" w:rsidRPr="00086A97">
        <w:rPr>
          <w:lang w:val="en-GB"/>
        </w:rPr>
        <w:t>on</w:t>
      </w:r>
      <w:r w:rsidR="00D446A5" w:rsidRPr="00086A97">
        <w:rPr>
          <w:lang w:val="en-GB"/>
        </w:rPr>
        <w:t xml:space="preserve"> alternatives to methyl bromide to help inform </w:t>
      </w:r>
      <w:r w:rsidR="00FC2AAE" w:rsidRPr="00086A97">
        <w:rPr>
          <w:lang w:val="en-GB"/>
        </w:rPr>
        <w:t xml:space="preserve">the Methyl Bromide Technical Options Committee’s </w:t>
      </w:r>
      <w:r w:rsidR="00D446A5" w:rsidRPr="00086A97">
        <w:rPr>
          <w:lang w:val="en-GB"/>
        </w:rPr>
        <w:t>assessm</w:t>
      </w:r>
      <w:r w:rsidR="00FC2AAE" w:rsidRPr="00086A97">
        <w:rPr>
          <w:lang w:val="en-GB"/>
        </w:rPr>
        <w:t>ent of the country’s nomination</w:t>
      </w:r>
      <w:r w:rsidR="00D446A5" w:rsidRPr="00086A97">
        <w:rPr>
          <w:lang w:val="en-GB"/>
        </w:rPr>
        <w:t xml:space="preserve"> f</w:t>
      </w:r>
      <w:r w:rsidRPr="00086A97">
        <w:rPr>
          <w:lang w:val="en-GB"/>
        </w:rPr>
        <w:t>or a critical</w:t>
      </w:r>
      <w:r w:rsidR="00156357" w:rsidRPr="00086A97">
        <w:rPr>
          <w:lang w:val="en-GB"/>
        </w:rPr>
        <w:noBreakHyphen/>
      </w:r>
      <w:r w:rsidR="00D446A5" w:rsidRPr="00086A97">
        <w:rPr>
          <w:lang w:val="en-GB"/>
        </w:rPr>
        <w:t>use exemption for strawberry runners.</w:t>
      </w:r>
    </w:p>
    <w:p w14:paraId="6B2C7285" w14:textId="150FF173" w:rsidR="00D446A5" w:rsidRPr="00086A97" w:rsidRDefault="00D446A5" w:rsidP="00A30032">
      <w:pPr>
        <w:pStyle w:val="Normalnumber"/>
        <w:ind w:left="1247" w:firstLine="0"/>
        <w:rPr>
          <w:lang w:val="en-GB"/>
        </w:rPr>
      </w:pPr>
      <w:r w:rsidRPr="00086A97">
        <w:rPr>
          <w:lang w:val="en-GB"/>
        </w:rPr>
        <w:t>Th</w:t>
      </w:r>
      <w:r w:rsidR="00CA5310" w:rsidRPr="00086A97">
        <w:rPr>
          <w:lang w:val="en-GB"/>
        </w:rPr>
        <w:t xml:space="preserve">e representative of Australia </w:t>
      </w:r>
      <w:r w:rsidRPr="00086A97">
        <w:rPr>
          <w:lang w:val="en-GB"/>
        </w:rPr>
        <w:t xml:space="preserve">presented an update on </w:t>
      </w:r>
      <w:r w:rsidR="00956866" w:rsidRPr="00086A97">
        <w:rPr>
          <w:lang w:val="en-GB"/>
        </w:rPr>
        <w:t>his country’s</w:t>
      </w:r>
      <w:r w:rsidRPr="00086A97">
        <w:rPr>
          <w:lang w:val="en-GB"/>
        </w:rPr>
        <w:t xml:space="preserve"> research programme </w:t>
      </w:r>
      <w:r w:rsidR="00956866" w:rsidRPr="00086A97">
        <w:rPr>
          <w:lang w:val="en-GB"/>
        </w:rPr>
        <w:t xml:space="preserve">on </w:t>
      </w:r>
      <w:r w:rsidRPr="00086A97">
        <w:rPr>
          <w:lang w:val="en-GB"/>
        </w:rPr>
        <w:t xml:space="preserve">alternatives </w:t>
      </w:r>
      <w:r w:rsidR="00956866" w:rsidRPr="00086A97">
        <w:rPr>
          <w:lang w:val="en-GB"/>
        </w:rPr>
        <w:t>to</w:t>
      </w:r>
      <w:r w:rsidRPr="00086A97">
        <w:rPr>
          <w:lang w:val="en-GB"/>
        </w:rPr>
        <w:t xml:space="preserve"> the use of methyl bromide in the production of strawberry runners. Various options had shown promise but problems remained with pathogen control, </w:t>
      </w:r>
      <w:proofErr w:type="spellStart"/>
      <w:r w:rsidRPr="00086A97">
        <w:rPr>
          <w:lang w:val="en-GB"/>
        </w:rPr>
        <w:t>phytotoxicity</w:t>
      </w:r>
      <w:proofErr w:type="spellEnd"/>
      <w:r w:rsidRPr="00086A97">
        <w:rPr>
          <w:lang w:val="en-GB"/>
        </w:rPr>
        <w:t xml:space="preserve"> and other challenges. The country placed priority on identifying proven, suitable, acceptable alternatives t</w:t>
      </w:r>
      <w:r w:rsidR="00956866" w:rsidRPr="00086A97">
        <w:rPr>
          <w:lang w:val="en-GB"/>
        </w:rPr>
        <w:t xml:space="preserve">hat were in compliance with its </w:t>
      </w:r>
      <w:r w:rsidRPr="00086A97">
        <w:rPr>
          <w:lang w:val="en-GB"/>
        </w:rPr>
        <w:t xml:space="preserve">regulatory framework and suited to local conditions. Significant investment had been made in the research programme, which was led by a full-time researcher, and a phase-out </w:t>
      </w:r>
      <w:r w:rsidR="00956866" w:rsidRPr="00086A97">
        <w:rPr>
          <w:lang w:val="en-GB"/>
        </w:rPr>
        <w:t xml:space="preserve">of methyl bromide </w:t>
      </w:r>
      <w:r w:rsidRPr="00086A97">
        <w:rPr>
          <w:lang w:val="en-GB"/>
        </w:rPr>
        <w:t xml:space="preserve">commencing in 2019 was anticipated. </w:t>
      </w:r>
    </w:p>
    <w:p w14:paraId="595EA765" w14:textId="026BEC1A" w:rsidR="00D446A5" w:rsidRPr="00086A97" w:rsidRDefault="00D446A5" w:rsidP="00A30032">
      <w:pPr>
        <w:pStyle w:val="Normalnumber"/>
        <w:ind w:left="1247" w:firstLine="0"/>
        <w:rPr>
          <w:lang w:val="en-GB"/>
        </w:rPr>
      </w:pPr>
      <w:r w:rsidRPr="00086A97">
        <w:rPr>
          <w:lang w:val="en-GB"/>
        </w:rPr>
        <w:t>The r</w:t>
      </w:r>
      <w:r w:rsidR="00F34C70" w:rsidRPr="00086A97">
        <w:rPr>
          <w:lang w:val="en-GB"/>
        </w:rPr>
        <w:t xml:space="preserve">epresentative of </w:t>
      </w:r>
      <w:r w:rsidR="00F34C70" w:rsidRPr="008F27B4">
        <w:rPr>
          <w:lang w:val="en-GB"/>
        </w:rPr>
        <w:t xml:space="preserve">South Africa </w:t>
      </w:r>
      <w:r w:rsidRPr="008F27B4">
        <w:rPr>
          <w:lang w:val="en-GB"/>
        </w:rPr>
        <w:t>said</w:t>
      </w:r>
      <w:r w:rsidRPr="00086A97">
        <w:rPr>
          <w:lang w:val="en-GB"/>
        </w:rPr>
        <w:t xml:space="preserve"> that his country’s critical-use </w:t>
      </w:r>
      <w:r w:rsidR="00F34C70" w:rsidRPr="00086A97">
        <w:rPr>
          <w:lang w:val="en-GB"/>
        </w:rPr>
        <w:t>nomination was</w:t>
      </w:r>
      <w:r w:rsidRPr="00086A97">
        <w:rPr>
          <w:lang w:val="en-GB"/>
        </w:rPr>
        <w:t xml:space="preserve"> for </w:t>
      </w:r>
      <w:r w:rsidR="00F34C70" w:rsidRPr="00086A97">
        <w:rPr>
          <w:lang w:val="en-GB"/>
        </w:rPr>
        <w:t xml:space="preserve">the use of </w:t>
      </w:r>
      <w:r w:rsidRPr="00086A97">
        <w:rPr>
          <w:lang w:val="en-GB"/>
        </w:rPr>
        <w:t xml:space="preserve">methyl bromide to control insect pests in flour and grain mills and in domestic and industrial premises. The majority of mills had wooden floors and ceilings, having been constructed before food safety requirements were as stringent as </w:t>
      </w:r>
      <w:r w:rsidR="00771536" w:rsidRPr="00086A97">
        <w:rPr>
          <w:lang w:val="en-GB"/>
        </w:rPr>
        <w:t>current requirements</w:t>
      </w:r>
      <w:r w:rsidRPr="00086A97">
        <w:rPr>
          <w:lang w:val="en-GB"/>
        </w:rPr>
        <w:t>, and two fumigations per year were needed to meet current regulations pertaining to food hygiene and to ensure food security in the face of drought. Considerable efforts were being made to reduce the dosage of methyl bromide and to identify alternatives.</w:t>
      </w:r>
    </w:p>
    <w:p w14:paraId="441B9DE0" w14:textId="0D37811A" w:rsidR="00D446A5" w:rsidRPr="00086A97" w:rsidRDefault="00D446A5" w:rsidP="00A30032">
      <w:pPr>
        <w:pStyle w:val="Normalnumber"/>
        <w:ind w:left="1247" w:firstLine="0"/>
        <w:rPr>
          <w:lang w:val="en-GB"/>
        </w:rPr>
      </w:pPr>
      <w:r w:rsidRPr="00086A97">
        <w:rPr>
          <w:lang w:val="en-GB"/>
        </w:rPr>
        <w:t xml:space="preserve">One representative, speaking </w:t>
      </w:r>
      <w:r w:rsidRPr="00720956">
        <w:rPr>
          <w:lang w:val="en-GB"/>
        </w:rPr>
        <w:t>on beha</w:t>
      </w:r>
      <w:r w:rsidR="00771536" w:rsidRPr="00720956">
        <w:rPr>
          <w:lang w:val="en-GB"/>
        </w:rPr>
        <w:t>lf</w:t>
      </w:r>
      <w:r w:rsidR="00771536" w:rsidRPr="00086A97">
        <w:rPr>
          <w:lang w:val="en-GB"/>
        </w:rPr>
        <w:t xml:space="preserve"> of a group of </w:t>
      </w:r>
      <w:r w:rsidR="00116C0B" w:rsidRPr="00086A97">
        <w:rPr>
          <w:lang w:val="en-GB"/>
        </w:rPr>
        <w:t>parties</w:t>
      </w:r>
      <w:r w:rsidRPr="00086A97">
        <w:rPr>
          <w:lang w:val="en-GB"/>
        </w:rPr>
        <w:t>, noted the progress of many countries in reducing or eliminating use of methyl bromide</w:t>
      </w:r>
      <w:r w:rsidR="00771536" w:rsidRPr="00086A97">
        <w:rPr>
          <w:lang w:val="en-GB"/>
        </w:rPr>
        <w:t>;</w:t>
      </w:r>
      <w:r w:rsidRPr="00086A97">
        <w:rPr>
          <w:lang w:val="en-GB"/>
        </w:rPr>
        <w:t xml:space="preserve"> Mexico, </w:t>
      </w:r>
      <w:r w:rsidR="00771536" w:rsidRPr="00086A97">
        <w:rPr>
          <w:lang w:val="en-GB"/>
        </w:rPr>
        <w:t xml:space="preserve">for example, </w:t>
      </w:r>
      <w:r w:rsidRPr="00086A97">
        <w:rPr>
          <w:lang w:val="en-GB"/>
        </w:rPr>
        <w:t>had not put forward a nomination</w:t>
      </w:r>
      <w:r w:rsidR="002A55FF" w:rsidRPr="00086A97">
        <w:rPr>
          <w:lang w:val="en-GB"/>
        </w:rPr>
        <w:t xml:space="preserve"> </w:t>
      </w:r>
      <w:r w:rsidRPr="00086A97">
        <w:rPr>
          <w:lang w:val="en-GB"/>
        </w:rPr>
        <w:t>for a critical</w:t>
      </w:r>
      <w:r w:rsidR="00EC3D5F" w:rsidRPr="00086A97">
        <w:rPr>
          <w:lang w:val="en-GB"/>
        </w:rPr>
        <w:t>-</w:t>
      </w:r>
      <w:r w:rsidRPr="00086A97">
        <w:rPr>
          <w:lang w:val="en-GB"/>
        </w:rPr>
        <w:t>use exemption</w:t>
      </w:r>
      <w:r w:rsidR="006A2253" w:rsidRPr="00086A97">
        <w:rPr>
          <w:lang w:val="en-GB"/>
        </w:rPr>
        <w:t xml:space="preserve"> in the current year</w:t>
      </w:r>
      <w:r w:rsidRPr="00086A97">
        <w:rPr>
          <w:lang w:val="en-GB"/>
        </w:rPr>
        <w:t xml:space="preserve">. Further discussions were needed to fully understand the nominations by the five nominating parties. In addition, he </w:t>
      </w:r>
      <w:r w:rsidR="00771536" w:rsidRPr="00086A97">
        <w:rPr>
          <w:lang w:val="en-GB"/>
        </w:rPr>
        <w:t xml:space="preserve">noted that according to </w:t>
      </w:r>
      <w:r w:rsidRPr="00086A97">
        <w:rPr>
          <w:lang w:val="en-GB"/>
        </w:rPr>
        <w:t xml:space="preserve">the report of the Technology and Economic Assessment Panel </w:t>
      </w:r>
      <w:r w:rsidR="00771536" w:rsidRPr="00086A97">
        <w:rPr>
          <w:lang w:val="en-GB"/>
        </w:rPr>
        <w:t>some</w:t>
      </w:r>
      <w:r w:rsidRPr="00086A97">
        <w:rPr>
          <w:lang w:val="en-GB"/>
        </w:rPr>
        <w:t xml:space="preserve"> countries submitting critical</w:t>
      </w:r>
      <w:r w:rsidR="00EC3D5F" w:rsidRPr="00086A97">
        <w:rPr>
          <w:lang w:val="en-GB"/>
        </w:rPr>
        <w:t>-</w:t>
      </w:r>
      <w:r w:rsidRPr="00086A97">
        <w:rPr>
          <w:lang w:val="en-GB"/>
        </w:rPr>
        <w:t xml:space="preserve">use nominations had not submitted their accounting frameworks or national management plans, as required by </w:t>
      </w:r>
      <w:r w:rsidR="00F13BCD">
        <w:rPr>
          <w:lang w:val="en-GB"/>
        </w:rPr>
        <w:t xml:space="preserve">paragraph 9 (f) of </w:t>
      </w:r>
      <w:r w:rsidRPr="00086A97">
        <w:rPr>
          <w:lang w:val="en-GB"/>
        </w:rPr>
        <w:t xml:space="preserve">decision </w:t>
      </w:r>
      <w:proofErr w:type="spellStart"/>
      <w:r w:rsidRPr="00086A97">
        <w:rPr>
          <w:lang w:val="en-GB"/>
        </w:rPr>
        <w:t>Ex</w:t>
      </w:r>
      <w:r w:rsidR="00F13BCD">
        <w:rPr>
          <w:lang w:val="en-GB"/>
        </w:rPr>
        <w:t>.</w:t>
      </w:r>
      <w:r w:rsidR="00720956">
        <w:rPr>
          <w:lang w:val="en-GB"/>
        </w:rPr>
        <w:t>I</w:t>
      </w:r>
      <w:proofErr w:type="spellEnd"/>
      <w:r w:rsidRPr="00086A97">
        <w:rPr>
          <w:lang w:val="en-GB"/>
        </w:rPr>
        <w:t>/4, and he urged those parties to prepare those documents for submission</w:t>
      </w:r>
      <w:r w:rsidR="002A55FF" w:rsidRPr="00086A97">
        <w:rPr>
          <w:lang w:val="en-GB"/>
        </w:rPr>
        <w:t xml:space="preserve"> prior to </w:t>
      </w:r>
      <w:r w:rsidRPr="00086A97">
        <w:rPr>
          <w:lang w:val="en-GB"/>
        </w:rPr>
        <w:t>the Meeting of the Parties.</w:t>
      </w:r>
    </w:p>
    <w:p w14:paraId="19653C4E" w14:textId="3A4DE6F7" w:rsidR="002E41B0" w:rsidRPr="00086A97" w:rsidRDefault="00771536" w:rsidP="00A30032">
      <w:pPr>
        <w:pStyle w:val="Normalnumber"/>
        <w:ind w:left="1247" w:firstLine="0"/>
        <w:rPr>
          <w:lang w:val="en-GB"/>
        </w:rPr>
      </w:pPr>
      <w:r w:rsidRPr="00086A97">
        <w:rPr>
          <w:lang w:val="en-GB"/>
        </w:rPr>
        <w:t>It was agreed that the Methyl Bromide Techni</w:t>
      </w:r>
      <w:r w:rsidR="00A33CD7" w:rsidRPr="00086A97">
        <w:rPr>
          <w:lang w:val="en-GB"/>
        </w:rPr>
        <w:t>c</w:t>
      </w:r>
      <w:r w:rsidRPr="00086A97">
        <w:rPr>
          <w:lang w:val="en-GB"/>
        </w:rPr>
        <w:t xml:space="preserve">al Options Committee, the </w:t>
      </w:r>
      <w:r w:rsidR="00D446A5" w:rsidRPr="00086A97">
        <w:rPr>
          <w:lang w:val="en-GB"/>
        </w:rPr>
        <w:t xml:space="preserve">nominating parties </w:t>
      </w:r>
      <w:r w:rsidRPr="00086A97">
        <w:rPr>
          <w:lang w:val="en-GB"/>
        </w:rPr>
        <w:t xml:space="preserve">and other interested parties would further discuss the nominations </w:t>
      </w:r>
      <w:r w:rsidR="00AC6907">
        <w:rPr>
          <w:lang w:val="en-GB"/>
        </w:rPr>
        <w:t xml:space="preserve">bilaterally </w:t>
      </w:r>
      <w:r w:rsidRPr="00086A97">
        <w:rPr>
          <w:lang w:val="en-GB"/>
        </w:rPr>
        <w:t xml:space="preserve">in the margins of the current meeting </w:t>
      </w:r>
      <w:r w:rsidR="00AC6907">
        <w:rPr>
          <w:lang w:val="en-GB"/>
        </w:rPr>
        <w:t xml:space="preserve">and </w:t>
      </w:r>
      <w:proofErr w:type="spellStart"/>
      <w:r w:rsidR="00AC6907">
        <w:rPr>
          <w:lang w:val="en-GB"/>
        </w:rPr>
        <w:t>intersessionally</w:t>
      </w:r>
      <w:proofErr w:type="spellEnd"/>
      <w:r w:rsidR="00AC6907">
        <w:rPr>
          <w:lang w:val="en-GB"/>
        </w:rPr>
        <w:t xml:space="preserve"> </w:t>
      </w:r>
      <w:r w:rsidRPr="00086A97">
        <w:rPr>
          <w:lang w:val="en-GB"/>
        </w:rPr>
        <w:t>with the aim of facilitating the development of final recommendations by the Committee</w:t>
      </w:r>
      <w:r w:rsidR="002A55FF" w:rsidRPr="00086A97">
        <w:rPr>
          <w:lang w:val="en-GB"/>
        </w:rPr>
        <w:t xml:space="preserve"> to be considered at the Twenty-Eighth Meeting of the Parties</w:t>
      </w:r>
      <w:r w:rsidRPr="00086A97">
        <w:rPr>
          <w:lang w:val="en-GB"/>
        </w:rPr>
        <w:t xml:space="preserve">. </w:t>
      </w:r>
    </w:p>
    <w:p w14:paraId="124BE9E5" w14:textId="324CEDEE" w:rsidR="002E41B0" w:rsidRPr="00086A97" w:rsidRDefault="002E41B0" w:rsidP="002E41B0">
      <w:pPr>
        <w:pStyle w:val="CH1"/>
        <w:rPr>
          <w:lang w:val="en-GB"/>
        </w:rPr>
      </w:pPr>
      <w:r w:rsidRPr="00086A97">
        <w:rPr>
          <w:lang w:val="en-GB"/>
        </w:rPr>
        <w:tab/>
      </w:r>
      <w:r w:rsidR="00713DD5" w:rsidRPr="00086A97">
        <w:rPr>
          <w:lang w:val="en-GB"/>
        </w:rPr>
        <w:t>VII.</w:t>
      </w:r>
      <w:r w:rsidR="00713DD5" w:rsidRPr="00086A97">
        <w:rPr>
          <w:lang w:val="en-GB"/>
        </w:rPr>
        <w:tab/>
      </w:r>
      <w:r w:rsidRPr="00086A97">
        <w:rPr>
          <w:lang w:val="en-GB"/>
        </w:rPr>
        <w:t xml:space="preserve">Issues related to the phase-out of </w:t>
      </w:r>
      <w:proofErr w:type="spellStart"/>
      <w:r w:rsidRPr="00086A97">
        <w:rPr>
          <w:lang w:val="en-GB"/>
        </w:rPr>
        <w:t>hydrochlorofluorocarbons</w:t>
      </w:r>
      <w:proofErr w:type="spellEnd"/>
      <w:r w:rsidRPr="00086A97">
        <w:rPr>
          <w:lang w:val="en-GB"/>
        </w:rPr>
        <w:t xml:space="preserve"> (decision XXVII/5)</w:t>
      </w:r>
    </w:p>
    <w:p w14:paraId="06E3AD05" w14:textId="5B58D496" w:rsidR="00F75EF6" w:rsidRPr="00086A97" w:rsidRDefault="00F75EF6" w:rsidP="00A30032">
      <w:pPr>
        <w:pStyle w:val="Normalnumber"/>
        <w:ind w:left="1247" w:firstLine="0"/>
        <w:rPr>
          <w:lang w:val="en-GB"/>
        </w:rPr>
      </w:pPr>
      <w:r w:rsidRPr="00086A97">
        <w:rPr>
          <w:lang w:val="en-GB"/>
        </w:rPr>
        <w:t xml:space="preserve">Introducing the item, the Co-Chair said that, </w:t>
      </w:r>
      <w:r w:rsidRPr="006019C2">
        <w:rPr>
          <w:lang w:val="en-GB"/>
        </w:rPr>
        <w:t>in accordance</w:t>
      </w:r>
      <w:r w:rsidRPr="00086A97">
        <w:rPr>
          <w:lang w:val="en-GB"/>
        </w:rPr>
        <w:t xml:space="preserve"> with decision XXVII/5, the Technology and Economic Assessment Panel had prepared a report on the amounts of </w:t>
      </w:r>
      <w:proofErr w:type="spellStart"/>
      <w:r w:rsidRPr="00086A97">
        <w:rPr>
          <w:lang w:val="en-GB"/>
        </w:rPr>
        <w:t>hydrochlorofluorocarbons</w:t>
      </w:r>
      <w:proofErr w:type="spellEnd"/>
      <w:r w:rsidRPr="00086A97">
        <w:rPr>
          <w:lang w:val="en-GB"/>
        </w:rPr>
        <w:t xml:space="preserve"> (HCFCs) that might be needed in non-Article 5 parties during the period 2020–2030 for essential uses in sectors and subsectors, for servicing in the refriger</w:t>
      </w:r>
      <w:r w:rsidR="003C59A8" w:rsidRPr="00086A97">
        <w:rPr>
          <w:lang w:val="en-GB"/>
        </w:rPr>
        <w:t>ation and air</w:t>
      </w:r>
      <w:r w:rsidR="003C59A8" w:rsidRPr="00086A97">
        <w:rPr>
          <w:lang w:val="en-GB"/>
        </w:rPr>
        <w:noBreakHyphen/>
      </w:r>
      <w:r w:rsidRPr="00086A97">
        <w:rPr>
          <w:lang w:val="en-GB"/>
        </w:rPr>
        <w:t>conditioning sector and other sectors, and for the basic domestic needs of Article 5 parties. The report on the matter was contained in volume 3 of its 2016 report.</w:t>
      </w:r>
    </w:p>
    <w:p w14:paraId="036E498E" w14:textId="14B693C0" w:rsidR="00F75EF6" w:rsidRPr="00086A97" w:rsidRDefault="00F75EF6" w:rsidP="00A30032">
      <w:pPr>
        <w:pStyle w:val="Normalnumber"/>
        <w:ind w:left="1247" w:firstLine="0"/>
        <w:rPr>
          <w:lang w:val="en-GB"/>
        </w:rPr>
      </w:pPr>
      <w:r w:rsidRPr="00086A97">
        <w:rPr>
          <w:lang w:val="en-GB"/>
        </w:rPr>
        <w:t xml:space="preserve">One representative, speaking </w:t>
      </w:r>
      <w:r w:rsidRPr="007C15D7">
        <w:rPr>
          <w:lang w:val="en-GB"/>
        </w:rPr>
        <w:t>on beha</w:t>
      </w:r>
      <w:r w:rsidR="00110333" w:rsidRPr="007C15D7">
        <w:rPr>
          <w:lang w:val="en-GB"/>
        </w:rPr>
        <w:t>lf of a group</w:t>
      </w:r>
      <w:r w:rsidR="00110333" w:rsidRPr="00086A97">
        <w:rPr>
          <w:lang w:val="en-GB"/>
        </w:rPr>
        <w:t xml:space="preserve"> of parties</w:t>
      </w:r>
      <w:r w:rsidRPr="00086A97">
        <w:rPr>
          <w:lang w:val="en-GB"/>
        </w:rPr>
        <w:t xml:space="preserve">, said that it was possible to conclude from the report that </w:t>
      </w:r>
      <w:r w:rsidR="00CE68F7" w:rsidRPr="00086A97">
        <w:rPr>
          <w:lang w:val="en-GB"/>
        </w:rPr>
        <w:t xml:space="preserve">essential-use exemptions would probably be needed </w:t>
      </w:r>
      <w:r w:rsidRPr="00086A97">
        <w:rPr>
          <w:lang w:val="en-GB"/>
        </w:rPr>
        <w:t xml:space="preserve">in </w:t>
      </w:r>
      <w:r w:rsidR="00CE68F7" w:rsidRPr="00086A97">
        <w:rPr>
          <w:lang w:val="en-GB"/>
        </w:rPr>
        <w:t xml:space="preserve">only </w:t>
      </w:r>
      <w:r w:rsidRPr="00086A97">
        <w:rPr>
          <w:lang w:val="en-GB"/>
        </w:rPr>
        <w:t xml:space="preserve">a limited number of cases, that there would be no further need for production for basic domestic needs and </w:t>
      </w:r>
      <w:proofErr w:type="gramStart"/>
      <w:r w:rsidRPr="00086A97">
        <w:rPr>
          <w:lang w:val="en-GB"/>
        </w:rPr>
        <w:t>that</w:t>
      </w:r>
      <w:proofErr w:type="gramEnd"/>
      <w:r w:rsidRPr="00086A97">
        <w:rPr>
          <w:lang w:val="en-GB"/>
        </w:rPr>
        <w:t xml:space="preserve"> </w:t>
      </w:r>
      <w:r w:rsidR="00805534" w:rsidRPr="00086A97">
        <w:rPr>
          <w:lang w:val="en-GB"/>
        </w:rPr>
        <w:t xml:space="preserve">HCFCs would probably not be needed for </w:t>
      </w:r>
      <w:r w:rsidRPr="00086A97">
        <w:rPr>
          <w:lang w:val="en-GB"/>
        </w:rPr>
        <w:t xml:space="preserve">servicing. </w:t>
      </w:r>
      <w:r w:rsidR="00805534" w:rsidRPr="00086A97">
        <w:rPr>
          <w:lang w:val="en-GB"/>
        </w:rPr>
        <w:t>The</w:t>
      </w:r>
      <w:r w:rsidRPr="00086A97">
        <w:rPr>
          <w:lang w:val="en-GB"/>
        </w:rPr>
        <w:t xml:space="preserve"> Technology and Economic Assessment Panel</w:t>
      </w:r>
      <w:r w:rsidR="00805534" w:rsidRPr="00086A97">
        <w:rPr>
          <w:lang w:val="en-GB"/>
        </w:rPr>
        <w:t>, however,</w:t>
      </w:r>
      <w:r w:rsidRPr="00086A97">
        <w:rPr>
          <w:lang w:val="en-GB"/>
        </w:rPr>
        <w:t xml:space="preserve"> should continue its work on the matter and gather further data, particularly with regard to demand </w:t>
      </w:r>
      <w:r w:rsidR="00805534" w:rsidRPr="00086A97">
        <w:rPr>
          <w:lang w:val="en-GB"/>
        </w:rPr>
        <w:t xml:space="preserve">after </w:t>
      </w:r>
      <w:r w:rsidRPr="00086A97">
        <w:rPr>
          <w:lang w:val="en-GB"/>
        </w:rPr>
        <w:t xml:space="preserve">2020. Such data would help inform </w:t>
      </w:r>
      <w:r w:rsidR="003548F5" w:rsidRPr="00086A97">
        <w:rPr>
          <w:lang w:val="en-GB"/>
        </w:rPr>
        <w:t xml:space="preserve">the consideration of </w:t>
      </w:r>
      <w:r w:rsidRPr="00086A97">
        <w:rPr>
          <w:lang w:val="en-GB"/>
        </w:rPr>
        <w:t xml:space="preserve">such </w:t>
      </w:r>
      <w:r w:rsidR="00805534" w:rsidRPr="00086A97">
        <w:rPr>
          <w:lang w:val="en-GB"/>
        </w:rPr>
        <w:t>issues as whether the essential-</w:t>
      </w:r>
      <w:r w:rsidRPr="00086A97">
        <w:rPr>
          <w:lang w:val="en-GB"/>
        </w:rPr>
        <w:t>use exemption for laboratory and analytical uses should be extended. There would also be a need in the future to gather information on stocks of HCFCs. He also queried why there had been a sudden increase in the difference between consumption and production of HCFC-22.</w:t>
      </w:r>
    </w:p>
    <w:p w14:paraId="17B82562" w14:textId="2B1DEF60" w:rsidR="00F75EF6" w:rsidRPr="00086A97" w:rsidRDefault="00F75EF6" w:rsidP="00A30032">
      <w:pPr>
        <w:pStyle w:val="Normalnumber"/>
        <w:ind w:left="1247" w:firstLine="0"/>
        <w:rPr>
          <w:lang w:val="en-GB"/>
        </w:rPr>
      </w:pPr>
      <w:r w:rsidRPr="00086A97">
        <w:rPr>
          <w:lang w:val="en-GB"/>
        </w:rPr>
        <w:t>Ano</w:t>
      </w:r>
      <w:r w:rsidR="00805534" w:rsidRPr="00086A97">
        <w:rPr>
          <w:lang w:val="en-GB"/>
        </w:rPr>
        <w:t>ther representative said</w:t>
      </w:r>
      <w:r w:rsidRPr="00086A97">
        <w:rPr>
          <w:lang w:val="en-GB"/>
        </w:rPr>
        <w:t xml:space="preserve"> that in producing its report the Panel had had to contend with many uncertainties regarding the future consumption of HCFCs, in the light of which it would be prudent to maintain </w:t>
      </w:r>
      <w:r w:rsidR="00805534" w:rsidRPr="00086A97">
        <w:rPr>
          <w:lang w:val="en-GB"/>
        </w:rPr>
        <w:t>a small servicing tail</w:t>
      </w:r>
      <w:r w:rsidRPr="00086A97">
        <w:rPr>
          <w:lang w:val="en-GB"/>
        </w:rPr>
        <w:t xml:space="preserve"> and to consider removing the restriction that limited it to existing refrigeration and air-conditioning equipment, given the possibility that other types of equipment might also need servicing. She </w:t>
      </w:r>
      <w:r w:rsidR="00805534" w:rsidRPr="00086A97">
        <w:rPr>
          <w:lang w:val="en-GB"/>
        </w:rPr>
        <w:t>concurred</w:t>
      </w:r>
      <w:r w:rsidRPr="00086A97">
        <w:rPr>
          <w:lang w:val="en-GB"/>
        </w:rPr>
        <w:t xml:space="preserve"> that there would probably be </w:t>
      </w:r>
      <w:r w:rsidR="00D57A21" w:rsidRPr="00086A97">
        <w:rPr>
          <w:lang w:val="en-GB"/>
        </w:rPr>
        <w:t>no continuing</w:t>
      </w:r>
      <w:r w:rsidRPr="00086A97">
        <w:rPr>
          <w:lang w:val="en-GB"/>
        </w:rPr>
        <w:t xml:space="preserve"> need for production for basic domestic needs</w:t>
      </w:r>
      <w:r w:rsidR="00805534" w:rsidRPr="00086A97">
        <w:rPr>
          <w:lang w:val="en-GB"/>
        </w:rPr>
        <w:t xml:space="preserve"> but said that </w:t>
      </w:r>
      <w:r w:rsidRPr="00086A97">
        <w:rPr>
          <w:lang w:val="en-GB"/>
        </w:rPr>
        <w:t>furt</w:t>
      </w:r>
      <w:r w:rsidR="00805534" w:rsidRPr="00086A97">
        <w:rPr>
          <w:lang w:val="en-GB"/>
        </w:rPr>
        <w:t>her data gathering would</w:t>
      </w:r>
      <w:r w:rsidR="00D57A21" w:rsidRPr="00086A97">
        <w:rPr>
          <w:lang w:val="en-GB"/>
        </w:rPr>
        <w:t xml:space="preserve"> aid in making</w:t>
      </w:r>
      <w:r w:rsidR="00805534" w:rsidRPr="00086A97">
        <w:rPr>
          <w:lang w:val="en-GB"/>
        </w:rPr>
        <w:t xml:space="preserve"> </w:t>
      </w:r>
      <w:r w:rsidRPr="00086A97">
        <w:rPr>
          <w:lang w:val="en-GB"/>
        </w:rPr>
        <w:t xml:space="preserve">that decision. On the matter of permitting HCFCs to be used for laboratory and analytical uses, she said that that might require a change to the Montreal Protocol, which could be of relevance to the timing of discussions on the matter. </w:t>
      </w:r>
    </w:p>
    <w:p w14:paraId="3250184D" w14:textId="25606B82" w:rsidR="00F75EF6" w:rsidRPr="00086A97" w:rsidRDefault="00D57A21" w:rsidP="00A30032">
      <w:pPr>
        <w:pStyle w:val="Normalnumber"/>
        <w:ind w:left="1247" w:firstLine="0"/>
        <w:rPr>
          <w:lang w:val="en-GB"/>
        </w:rPr>
      </w:pPr>
      <w:r w:rsidRPr="00086A97">
        <w:rPr>
          <w:lang w:val="en-GB"/>
        </w:rPr>
        <w:t xml:space="preserve">Another representative expressed </w:t>
      </w:r>
      <w:r w:rsidRPr="007C15D7">
        <w:rPr>
          <w:lang w:val="en-GB"/>
        </w:rPr>
        <w:t>support both</w:t>
      </w:r>
      <w:r w:rsidRPr="00086A97">
        <w:rPr>
          <w:lang w:val="en-GB"/>
        </w:rPr>
        <w:t xml:space="preserve"> for maintaining </w:t>
      </w:r>
      <w:r w:rsidR="00F75EF6" w:rsidRPr="00086A97">
        <w:rPr>
          <w:lang w:val="en-GB"/>
        </w:rPr>
        <w:t xml:space="preserve">a small servicing tail for existing equipment and </w:t>
      </w:r>
      <w:r w:rsidR="009F146B" w:rsidRPr="00086A97">
        <w:rPr>
          <w:lang w:val="en-GB"/>
        </w:rPr>
        <w:t>for considering whether</w:t>
      </w:r>
      <w:r w:rsidR="00F75EF6" w:rsidRPr="00086A97">
        <w:rPr>
          <w:lang w:val="en-GB"/>
        </w:rPr>
        <w:t xml:space="preserve"> to extend </w:t>
      </w:r>
      <w:r w:rsidR="00BC6DD8" w:rsidRPr="00086A97">
        <w:rPr>
          <w:lang w:val="en-GB"/>
        </w:rPr>
        <w:t xml:space="preserve">the tail </w:t>
      </w:r>
      <w:r w:rsidR="00F75EF6" w:rsidRPr="00086A97">
        <w:rPr>
          <w:lang w:val="en-GB"/>
        </w:rPr>
        <w:t>beyond the refrigeration and air</w:t>
      </w:r>
      <w:r w:rsidR="007C15D7">
        <w:rPr>
          <w:lang w:val="en-GB"/>
        </w:rPr>
        <w:noBreakHyphen/>
      </w:r>
      <w:r w:rsidR="00F75EF6" w:rsidRPr="00086A97">
        <w:rPr>
          <w:lang w:val="en-GB"/>
        </w:rPr>
        <w:t xml:space="preserve">conditioning sector. She also </w:t>
      </w:r>
      <w:r w:rsidR="009F146B" w:rsidRPr="00086A97">
        <w:rPr>
          <w:lang w:val="en-GB"/>
        </w:rPr>
        <w:t xml:space="preserve">said that she </w:t>
      </w:r>
      <w:r w:rsidR="00F75EF6" w:rsidRPr="00086A97">
        <w:rPr>
          <w:lang w:val="en-GB"/>
        </w:rPr>
        <w:t>supported the extension of essential use exemptions for laboratory and analytical use</w:t>
      </w:r>
      <w:r w:rsidR="00BC6DD8" w:rsidRPr="00086A97">
        <w:rPr>
          <w:lang w:val="en-GB"/>
        </w:rPr>
        <w:t>s</w:t>
      </w:r>
      <w:r w:rsidR="00F75EF6" w:rsidRPr="00086A97">
        <w:rPr>
          <w:lang w:val="en-GB"/>
        </w:rPr>
        <w:t xml:space="preserve"> beyond 2020</w:t>
      </w:r>
      <w:r w:rsidR="009F146B" w:rsidRPr="00086A97">
        <w:rPr>
          <w:lang w:val="en-GB"/>
        </w:rPr>
        <w:t xml:space="preserve"> and </w:t>
      </w:r>
      <w:r w:rsidR="00F75EF6" w:rsidRPr="00086A97">
        <w:rPr>
          <w:lang w:val="en-GB"/>
        </w:rPr>
        <w:t>would welcome further discussion with the Panel on production for basic domestic needs.</w:t>
      </w:r>
    </w:p>
    <w:p w14:paraId="1B12DAB9" w14:textId="7F092261" w:rsidR="00F75EF6" w:rsidRPr="00086A97" w:rsidRDefault="00F75EF6" w:rsidP="00A30032">
      <w:pPr>
        <w:pStyle w:val="Normalnumber"/>
        <w:ind w:left="1247" w:firstLine="0"/>
        <w:rPr>
          <w:lang w:val="en-GB"/>
        </w:rPr>
      </w:pPr>
      <w:r w:rsidRPr="00086A97">
        <w:rPr>
          <w:lang w:val="en-GB"/>
        </w:rPr>
        <w:t xml:space="preserve">Another representative drew attention to the extensive discussion on the linkages between HCFC phase-out and HFC phasedown during the recently concluded resumed thirty-seventh meeting of the Open-ended Working Group, which had resulted in an agreed text that was of considerable relevance to the calculation of future HCFC </w:t>
      </w:r>
      <w:r w:rsidR="002F5947" w:rsidRPr="00086A97">
        <w:rPr>
          <w:lang w:val="en-GB"/>
        </w:rPr>
        <w:t>needs</w:t>
      </w:r>
      <w:r w:rsidRPr="00086A97">
        <w:rPr>
          <w:lang w:val="en-GB"/>
        </w:rPr>
        <w:t xml:space="preserve">. </w:t>
      </w:r>
    </w:p>
    <w:p w14:paraId="439359AA" w14:textId="6B3686C0" w:rsidR="00F75EF6" w:rsidRPr="00086A97" w:rsidRDefault="00667A41" w:rsidP="00A30032">
      <w:pPr>
        <w:pStyle w:val="Normalnumber"/>
        <w:ind w:left="1247" w:firstLine="0"/>
        <w:rPr>
          <w:lang w:val="en-GB"/>
        </w:rPr>
      </w:pPr>
      <w:r w:rsidRPr="00086A97">
        <w:rPr>
          <w:lang w:val="en-GB"/>
        </w:rPr>
        <w:t>It was agreed that interested parties would consult informally on the matter during the current meeting and report to the Working Group on the outcome of those consultations.</w:t>
      </w:r>
    </w:p>
    <w:p w14:paraId="6C944B48" w14:textId="166A4DFC" w:rsidR="00713DD5" w:rsidRPr="00086A97" w:rsidRDefault="007D1B3A" w:rsidP="00A30032">
      <w:pPr>
        <w:pStyle w:val="Normalnumber"/>
        <w:ind w:left="1247" w:firstLine="0"/>
        <w:rPr>
          <w:lang w:val="en-GB"/>
        </w:rPr>
      </w:pPr>
      <w:r w:rsidRPr="00086A97">
        <w:rPr>
          <w:lang w:val="en-GB"/>
        </w:rPr>
        <w:t xml:space="preserve">Subsequently the Co-Chair reported that no conference room papers had been submitted for consideration as the result of any informal consultations, and it was agreed that </w:t>
      </w:r>
      <w:r w:rsidR="00754717" w:rsidRPr="00086A97">
        <w:rPr>
          <w:lang w:val="en-GB"/>
        </w:rPr>
        <w:t>interested parties would submit any further proposals for consideration by the Twenty-Eighth Meeting of the Parties.</w:t>
      </w:r>
    </w:p>
    <w:p w14:paraId="15A2E51A" w14:textId="7C872693" w:rsidR="002E41B0" w:rsidRPr="00086A97" w:rsidRDefault="002E41B0" w:rsidP="002E41B0">
      <w:pPr>
        <w:pStyle w:val="CH1"/>
        <w:rPr>
          <w:lang w:val="en-GB"/>
        </w:rPr>
      </w:pPr>
      <w:r w:rsidRPr="00086A97">
        <w:rPr>
          <w:lang w:val="en-GB"/>
        </w:rPr>
        <w:tab/>
      </w:r>
      <w:r w:rsidR="00713DD5" w:rsidRPr="00086A97">
        <w:rPr>
          <w:lang w:val="en-GB"/>
        </w:rPr>
        <w:t>VIII.</w:t>
      </w:r>
      <w:r w:rsidR="00713DD5" w:rsidRPr="00086A97">
        <w:rPr>
          <w:lang w:val="en-GB"/>
        </w:rPr>
        <w:tab/>
      </w:r>
      <w:r w:rsidRPr="00086A97">
        <w:rPr>
          <w:lang w:val="en-GB"/>
        </w:rPr>
        <w:t xml:space="preserve">Availability of recovered, recycled or reclaimed </w:t>
      </w:r>
      <w:proofErr w:type="spellStart"/>
      <w:r w:rsidR="008A41F9" w:rsidRPr="00086A97">
        <w:rPr>
          <w:lang w:val="en-GB"/>
        </w:rPr>
        <w:t>halons</w:t>
      </w:r>
      <w:proofErr w:type="spellEnd"/>
      <w:r w:rsidR="008A41F9" w:rsidRPr="00086A97">
        <w:rPr>
          <w:lang w:val="en-GB"/>
        </w:rPr>
        <w:t xml:space="preserve"> (decision </w:t>
      </w:r>
      <w:r w:rsidR="000E05F3" w:rsidRPr="00086A97">
        <w:rPr>
          <w:lang w:val="en-GB"/>
        </w:rPr>
        <w:t>XXVI/7)</w:t>
      </w:r>
    </w:p>
    <w:p w14:paraId="7D3C52E7" w14:textId="5A99978F" w:rsidR="00B240B7" w:rsidRPr="00086A97" w:rsidRDefault="00B240B7" w:rsidP="00A30032">
      <w:pPr>
        <w:pStyle w:val="Normalnumber"/>
        <w:ind w:left="1247" w:firstLine="0"/>
        <w:rPr>
          <w:lang w:val="en-GB"/>
        </w:rPr>
      </w:pPr>
      <w:r w:rsidRPr="00086A97">
        <w:rPr>
          <w:lang w:val="en-GB"/>
        </w:rPr>
        <w:t xml:space="preserve">Introducing the item, the Co-Chair </w:t>
      </w:r>
      <w:r w:rsidRPr="00614821">
        <w:rPr>
          <w:lang w:val="en-GB"/>
        </w:rPr>
        <w:t xml:space="preserve">recalled that </w:t>
      </w:r>
      <w:r w:rsidR="00381169" w:rsidRPr="00614821">
        <w:rPr>
          <w:lang w:val="en-GB"/>
        </w:rPr>
        <w:t>by</w:t>
      </w:r>
      <w:r w:rsidR="00381169" w:rsidRPr="00086A97">
        <w:rPr>
          <w:lang w:val="en-GB"/>
        </w:rPr>
        <w:t xml:space="preserve"> </w:t>
      </w:r>
      <w:r w:rsidRPr="00086A97">
        <w:rPr>
          <w:lang w:val="en-GB"/>
        </w:rPr>
        <w:t xml:space="preserve">decision XXVI/7, on the availability of recovered, recycled or reclaimed </w:t>
      </w:r>
      <w:proofErr w:type="spellStart"/>
      <w:r w:rsidRPr="00086A97">
        <w:rPr>
          <w:lang w:val="en-GB"/>
        </w:rPr>
        <w:t>halons</w:t>
      </w:r>
      <w:proofErr w:type="spellEnd"/>
      <w:r w:rsidRPr="00086A97">
        <w:rPr>
          <w:lang w:val="en-GB"/>
        </w:rPr>
        <w:t xml:space="preserve">, </w:t>
      </w:r>
      <w:r w:rsidR="00381169" w:rsidRPr="00086A97">
        <w:rPr>
          <w:lang w:val="en-GB"/>
        </w:rPr>
        <w:t xml:space="preserve">the Meeting of the Parties </w:t>
      </w:r>
      <w:r w:rsidRPr="00086A97">
        <w:rPr>
          <w:lang w:val="en-GB"/>
        </w:rPr>
        <w:t>had requested the Secretariat to report on any information submitted by parties on their efforts</w:t>
      </w:r>
      <w:r w:rsidR="00381169" w:rsidRPr="00086A97">
        <w:rPr>
          <w:lang w:val="en-GB"/>
        </w:rPr>
        <w:t>, in accordance with paragraph 1 of that decision,</w:t>
      </w:r>
      <w:r w:rsidRPr="00086A97">
        <w:rPr>
          <w:lang w:val="en-GB"/>
        </w:rPr>
        <w:t xml:space="preserve"> to liaise with national civil aviation authorities on the supply of recovered, recycled or reclaimed </w:t>
      </w:r>
      <w:proofErr w:type="spellStart"/>
      <w:r w:rsidRPr="00086A97">
        <w:rPr>
          <w:lang w:val="en-GB"/>
        </w:rPr>
        <w:t>halons</w:t>
      </w:r>
      <w:proofErr w:type="spellEnd"/>
      <w:r w:rsidRPr="00086A97">
        <w:rPr>
          <w:lang w:val="en-GB"/>
        </w:rPr>
        <w:t xml:space="preserve"> for civil aviation and the steps being taken to</w:t>
      </w:r>
      <w:r w:rsidR="00381169" w:rsidRPr="00086A97">
        <w:rPr>
          <w:lang w:val="en-GB"/>
        </w:rPr>
        <w:t xml:space="preserve"> expedite the replacement of </w:t>
      </w:r>
      <w:proofErr w:type="spellStart"/>
      <w:r w:rsidR="00816537" w:rsidRPr="00086A97">
        <w:rPr>
          <w:lang w:val="en-GB"/>
        </w:rPr>
        <w:t>halons</w:t>
      </w:r>
      <w:proofErr w:type="spellEnd"/>
      <w:r w:rsidR="00816537" w:rsidRPr="00086A97">
        <w:rPr>
          <w:lang w:val="en-GB"/>
        </w:rPr>
        <w:t xml:space="preserve"> in that sector</w:t>
      </w:r>
      <w:r w:rsidRPr="00086A97">
        <w:rPr>
          <w:lang w:val="en-GB"/>
        </w:rPr>
        <w:t xml:space="preserve">. Information had been received from four parties – Australia, Canada, the European Union and the United States of America – and subjected to a technical review by the </w:t>
      </w:r>
      <w:proofErr w:type="spellStart"/>
      <w:r w:rsidRPr="00086A97">
        <w:rPr>
          <w:lang w:val="en-GB"/>
        </w:rPr>
        <w:t>Halons</w:t>
      </w:r>
      <w:proofErr w:type="spellEnd"/>
      <w:r w:rsidRPr="00086A97">
        <w:rPr>
          <w:lang w:val="en-GB"/>
        </w:rPr>
        <w:t xml:space="preserve"> Technical Options Committee, a summary of which was presented in volume 1 of the 2016 report by the Technology and Economic Assessment Panel (subsection 3.3.5).</w:t>
      </w:r>
    </w:p>
    <w:p w14:paraId="0F787B1B" w14:textId="64445D06" w:rsidR="00713DD5" w:rsidRPr="00086A97" w:rsidRDefault="0069128E" w:rsidP="00A30032">
      <w:pPr>
        <w:pStyle w:val="Normalnumber"/>
        <w:ind w:left="1247" w:firstLine="0"/>
        <w:rPr>
          <w:lang w:val="en-GB"/>
        </w:rPr>
      </w:pPr>
      <w:r w:rsidRPr="00086A97">
        <w:rPr>
          <w:lang w:val="en-GB"/>
        </w:rPr>
        <w:t>In the ensuing discussion</w:t>
      </w:r>
      <w:r w:rsidR="00B240B7" w:rsidRPr="00086A97">
        <w:rPr>
          <w:lang w:val="en-GB"/>
        </w:rPr>
        <w:t xml:space="preserve"> </w:t>
      </w:r>
      <w:r w:rsidR="00B240B7" w:rsidRPr="00E75220">
        <w:rPr>
          <w:szCs w:val="20"/>
          <w:lang w:val="en-GB"/>
        </w:rPr>
        <w:t>one representative</w:t>
      </w:r>
      <w:r w:rsidR="00B240B7" w:rsidRPr="00086A97">
        <w:rPr>
          <w:lang w:val="en-GB"/>
        </w:rPr>
        <w:t xml:space="preserve">, speaking on behalf of a group of parties, </w:t>
      </w:r>
      <w:r w:rsidR="00F8001D" w:rsidRPr="00086A97">
        <w:rPr>
          <w:lang w:val="en-GB"/>
        </w:rPr>
        <w:t>said</w:t>
      </w:r>
      <w:r w:rsidR="00B240B7" w:rsidRPr="00086A97">
        <w:rPr>
          <w:lang w:val="en-GB"/>
        </w:rPr>
        <w:t xml:space="preserve"> that a clear message must be sent to the aviation industry to accelerate its progress in the development, approval and deployment of </w:t>
      </w:r>
      <w:proofErr w:type="spellStart"/>
      <w:r w:rsidR="00B240B7" w:rsidRPr="00086A97">
        <w:rPr>
          <w:lang w:val="en-GB"/>
        </w:rPr>
        <w:t>halon</w:t>
      </w:r>
      <w:proofErr w:type="spellEnd"/>
      <w:r w:rsidR="00B240B7" w:rsidRPr="00086A97">
        <w:rPr>
          <w:lang w:val="en-GB"/>
        </w:rPr>
        <w:t xml:space="preserve"> alternatives. The </w:t>
      </w:r>
      <w:r w:rsidR="00BE314B" w:rsidRPr="00086A97">
        <w:rPr>
          <w:lang w:val="en-GB"/>
        </w:rPr>
        <w:t xml:space="preserve">adoption by </w:t>
      </w:r>
      <w:r w:rsidR="00B240B7" w:rsidRPr="00086A97">
        <w:rPr>
          <w:lang w:val="en-GB"/>
        </w:rPr>
        <w:t xml:space="preserve">the Assembly of the International Civil Aviation Organization (ICAO) </w:t>
      </w:r>
      <w:r w:rsidR="00BE314B" w:rsidRPr="00086A97">
        <w:rPr>
          <w:lang w:val="en-GB"/>
        </w:rPr>
        <w:t xml:space="preserve">of a resolution </w:t>
      </w:r>
      <w:r w:rsidR="00B240B7" w:rsidRPr="00086A97">
        <w:rPr>
          <w:lang w:val="en-GB"/>
        </w:rPr>
        <w:t xml:space="preserve">that </w:t>
      </w:r>
      <w:r w:rsidR="00440C0B" w:rsidRPr="00086A97">
        <w:rPr>
          <w:lang w:val="en-GB"/>
        </w:rPr>
        <w:t xml:space="preserve">would </w:t>
      </w:r>
      <w:r w:rsidR="00B240B7" w:rsidRPr="00086A97">
        <w:rPr>
          <w:lang w:val="en-GB"/>
        </w:rPr>
        <w:t xml:space="preserve">pave the way for the replacement of </w:t>
      </w:r>
      <w:proofErr w:type="spellStart"/>
      <w:r w:rsidR="00B240B7" w:rsidRPr="00086A97">
        <w:rPr>
          <w:bCs/>
          <w:lang w:val="en-GB"/>
        </w:rPr>
        <w:t>halons</w:t>
      </w:r>
      <w:proofErr w:type="spellEnd"/>
      <w:r w:rsidR="00B240B7" w:rsidRPr="00086A97">
        <w:rPr>
          <w:bCs/>
          <w:lang w:val="en-GB"/>
        </w:rPr>
        <w:t xml:space="preserve"> in cargo compartment fire suppression systems by 2024 was encouraging, he said, even though an earlier deadline would have been preferable, but ICAO standards were not legal requirements and the </w:t>
      </w:r>
      <w:r w:rsidR="00C64F32" w:rsidRPr="00086A97">
        <w:rPr>
          <w:bCs/>
          <w:lang w:val="en-GB"/>
        </w:rPr>
        <w:t>Meeting of the Parties</w:t>
      </w:r>
      <w:r w:rsidR="00B240B7" w:rsidRPr="00086A97">
        <w:rPr>
          <w:bCs/>
          <w:lang w:val="en-GB"/>
        </w:rPr>
        <w:t xml:space="preserve"> should therefore urge parties to </w:t>
      </w:r>
      <w:r w:rsidR="00F8001D" w:rsidRPr="00086A97">
        <w:rPr>
          <w:bCs/>
          <w:lang w:val="en-GB"/>
        </w:rPr>
        <w:t>make them mandatory through national legislation</w:t>
      </w:r>
      <w:r w:rsidR="00B240B7" w:rsidRPr="00086A97">
        <w:rPr>
          <w:bCs/>
          <w:lang w:val="en-GB"/>
        </w:rPr>
        <w:t xml:space="preserve">. </w:t>
      </w:r>
      <w:r w:rsidR="00B240B7" w:rsidRPr="00B949C8">
        <w:rPr>
          <w:bCs/>
          <w:lang w:val="en-GB"/>
        </w:rPr>
        <w:t>Meanwhile</w:t>
      </w:r>
      <w:r w:rsidR="00B240B7" w:rsidRPr="00086A97">
        <w:rPr>
          <w:bCs/>
          <w:lang w:val="en-GB"/>
        </w:rPr>
        <w:t xml:space="preserve">, parties planning further </w:t>
      </w:r>
      <w:proofErr w:type="spellStart"/>
      <w:r w:rsidR="00B240B7" w:rsidRPr="00086A97">
        <w:rPr>
          <w:bCs/>
          <w:lang w:val="en-GB"/>
        </w:rPr>
        <w:t>halon</w:t>
      </w:r>
      <w:proofErr w:type="spellEnd"/>
      <w:r w:rsidR="00B240B7" w:rsidRPr="00086A97">
        <w:rPr>
          <w:bCs/>
          <w:lang w:val="en-GB"/>
        </w:rPr>
        <w:t xml:space="preserve"> production for aircraft applications in the short term, he said, should be encouraged to focus instead on the development of alternatives; the </w:t>
      </w:r>
      <w:r w:rsidR="00B240B7" w:rsidRPr="00086A97">
        <w:rPr>
          <w:lang w:val="en-GB"/>
        </w:rPr>
        <w:t xml:space="preserve">large quantities of </w:t>
      </w:r>
      <w:proofErr w:type="spellStart"/>
      <w:r w:rsidR="00B240B7" w:rsidRPr="00086A97">
        <w:rPr>
          <w:lang w:val="en-GB"/>
        </w:rPr>
        <w:t>halons</w:t>
      </w:r>
      <w:proofErr w:type="spellEnd"/>
      <w:r w:rsidR="00B240B7" w:rsidRPr="00086A97">
        <w:rPr>
          <w:lang w:val="en-GB"/>
        </w:rPr>
        <w:t xml:space="preserve"> that, according to </w:t>
      </w:r>
      <w:r w:rsidR="00B240B7" w:rsidRPr="00086A97">
        <w:rPr>
          <w:bCs/>
          <w:lang w:val="en-GB"/>
        </w:rPr>
        <w:t xml:space="preserve">volume 1 of the </w:t>
      </w:r>
      <w:r w:rsidR="00B240B7" w:rsidRPr="00086A97">
        <w:rPr>
          <w:lang w:val="en-GB"/>
        </w:rPr>
        <w:t>Technology and Economic Assessment Panel's 2016</w:t>
      </w:r>
      <w:r w:rsidR="00B240B7" w:rsidRPr="00086A97">
        <w:rPr>
          <w:bCs/>
          <w:lang w:val="en-GB"/>
        </w:rPr>
        <w:t xml:space="preserve"> report (subsection 3.</w:t>
      </w:r>
      <w:r w:rsidR="00BF27BC">
        <w:rPr>
          <w:bCs/>
          <w:lang w:val="en-GB"/>
        </w:rPr>
        <w:t>4</w:t>
      </w:r>
      <w:r w:rsidR="00B240B7" w:rsidRPr="00086A97">
        <w:rPr>
          <w:bCs/>
          <w:lang w:val="en-GB"/>
        </w:rPr>
        <w:t xml:space="preserve">.4), might be available from salvaged ships could be recycled and reused in aircraft applications; and the tricky issue of </w:t>
      </w:r>
      <w:proofErr w:type="spellStart"/>
      <w:r w:rsidR="00B240B7" w:rsidRPr="00086A97">
        <w:rPr>
          <w:bCs/>
          <w:lang w:val="en-GB"/>
        </w:rPr>
        <w:t>halon</w:t>
      </w:r>
      <w:proofErr w:type="spellEnd"/>
      <w:r w:rsidR="00B240B7" w:rsidRPr="00086A97">
        <w:rPr>
          <w:bCs/>
          <w:lang w:val="en-GB"/>
        </w:rPr>
        <w:t xml:space="preserve"> uses, which had been on the table for some years, might be resolved </w:t>
      </w:r>
      <w:r w:rsidR="005D7CD4" w:rsidRPr="00086A97">
        <w:rPr>
          <w:bCs/>
          <w:lang w:val="en-GB"/>
        </w:rPr>
        <w:t xml:space="preserve">more </w:t>
      </w:r>
      <w:r w:rsidR="00B240B7" w:rsidRPr="00086A97">
        <w:rPr>
          <w:bCs/>
          <w:lang w:val="en-GB"/>
        </w:rPr>
        <w:t>quick</w:t>
      </w:r>
      <w:r w:rsidR="005D7CD4" w:rsidRPr="00086A97">
        <w:rPr>
          <w:bCs/>
          <w:lang w:val="en-GB"/>
        </w:rPr>
        <w:t>ly</w:t>
      </w:r>
      <w:r w:rsidR="00B240B7" w:rsidRPr="00086A97">
        <w:rPr>
          <w:bCs/>
          <w:lang w:val="en-GB"/>
        </w:rPr>
        <w:t xml:space="preserve"> if the </w:t>
      </w:r>
      <w:r w:rsidR="00B240B7" w:rsidRPr="00086A97">
        <w:rPr>
          <w:lang w:val="en-GB"/>
        </w:rPr>
        <w:t xml:space="preserve">Technology and Economic Assessment Panel, the Secretariat and ICAO cooperated more closely to ensure the exchange of relevant information. Another representative </w:t>
      </w:r>
      <w:r w:rsidR="0008452E" w:rsidRPr="00086A97">
        <w:rPr>
          <w:lang w:val="en-GB"/>
        </w:rPr>
        <w:t>said</w:t>
      </w:r>
      <w:r w:rsidR="00B240B7" w:rsidRPr="00086A97">
        <w:rPr>
          <w:lang w:val="en-GB"/>
        </w:rPr>
        <w:t xml:space="preserve"> that another obstacle to progress was that some countries lacked the facilities for </w:t>
      </w:r>
      <w:proofErr w:type="spellStart"/>
      <w:r w:rsidR="00B240B7" w:rsidRPr="00086A97">
        <w:rPr>
          <w:lang w:val="en-GB"/>
        </w:rPr>
        <w:t>halon</w:t>
      </w:r>
      <w:proofErr w:type="spellEnd"/>
      <w:r w:rsidR="00B240B7" w:rsidRPr="00086A97">
        <w:rPr>
          <w:lang w:val="en-GB"/>
        </w:rPr>
        <w:t xml:space="preserve"> recovery and were compelled to export the substances while they were still giving off emissions.</w:t>
      </w:r>
    </w:p>
    <w:p w14:paraId="5B5DBD43" w14:textId="702D7D5A" w:rsidR="002E41B0" w:rsidRPr="00086A97" w:rsidRDefault="002E41B0" w:rsidP="002E41B0">
      <w:pPr>
        <w:pStyle w:val="CH1"/>
        <w:rPr>
          <w:lang w:val="en-GB"/>
        </w:rPr>
      </w:pPr>
      <w:r w:rsidRPr="00086A97">
        <w:rPr>
          <w:lang w:val="en-GB"/>
        </w:rPr>
        <w:tab/>
      </w:r>
      <w:r w:rsidR="00713DD5" w:rsidRPr="00086A97">
        <w:rPr>
          <w:lang w:val="en-GB"/>
        </w:rPr>
        <w:t>IX.</w:t>
      </w:r>
      <w:r w:rsidR="00713DD5" w:rsidRPr="00086A97">
        <w:rPr>
          <w:lang w:val="en-GB"/>
        </w:rPr>
        <w:tab/>
      </w:r>
      <w:r w:rsidRPr="00086A97">
        <w:rPr>
          <w:lang w:val="en-GB"/>
        </w:rPr>
        <w:t>Terms of reference for the study on the 2018–2020 replenishment of the Multilateral Fund for the Implementation of the Montreal Protocol</w:t>
      </w:r>
    </w:p>
    <w:p w14:paraId="4F973CDE" w14:textId="441A5078" w:rsidR="00981747" w:rsidRPr="00086A97" w:rsidRDefault="00981747" w:rsidP="00A30032">
      <w:pPr>
        <w:pStyle w:val="Normalnumber"/>
        <w:ind w:left="1247" w:firstLine="0"/>
        <w:rPr>
          <w:lang w:val="en-GB"/>
        </w:rPr>
      </w:pPr>
      <w:r w:rsidRPr="00086A97">
        <w:rPr>
          <w:lang w:val="en-GB"/>
        </w:rPr>
        <w:t>Introducing the</w:t>
      </w:r>
      <w:r w:rsidR="0008452E" w:rsidRPr="00086A97">
        <w:rPr>
          <w:lang w:val="en-GB"/>
        </w:rPr>
        <w:t xml:space="preserve"> item, the Co-Chair </w:t>
      </w:r>
      <w:r w:rsidR="00A4413A" w:rsidRPr="00086A97">
        <w:rPr>
          <w:lang w:val="en-GB"/>
        </w:rPr>
        <w:t xml:space="preserve">drew attention to the </w:t>
      </w:r>
      <w:r w:rsidR="00A4413A" w:rsidRPr="001C4AD0">
        <w:rPr>
          <w:lang w:val="en-GB"/>
        </w:rPr>
        <w:t>terms of reference</w:t>
      </w:r>
      <w:r w:rsidR="00A4413A" w:rsidRPr="00086A97">
        <w:rPr>
          <w:lang w:val="en-GB"/>
        </w:rPr>
        <w:t xml:space="preserve"> for a stud</w:t>
      </w:r>
      <w:r w:rsidR="007728D3" w:rsidRPr="00086A97">
        <w:rPr>
          <w:lang w:val="en-GB"/>
        </w:rPr>
        <w:t xml:space="preserve">y </w:t>
      </w:r>
      <w:r w:rsidR="00A4413A" w:rsidRPr="00086A97">
        <w:rPr>
          <w:lang w:val="en-GB"/>
        </w:rPr>
        <w:t xml:space="preserve">by the Technology and Economic Assessment Panel </w:t>
      </w:r>
      <w:r w:rsidR="006F1E01" w:rsidRPr="00086A97">
        <w:rPr>
          <w:lang w:val="en-GB"/>
        </w:rPr>
        <w:t xml:space="preserve">on the amount of funding required for the </w:t>
      </w:r>
      <w:r w:rsidRPr="00086A97">
        <w:rPr>
          <w:lang w:val="en-GB"/>
        </w:rPr>
        <w:t xml:space="preserve">replenishment of the Multilateral Fund for the Implementation of the Montreal Protocol for the </w:t>
      </w:r>
      <w:r w:rsidR="006F1E01" w:rsidRPr="00086A97">
        <w:rPr>
          <w:lang w:val="en-GB"/>
        </w:rPr>
        <w:t xml:space="preserve">period </w:t>
      </w:r>
      <w:r w:rsidRPr="00086A97">
        <w:rPr>
          <w:lang w:val="en-GB"/>
        </w:rPr>
        <w:t xml:space="preserve">2015–2017 </w:t>
      </w:r>
      <w:r w:rsidR="0008452E" w:rsidRPr="00086A97">
        <w:rPr>
          <w:lang w:val="en-GB"/>
        </w:rPr>
        <w:t>(</w:t>
      </w:r>
      <w:r w:rsidRPr="00086A97">
        <w:rPr>
          <w:lang w:val="en-GB"/>
        </w:rPr>
        <w:t>UNEP/OzL.Pro.WG.1/38/2 (annex III)</w:t>
      </w:r>
      <w:r w:rsidR="0008452E" w:rsidRPr="00086A97">
        <w:rPr>
          <w:lang w:val="en-GB"/>
        </w:rPr>
        <w:t>)</w:t>
      </w:r>
      <w:r w:rsidRPr="00086A97">
        <w:rPr>
          <w:lang w:val="en-GB"/>
        </w:rPr>
        <w:t xml:space="preserve">, </w:t>
      </w:r>
      <w:r w:rsidR="0008452E" w:rsidRPr="00086A97">
        <w:rPr>
          <w:lang w:val="en-GB"/>
        </w:rPr>
        <w:t xml:space="preserve">suggesting that it could </w:t>
      </w:r>
      <w:r w:rsidRPr="00086A97">
        <w:rPr>
          <w:lang w:val="en-GB"/>
        </w:rPr>
        <w:t>serve as a basis for the deliberations at the current meeting</w:t>
      </w:r>
      <w:r w:rsidR="007728D3" w:rsidRPr="00086A97">
        <w:rPr>
          <w:lang w:val="en-GB"/>
        </w:rPr>
        <w:t xml:space="preserve"> on the development of terms of reference for the development of a study on the replenishment of the Fund for the period 2018–2020</w:t>
      </w:r>
      <w:r w:rsidRPr="00086A97">
        <w:rPr>
          <w:lang w:val="en-GB"/>
        </w:rPr>
        <w:t>.</w:t>
      </w:r>
    </w:p>
    <w:p w14:paraId="7806ED2F" w14:textId="3165F6D3" w:rsidR="00981747" w:rsidRPr="00086A97" w:rsidRDefault="00981747" w:rsidP="00A30032">
      <w:pPr>
        <w:pStyle w:val="Normalnumber"/>
        <w:ind w:left="1247" w:firstLine="0"/>
        <w:rPr>
          <w:lang w:val="en-GB"/>
        </w:rPr>
      </w:pPr>
      <w:r w:rsidRPr="00086A97">
        <w:rPr>
          <w:lang w:val="en-GB"/>
        </w:rPr>
        <w:t xml:space="preserve">In the ensuing discussion, all representatives that spoke, including one speaking on behalf of a group of parties, </w:t>
      </w:r>
      <w:r w:rsidR="003D37B0" w:rsidRPr="00086A97">
        <w:rPr>
          <w:lang w:val="en-GB"/>
        </w:rPr>
        <w:t xml:space="preserve">agreed </w:t>
      </w:r>
      <w:r w:rsidRPr="00086A97">
        <w:rPr>
          <w:lang w:val="en-GB"/>
        </w:rPr>
        <w:t xml:space="preserve">that the terms of reference for the study on the 2015–2017 replenishment would provide a good starting point for </w:t>
      </w:r>
      <w:r w:rsidR="003D37B0" w:rsidRPr="00086A97">
        <w:rPr>
          <w:lang w:val="en-GB"/>
        </w:rPr>
        <w:t>the development of the current study</w:t>
      </w:r>
      <w:r w:rsidRPr="00086A97">
        <w:rPr>
          <w:lang w:val="en-GB"/>
        </w:rPr>
        <w:t xml:space="preserve"> and that a contact group should be formed to </w:t>
      </w:r>
      <w:r w:rsidR="003E1C6C" w:rsidRPr="00086A97">
        <w:rPr>
          <w:lang w:val="en-GB"/>
        </w:rPr>
        <w:t>discuss the matter further</w:t>
      </w:r>
      <w:r w:rsidRPr="00086A97">
        <w:rPr>
          <w:lang w:val="en-GB"/>
        </w:rPr>
        <w:t xml:space="preserve">. One representative suggested posting the guidance provided to the </w:t>
      </w:r>
      <w:r w:rsidRPr="001C4AD0">
        <w:rPr>
          <w:lang w:val="en-GB"/>
        </w:rPr>
        <w:t>Technology and</w:t>
      </w:r>
      <w:r w:rsidRPr="00086A97">
        <w:rPr>
          <w:lang w:val="en-GB"/>
        </w:rPr>
        <w:t xml:space="preserve"> Economic Assessment Panel in decision XXV/8 on the meetin</w:t>
      </w:r>
      <w:r w:rsidR="002D1CD1" w:rsidRPr="00086A97">
        <w:rPr>
          <w:lang w:val="en-GB"/>
        </w:rPr>
        <w:t>g portal in order to assist the</w:t>
      </w:r>
      <w:r w:rsidRPr="00086A97">
        <w:rPr>
          <w:lang w:val="en-GB"/>
        </w:rPr>
        <w:t xml:space="preserve"> contact group in its work. Another representative, supported by a third, suggested including a reference to the possible costs of a subsidy to encourage Article 5 parties to take early action on HFC control measures, regardless of </w:t>
      </w:r>
      <w:r w:rsidRPr="00FB5471">
        <w:rPr>
          <w:lang w:val="en-GB"/>
        </w:rPr>
        <w:t xml:space="preserve">whether </w:t>
      </w:r>
      <w:r w:rsidR="00F13BCD" w:rsidRPr="00FB5471">
        <w:rPr>
          <w:lang w:val="en-GB"/>
        </w:rPr>
        <w:t>related</w:t>
      </w:r>
      <w:r w:rsidRPr="00FB5471">
        <w:rPr>
          <w:lang w:val="en-GB"/>
        </w:rPr>
        <w:t xml:space="preserve"> measures entered into force by the end of the replenishment period; and a fourth added that a scoping study by the Technology and Economic Assessment Panel</w:t>
      </w:r>
      <w:r w:rsidR="006C65DE" w:rsidRPr="00FB5471">
        <w:rPr>
          <w:lang w:val="en-GB"/>
        </w:rPr>
        <w:t xml:space="preserve"> on </w:t>
      </w:r>
      <w:r w:rsidR="00F13BCD" w:rsidRPr="00FB5471">
        <w:rPr>
          <w:lang w:val="en-GB"/>
        </w:rPr>
        <w:t>such</w:t>
      </w:r>
      <w:r w:rsidR="006C65DE" w:rsidRPr="00370087">
        <w:rPr>
          <w:lang w:val="en-GB"/>
        </w:rPr>
        <w:t xml:space="preserve"> early action</w:t>
      </w:r>
      <w:r w:rsidRPr="00FB5471">
        <w:rPr>
          <w:lang w:val="en-GB"/>
        </w:rPr>
        <w:t xml:space="preserve"> would be </w:t>
      </w:r>
      <w:r w:rsidR="006C65DE" w:rsidRPr="00FB5471">
        <w:rPr>
          <w:lang w:val="en-GB"/>
        </w:rPr>
        <w:t>useful</w:t>
      </w:r>
      <w:r w:rsidR="006E2D9D" w:rsidRPr="00FB5471">
        <w:rPr>
          <w:lang w:val="en-GB"/>
        </w:rPr>
        <w:t xml:space="preserve">. One representative </w:t>
      </w:r>
      <w:r w:rsidRPr="00FB5471">
        <w:rPr>
          <w:lang w:val="en-GB"/>
        </w:rPr>
        <w:t>said that the focus at the current meeting should be on airing new ideas and</w:t>
      </w:r>
      <w:r w:rsidRPr="00086A97">
        <w:rPr>
          <w:lang w:val="en-GB"/>
        </w:rPr>
        <w:t xml:space="preserve"> on general </w:t>
      </w:r>
      <w:r w:rsidR="0067599D" w:rsidRPr="00086A97">
        <w:rPr>
          <w:lang w:val="en-GB"/>
        </w:rPr>
        <w:t xml:space="preserve">principles </w:t>
      </w:r>
      <w:r w:rsidRPr="00086A97">
        <w:rPr>
          <w:lang w:val="en-GB"/>
        </w:rPr>
        <w:t xml:space="preserve">rather </w:t>
      </w:r>
      <w:r w:rsidR="0067599D" w:rsidRPr="00086A97">
        <w:rPr>
          <w:lang w:val="en-GB"/>
        </w:rPr>
        <w:t xml:space="preserve">than </w:t>
      </w:r>
      <w:r w:rsidRPr="00086A97">
        <w:rPr>
          <w:lang w:val="en-GB"/>
        </w:rPr>
        <w:t xml:space="preserve">the details of the terms of reference. Another suggested aligning the replenishment cycle with that of the </w:t>
      </w:r>
      <w:r w:rsidR="0067599D" w:rsidRPr="00086A97">
        <w:rPr>
          <w:lang w:val="en-GB"/>
        </w:rPr>
        <w:t xml:space="preserve">cycle for the setting of the </w:t>
      </w:r>
      <w:r w:rsidRPr="00086A97">
        <w:rPr>
          <w:lang w:val="en-GB"/>
        </w:rPr>
        <w:t>United Nations scale of assessments</w:t>
      </w:r>
      <w:r w:rsidR="0067599D" w:rsidRPr="00086A97">
        <w:rPr>
          <w:lang w:val="en-GB"/>
        </w:rPr>
        <w:t>, saying that the current lack of alignment</w:t>
      </w:r>
      <w:r w:rsidRPr="00086A97">
        <w:rPr>
          <w:lang w:val="en-GB"/>
        </w:rPr>
        <w:t xml:space="preserve"> </w:t>
      </w:r>
      <w:r w:rsidR="0067599D" w:rsidRPr="00086A97">
        <w:rPr>
          <w:lang w:val="en-GB"/>
        </w:rPr>
        <w:t xml:space="preserve">had </w:t>
      </w:r>
      <w:r w:rsidRPr="00086A97">
        <w:rPr>
          <w:lang w:val="en-GB"/>
        </w:rPr>
        <w:t>previously left some parties experiencing budgetary shortfalls.</w:t>
      </w:r>
    </w:p>
    <w:p w14:paraId="78D6480E" w14:textId="4A0802D4" w:rsidR="00981747" w:rsidRPr="00086A97" w:rsidRDefault="00981747" w:rsidP="00A30032">
      <w:pPr>
        <w:pStyle w:val="Normalnumber"/>
        <w:ind w:left="1247" w:firstLine="0"/>
        <w:rPr>
          <w:lang w:val="en-GB"/>
        </w:rPr>
      </w:pPr>
      <w:r w:rsidRPr="00086A97">
        <w:rPr>
          <w:lang w:val="en-GB"/>
        </w:rPr>
        <w:t>The Open-ended Working Group establish</w:t>
      </w:r>
      <w:r w:rsidR="000F7CD6" w:rsidRPr="00086A97">
        <w:rPr>
          <w:lang w:val="en-GB"/>
        </w:rPr>
        <w:t>ed</w:t>
      </w:r>
      <w:r w:rsidRPr="00086A97">
        <w:rPr>
          <w:lang w:val="en-GB"/>
        </w:rPr>
        <w:t xml:space="preserve"> a contact group, co-chaired by </w:t>
      </w:r>
      <w:proofErr w:type="spellStart"/>
      <w:r w:rsidR="0075146F" w:rsidRPr="00086A97">
        <w:rPr>
          <w:szCs w:val="20"/>
          <w:lang w:val="en-GB"/>
        </w:rPr>
        <w:t>Mr.</w:t>
      </w:r>
      <w:proofErr w:type="spellEnd"/>
      <w:r w:rsidR="0075146F" w:rsidRPr="00086A97">
        <w:rPr>
          <w:szCs w:val="20"/>
          <w:lang w:val="en-GB"/>
        </w:rPr>
        <w:t xml:space="preserve"> Phili</w:t>
      </w:r>
      <w:r w:rsidR="00440C0B" w:rsidRPr="00086A97">
        <w:rPr>
          <w:szCs w:val="20"/>
          <w:lang w:val="en-GB"/>
        </w:rPr>
        <w:t>p</w:t>
      </w:r>
      <w:r w:rsidR="0075146F" w:rsidRPr="00086A97">
        <w:rPr>
          <w:szCs w:val="20"/>
          <w:lang w:val="en-GB"/>
        </w:rPr>
        <w:t xml:space="preserve">pe </w:t>
      </w:r>
      <w:proofErr w:type="spellStart"/>
      <w:r w:rsidR="0075146F" w:rsidRPr="00086A97">
        <w:rPr>
          <w:szCs w:val="20"/>
          <w:lang w:val="en-GB"/>
        </w:rPr>
        <w:t>Chemouny</w:t>
      </w:r>
      <w:proofErr w:type="spellEnd"/>
      <w:r w:rsidR="0075146F" w:rsidRPr="00086A97">
        <w:rPr>
          <w:szCs w:val="20"/>
          <w:lang w:val="en-GB"/>
        </w:rPr>
        <w:t xml:space="preserve"> </w:t>
      </w:r>
      <w:r w:rsidR="009F2279" w:rsidRPr="00086A97">
        <w:rPr>
          <w:szCs w:val="20"/>
          <w:lang w:val="en-GB"/>
        </w:rPr>
        <w:t>(</w:t>
      </w:r>
      <w:r w:rsidR="0075146F" w:rsidRPr="00086A97">
        <w:rPr>
          <w:szCs w:val="20"/>
          <w:lang w:val="en-GB"/>
        </w:rPr>
        <w:t>Canada</w:t>
      </w:r>
      <w:r w:rsidR="009F2279" w:rsidRPr="00086A97">
        <w:rPr>
          <w:szCs w:val="20"/>
          <w:lang w:val="en-GB"/>
        </w:rPr>
        <w:t>)</w:t>
      </w:r>
      <w:r w:rsidR="0075146F" w:rsidRPr="00086A97">
        <w:rPr>
          <w:szCs w:val="20"/>
          <w:lang w:val="en-GB"/>
        </w:rPr>
        <w:t xml:space="preserve"> and </w:t>
      </w:r>
      <w:proofErr w:type="spellStart"/>
      <w:r w:rsidR="0075146F" w:rsidRPr="00086A97">
        <w:rPr>
          <w:szCs w:val="20"/>
          <w:lang w:val="en-GB"/>
        </w:rPr>
        <w:t>Mr.</w:t>
      </w:r>
      <w:proofErr w:type="spellEnd"/>
      <w:r w:rsidR="0075146F" w:rsidRPr="00086A97">
        <w:rPr>
          <w:szCs w:val="20"/>
          <w:lang w:val="en-GB"/>
        </w:rPr>
        <w:t xml:space="preserve"> </w:t>
      </w:r>
      <w:proofErr w:type="spellStart"/>
      <w:r w:rsidR="0075146F" w:rsidRPr="00086A97">
        <w:rPr>
          <w:szCs w:val="20"/>
          <w:lang w:val="en-GB"/>
        </w:rPr>
        <w:t>Obed</w:t>
      </w:r>
      <w:proofErr w:type="spellEnd"/>
      <w:r w:rsidR="0075146F" w:rsidRPr="00086A97">
        <w:rPr>
          <w:szCs w:val="20"/>
          <w:lang w:val="en-GB"/>
        </w:rPr>
        <w:t xml:space="preserve"> </w:t>
      </w:r>
      <w:proofErr w:type="spellStart"/>
      <w:r w:rsidR="00D00BD9" w:rsidRPr="00086A97">
        <w:rPr>
          <w:szCs w:val="20"/>
          <w:lang w:val="en-GB"/>
        </w:rPr>
        <w:t>Balo</w:t>
      </w:r>
      <w:r w:rsidR="00D00BD9">
        <w:rPr>
          <w:szCs w:val="20"/>
          <w:lang w:val="en-GB"/>
        </w:rPr>
        <w:t>yi</w:t>
      </w:r>
      <w:proofErr w:type="spellEnd"/>
      <w:r w:rsidR="00D00BD9" w:rsidRPr="00086A97">
        <w:rPr>
          <w:szCs w:val="20"/>
          <w:lang w:val="en-GB"/>
        </w:rPr>
        <w:t xml:space="preserve"> </w:t>
      </w:r>
      <w:r w:rsidR="009F2279" w:rsidRPr="00086A97">
        <w:rPr>
          <w:szCs w:val="20"/>
          <w:lang w:val="en-GB"/>
        </w:rPr>
        <w:t>(</w:t>
      </w:r>
      <w:r w:rsidR="0075146F" w:rsidRPr="00086A97">
        <w:rPr>
          <w:szCs w:val="20"/>
          <w:lang w:val="en-GB"/>
        </w:rPr>
        <w:t>South Africa</w:t>
      </w:r>
      <w:r w:rsidR="009F2279" w:rsidRPr="00086A97">
        <w:rPr>
          <w:szCs w:val="20"/>
          <w:lang w:val="en-GB"/>
        </w:rPr>
        <w:t>)</w:t>
      </w:r>
      <w:r w:rsidR="00323640" w:rsidRPr="00086A97">
        <w:rPr>
          <w:szCs w:val="20"/>
          <w:lang w:val="en-GB"/>
        </w:rPr>
        <w:t xml:space="preserve"> </w:t>
      </w:r>
      <w:r w:rsidRPr="00086A97">
        <w:rPr>
          <w:lang w:val="en-GB"/>
        </w:rPr>
        <w:t>to discuss the matter further, based on the terms of reference for the study on the 2015–2017 replenishment and taking into account the discussions in plenary.</w:t>
      </w:r>
    </w:p>
    <w:p w14:paraId="3CFCA03F" w14:textId="0AC8FEC5" w:rsidR="007108C9" w:rsidRPr="00086A97" w:rsidRDefault="007108C9" w:rsidP="00A30032">
      <w:pPr>
        <w:pStyle w:val="Normalnumber"/>
        <w:ind w:left="1247" w:firstLine="0"/>
        <w:rPr>
          <w:lang w:val="en-GB"/>
        </w:rPr>
      </w:pPr>
      <w:r w:rsidRPr="00086A97">
        <w:rPr>
          <w:lang w:val="en-GB"/>
        </w:rPr>
        <w:t xml:space="preserve">At a subsequent session, the co-chair of </w:t>
      </w:r>
      <w:r w:rsidRPr="00856B66">
        <w:rPr>
          <w:lang w:val="en-GB"/>
        </w:rPr>
        <w:t>the contact group</w:t>
      </w:r>
      <w:r w:rsidRPr="00086A97">
        <w:rPr>
          <w:lang w:val="en-GB"/>
        </w:rPr>
        <w:t xml:space="preserve"> presented </w:t>
      </w:r>
      <w:r w:rsidR="007E4675" w:rsidRPr="00086A97">
        <w:rPr>
          <w:lang w:val="en-GB"/>
        </w:rPr>
        <w:t xml:space="preserve">draft </w:t>
      </w:r>
      <w:r w:rsidRPr="00086A97">
        <w:rPr>
          <w:lang w:val="en-GB"/>
        </w:rPr>
        <w:t xml:space="preserve">terms of reference for a study on the </w:t>
      </w:r>
      <w:r w:rsidR="007E4675" w:rsidRPr="00086A97">
        <w:rPr>
          <w:lang w:val="en-GB"/>
        </w:rPr>
        <w:t xml:space="preserve">amount of funding needed for the </w:t>
      </w:r>
      <w:r w:rsidRPr="00086A97">
        <w:rPr>
          <w:lang w:val="en-GB"/>
        </w:rPr>
        <w:t>2018–2020 replenishment</w:t>
      </w:r>
      <w:r w:rsidR="007E4675" w:rsidRPr="00086A97">
        <w:rPr>
          <w:lang w:val="en-GB"/>
        </w:rPr>
        <w:t xml:space="preserve"> of the Multilateral Fund, which included square brackets around text relating to a number of matters on which the contact group had not reached agreement. He </w:t>
      </w:r>
      <w:r w:rsidR="00BE64CE" w:rsidRPr="00086A97">
        <w:rPr>
          <w:lang w:val="en-GB"/>
        </w:rPr>
        <w:t>reported</w:t>
      </w:r>
      <w:r w:rsidR="007E4675" w:rsidRPr="00086A97">
        <w:rPr>
          <w:lang w:val="en-GB"/>
        </w:rPr>
        <w:t xml:space="preserve"> </w:t>
      </w:r>
      <w:r w:rsidRPr="00086A97">
        <w:rPr>
          <w:lang w:val="en-GB"/>
        </w:rPr>
        <w:t xml:space="preserve">that the group had </w:t>
      </w:r>
      <w:r w:rsidR="007E4675" w:rsidRPr="00086A97">
        <w:rPr>
          <w:lang w:val="en-GB"/>
        </w:rPr>
        <w:t xml:space="preserve">concluded that </w:t>
      </w:r>
      <w:r w:rsidR="009661F5" w:rsidRPr="00086A97">
        <w:rPr>
          <w:lang w:val="en-GB"/>
        </w:rPr>
        <w:t xml:space="preserve">aligning the replenishment with the cycle for </w:t>
      </w:r>
      <w:r w:rsidR="007E4675" w:rsidRPr="00086A97">
        <w:rPr>
          <w:lang w:val="en-GB"/>
        </w:rPr>
        <w:t>the United Nations scale of assessments was not appropriate in the context of the replenishment of the Multilateral Fund</w:t>
      </w:r>
      <w:r w:rsidR="003A13B2" w:rsidRPr="00086A97">
        <w:rPr>
          <w:lang w:val="en-GB"/>
        </w:rPr>
        <w:t xml:space="preserve">. A number of parties, however, were expected to continue discussing the matter informally </w:t>
      </w:r>
      <w:r w:rsidRPr="00086A97">
        <w:rPr>
          <w:lang w:val="en-GB"/>
        </w:rPr>
        <w:t>in the margins of the current meeting.</w:t>
      </w:r>
    </w:p>
    <w:p w14:paraId="4BF8BC70" w14:textId="264C1B16" w:rsidR="00713DD5" w:rsidRPr="00086A97" w:rsidRDefault="007108C9" w:rsidP="00A30032">
      <w:pPr>
        <w:pStyle w:val="Normalnumber"/>
        <w:ind w:left="1247" w:firstLine="0"/>
        <w:rPr>
          <w:lang w:val="en-GB"/>
        </w:rPr>
      </w:pPr>
      <w:r w:rsidRPr="00086A97">
        <w:rPr>
          <w:lang w:val="en-GB"/>
        </w:rPr>
        <w:t xml:space="preserve">The Open-ended Working Group agreed </w:t>
      </w:r>
      <w:r w:rsidR="00073D1D" w:rsidRPr="00086A97">
        <w:rPr>
          <w:lang w:val="en-GB"/>
        </w:rPr>
        <w:t>to forward</w:t>
      </w:r>
      <w:r w:rsidR="00376426" w:rsidRPr="00086A97">
        <w:rPr>
          <w:lang w:val="en-GB"/>
        </w:rPr>
        <w:t xml:space="preserve"> the draft </w:t>
      </w:r>
      <w:r w:rsidRPr="00086A97">
        <w:rPr>
          <w:lang w:val="en-GB"/>
        </w:rPr>
        <w:t>terms of reference, as revised by the contact group</w:t>
      </w:r>
      <w:r w:rsidR="002D6DF5" w:rsidRPr="00086A97">
        <w:rPr>
          <w:lang w:val="en-GB"/>
        </w:rPr>
        <w:t xml:space="preserve"> and set out in annex VII to the present report</w:t>
      </w:r>
      <w:r w:rsidRPr="00086A97">
        <w:rPr>
          <w:lang w:val="en-GB"/>
        </w:rPr>
        <w:t xml:space="preserve">, </w:t>
      </w:r>
      <w:r w:rsidR="00073D1D" w:rsidRPr="00086A97">
        <w:rPr>
          <w:lang w:val="en-GB"/>
        </w:rPr>
        <w:t xml:space="preserve">for further consideration </w:t>
      </w:r>
      <w:r w:rsidR="00376426" w:rsidRPr="00086A97">
        <w:rPr>
          <w:lang w:val="en-GB"/>
        </w:rPr>
        <w:t xml:space="preserve">by </w:t>
      </w:r>
      <w:r w:rsidRPr="00086A97">
        <w:rPr>
          <w:lang w:val="en-GB"/>
        </w:rPr>
        <w:t>the Twenty-Eighth Meeting of the Parties.</w:t>
      </w:r>
    </w:p>
    <w:p w14:paraId="5DAA70BA" w14:textId="5A4CD49F" w:rsidR="002E41B0" w:rsidRPr="00086A97" w:rsidRDefault="002E41B0" w:rsidP="002E41B0">
      <w:pPr>
        <w:pStyle w:val="CH1"/>
        <w:rPr>
          <w:lang w:val="en-GB"/>
        </w:rPr>
      </w:pPr>
      <w:r w:rsidRPr="00086A97">
        <w:rPr>
          <w:lang w:val="en-GB"/>
        </w:rPr>
        <w:tab/>
      </w:r>
      <w:r w:rsidR="00713DD5" w:rsidRPr="00086A97">
        <w:rPr>
          <w:lang w:val="en-GB"/>
        </w:rPr>
        <w:t>X.</w:t>
      </w:r>
      <w:r w:rsidR="00713DD5" w:rsidRPr="00086A97">
        <w:rPr>
          <w:lang w:val="en-GB"/>
        </w:rPr>
        <w:tab/>
      </w:r>
      <w:r w:rsidRPr="00086A97">
        <w:rPr>
          <w:lang w:val="en-GB"/>
        </w:rPr>
        <w:t>Report by the Technology and Economic Assessment Panel and the Scientific Assessment Panel on analysis of the discrepancies between observed atmospheric concentrations and reported data on carbon tetrachloride (decision XXVII/7)</w:t>
      </w:r>
    </w:p>
    <w:p w14:paraId="6B66C47C" w14:textId="6B6B11CC" w:rsidR="000345B6" w:rsidRPr="00086A97" w:rsidRDefault="000345B6" w:rsidP="00A30032">
      <w:pPr>
        <w:pStyle w:val="Normalnumber"/>
        <w:ind w:left="1247" w:firstLine="0"/>
        <w:rPr>
          <w:lang w:val="en-GB"/>
        </w:rPr>
      </w:pPr>
      <w:r w:rsidRPr="00086A97">
        <w:rPr>
          <w:lang w:val="en-GB"/>
        </w:rPr>
        <w:t xml:space="preserve">Introducing the item, the Co-Chair recalled that the </w:t>
      </w:r>
      <w:r w:rsidR="00942B4B" w:rsidRPr="00086A97">
        <w:rPr>
          <w:lang w:val="en-GB"/>
        </w:rPr>
        <w:t>Meeting of the Parties</w:t>
      </w:r>
      <w:r w:rsidRPr="00086A97">
        <w:rPr>
          <w:lang w:val="en-GB"/>
        </w:rPr>
        <w:t xml:space="preserve">, in decision XXVII/7, had reiterated </w:t>
      </w:r>
      <w:r w:rsidR="00942B4B" w:rsidRPr="00086A97">
        <w:rPr>
          <w:lang w:val="en-GB"/>
        </w:rPr>
        <w:t>its</w:t>
      </w:r>
      <w:r w:rsidRPr="00086A97">
        <w:rPr>
          <w:lang w:val="en-GB"/>
        </w:rPr>
        <w:t xml:space="preserve"> concern about the discrepancies between observed atmospheric concentrations and reported data on </w:t>
      </w:r>
      <w:r w:rsidR="00942B4B" w:rsidRPr="00086A97">
        <w:rPr>
          <w:lang w:val="en-GB"/>
        </w:rPr>
        <w:t xml:space="preserve">the production and consumption of </w:t>
      </w:r>
      <w:r w:rsidRPr="00086A97">
        <w:rPr>
          <w:lang w:val="en-GB"/>
        </w:rPr>
        <w:t xml:space="preserve">carbon tetrachloride and had requested the Technology and Economic Assessment Panel and Scientific Assessment Panel to continue </w:t>
      </w:r>
      <w:r w:rsidR="00942B4B" w:rsidRPr="00086A97">
        <w:rPr>
          <w:lang w:val="en-GB"/>
        </w:rPr>
        <w:t>its analysis of</w:t>
      </w:r>
      <w:r w:rsidRPr="00086A97">
        <w:rPr>
          <w:lang w:val="en-GB"/>
        </w:rPr>
        <w:t xml:space="preserve"> the matter and report on the results to the Twenty-Eighth Meeting of the Parties. </w:t>
      </w:r>
    </w:p>
    <w:p w14:paraId="31592E09" w14:textId="306158C8" w:rsidR="00713DD5" w:rsidRPr="007212A0" w:rsidRDefault="000345B6" w:rsidP="00A30032">
      <w:pPr>
        <w:pStyle w:val="Normalnumber"/>
        <w:ind w:left="1247" w:firstLine="0"/>
        <w:rPr>
          <w:lang w:val="en-GB"/>
        </w:rPr>
      </w:pPr>
      <w:r w:rsidRPr="00086A97">
        <w:rPr>
          <w:lang w:val="en-GB"/>
        </w:rPr>
        <w:t xml:space="preserve">The representative of the Scientific Assessment Panel announced that the report to be presented to the Twenty-Eighth Meeting of the Parties would </w:t>
      </w:r>
      <w:r w:rsidRPr="007212A0">
        <w:rPr>
          <w:lang w:val="en-GB"/>
        </w:rPr>
        <w:t>take into account</w:t>
      </w:r>
      <w:r w:rsidR="006121AE" w:rsidRPr="007212A0">
        <w:rPr>
          <w:lang w:val="en-GB"/>
        </w:rPr>
        <w:t xml:space="preserve"> a report recently released by the World Climate Research Programme under its </w:t>
      </w:r>
      <w:r w:rsidRPr="00370087">
        <w:rPr>
          <w:lang w:val="en-GB"/>
        </w:rPr>
        <w:t>Stratosphere-troposphere processes and their role in climate</w:t>
      </w:r>
      <w:r w:rsidRPr="007212A0">
        <w:rPr>
          <w:lang w:val="en-GB"/>
        </w:rPr>
        <w:t xml:space="preserve"> (SPARC) project, entitled “The mystery of carbon tetrachloride”, </w:t>
      </w:r>
      <w:r w:rsidRPr="00370087">
        <w:rPr>
          <w:lang w:val="en-GB"/>
        </w:rPr>
        <w:t>which had been posted on the meeting portal</w:t>
      </w:r>
      <w:r w:rsidR="0075146F" w:rsidRPr="007212A0">
        <w:rPr>
          <w:lang w:val="en-GB"/>
        </w:rPr>
        <w:t xml:space="preserve"> together with a factsheet on the findings prepared by the S</w:t>
      </w:r>
      <w:r w:rsidR="00DE45F8" w:rsidRPr="007212A0">
        <w:rPr>
          <w:lang w:val="en-GB"/>
        </w:rPr>
        <w:t xml:space="preserve">cientific </w:t>
      </w:r>
      <w:r w:rsidR="0075146F" w:rsidRPr="007212A0">
        <w:rPr>
          <w:lang w:val="en-GB"/>
        </w:rPr>
        <w:t>A</w:t>
      </w:r>
      <w:r w:rsidR="00DE45F8" w:rsidRPr="007212A0">
        <w:rPr>
          <w:lang w:val="en-GB"/>
        </w:rPr>
        <w:t xml:space="preserve">ssessment </w:t>
      </w:r>
      <w:r w:rsidR="0075146F" w:rsidRPr="007212A0">
        <w:rPr>
          <w:lang w:val="en-GB"/>
        </w:rPr>
        <w:t>P</w:t>
      </w:r>
      <w:r w:rsidR="00DE45F8" w:rsidRPr="007212A0">
        <w:rPr>
          <w:lang w:val="en-GB"/>
        </w:rPr>
        <w:t>anel</w:t>
      </w:r>
      <w:r w:rsidRPr="007212A0">
        <w:rPr>
          <w:lang w:val="en-GB"/>
        </w:rPr>
        <w:t>.</w:t>
      </w:r>
    </w:p>
    <w:p w14:paraId="0AB5216C" w14:textId="7DDB20D8" w:rsidR="00CA4969" w:rsidRPr="00086A97" w:rsidRDefault="00CA4969" w:rsidP="00CA4969">
      <w:pPr>
        <w:pStyle w:val="CH1"/>
        <w:rPr>
          <w:lang w:val="en-GB"/>
        </w:rPr>
      </w:pPr>
      <w:r w:rsidRPr="00086A97">
        <w:rPr>
          <w:lang w:val="en-GB"/>
        </w:rPr>
        <w:tab/>
      </w:r>
      <w:r w:rsidR="00713DD5" w:rsidRPr="00086A97">
        <w:rPr>
          <w:lang w:val="en-GB"/>
        </w:rPr>
        <w:t>XI.</w:t>
      </w:r>
      <w:r w:rsidR="00713DD5" w:rsidRPr="00086A97">
        <w:rPr>
          <w:lang w:val="en-GB"/>
        </w:rPr>
        <w:tab/>
      </w:r>
      <w:r w:rsidRPr="00086A97">
        <w:rPr>
          <w:lang w:val="en-GB"/>
        </w:rPr>
        <w:t xml:space="preserve">Destruction of banks of ozone-depleting substances (UNEP/OzL.Pro.27/13, </w:t>
      </w:r>
      <w:proofErr w:type="spellStart"/>
      <w:r w:rsidRPr="00086A97">
        <w:rPr>
          <w:lang w:val="en-GB"/>
        </w:rPr>
        <w:t>para</w:t>
      </w:r>
      <w:proofErr w:type="spellEnd"/>
      <w:r w:rsidRPr="00086A97">
        <w:rPr>
          <w:lang w:val="en-GB"/>
        </w:rPr>
        <w:t>. 114)</w:t>
      </w:r>
    </w:p>
    <w:p w14:paraId="01C661FD" w14:textId="37C33465" w:rsidR="000345B6" w:rsidRPr="00086A97" w:rsidRDefault="000345B6" w:rsidP="00A30032">
      <w:pPr>
        <w:pStyle w:val="Normalnumber"/>
        <w:ind w:left="1247" w:firstLine="0"/>
        <w:rPr>
          <w:lang w:val="en-GB"/>
        </w:rPr>
      </w:pPr>
      <w:r w:rsidRPr="00B307B9">
        <w:rPr>
          <w:sz w:val="24"/>
          <w:lang w:val="en-GB"/>
        </w:rPr>
        <w:t>Introducing the</w:t>
      </w:r>
      <w:r w:rsidRPr="00086A97">
        <w:rPr>
          <w:lang w:val="en-GB"/>
        </w:rPr>
        <w:t xml:space="preserve"> item, the Co-Chair recalled that </w:t>
      </w:r>
      <w:r w:rsidR="007538A4" w:rsidRPr="00086A97">
        <w:rPr>
          <w:lang w:val="en-GB"/>
        </w:rPr>
        <w:t xml:space="preserve">the </w:t>
      </w:r>
      <w:r w:rsidR="00105528" w:rsidRPr="00086A97">
        <w:rPr>
          <w:lang w:val="en-GB"/>
        </w:rPr>
        <w:t>issue of the destruction of ozone</w:t>
      </w:r>
      <w:r w:rsidR="00105528" w:rsidRPr="00086A97">
        <w:rPr>
          <w:lang w:val="en-GB"/>
        </w:rPr>
        <w:noBreakHyphen/>
      </w:r>
      <w:r w:rsidR="007538A4" w:rsidRPr="00086A97">
        <w:rPr>
          <w:lang w:val="en-GB"/>
        </w:rPr>
        <w:t>depleting substance</w:t>
      </w:r>
      <w:r w:rsidR="00105528" w:rsidRPr="00086A97">
        <w:rPr>
          <w:lang w:val="en-GB"/>
        </w:rPr>
        <w:t>s had been raised</w:t>
      </w:r>
      <w:r w:rsidR="007538A4" w:rsidRPr="00086A97">
        <w:rPr>
          <w:lang w:val="en-GB"/>
        </w:rPr>
        <w:t xml:space="preserve"> at the </w:t>
      </w:r>
      <w:r w:rsidR="00F8103D" w:rsidRPr="00086A97">
        <w:rPr>
          <w:lang w:val="en-GB"/>
        </w:rPr>
        <w:t>Twenty-Seventh Meeting of the Parties</w:t>
      </w:r>
      <w:r w:rsidR="007538A4" w:rsidRPr="00086A97">
        <w:rPr>
          <w:lang w:val="en-GB"/>
        </w:rPr>
        <w:t>. The Meeting of the Parties</w:t>
      </w:r>
      <w:r w:rsidR="00F8103D" w:rsidRPr="00086A97">
        <w:rPr>
          <w:lang w:val="en-GB"/>
        </w:rPr>
        <w:t xml:space="preserve"> had not had sufficient time to</w:t>
      </w:r>
      <w:r w:rsidRPr="00086A97">
        <w:rPr>
          <w:lang w:val="en-GB"/>
        </w:rPr>
        <w:t xml:space="preserve"> </w:t>
      </w:r>
      <w:r w:rsidR="00F8103D" w:rsidRPr="00086A97">
        <w:rPr>
          <w:lang w:val="en-GB"/>
        </w:rPr>
        <w:t xml:space="preserve">discuss the </w:t>
      </w:r>
      <w:r w:rsidR="0006257D" w:rsidRPr="00086A97">
        <w:rPr>
          <w:lang w:val="en-GB"/>
        </w:rPr>
        <w:t xml:space="preserve">matter, however, </w:t>
      </w:r>
      <w:r w:rsidR="00F8103D" w:rsidRPr="00086A97">
        <w:rPr>
          <w:lang w:val="en-GB"/>
        </w:rPr>
        <w:t>and had accordingly decided that it should be considered by the Open-ended Working Group</w:t>
      </w:r>
      <w:r w:rsidR="00457111" w:rsidRPr="00086A97">
        <w:rPr>
          <w:lang w:val="en-GB"/>
        </w:rPr>
        <w:t xml:space="preserve"> at a subsequent meeting</w:t>
      </w:r>
      <w:r w:rsidRPr="00086A97">
        <w:rPr>
          <w:lang w:val="en-GB"/>
        </w:rPr>
        <w:t xml:space="preserve">. He drew attention to background information provided by the Secretariat </w:t>
      </w:r>
      <w:r w:rsidR="007538A4" w:rsidRPr="00086A97">
        <w:rPr>
          <w:lang w:val="en-GB"/>
        </w:rPr>
        <w:t>(</w:t>
      </w:r>
      <w:r w:rsidRPr="00086A97">
        <w:rPr>
          <w:lang w:val="en-GB"/>
        </w:rPr>
        <w:t>UNEP/OzL.Pro.WG.1/38/2</w:t>
      </w:r>
      <w:r w:rsidR="007538A4" w:rsidRPr="00086A97">
        <w:rPr>
          <w:lang w:val="en-GB"/>
        </w:rPr>
        <w:t xml:space="preserve">, </w:t>
      </w:r>
      <w:r w:rsidRPr="00086A97">
        <w:rPr>
          <w:lang w:val="en-GB"/>
        </w:rPr>
        <w:t xml:space="preserve">paragraphs 34–37), </w:t>
      </w:r>
      <w:r w:rsidR="00971D5A" w:rsidRPr="00086A97">
        <w:rPr>
          <w:lang w:val="en-GB"/>
        </w:rPr>
        <w:t xml:space="preserve">noting that </w:t>
      </w:r>
      <w:r w:rsidRPr="00086A97">
        <w:rPr>
          <w:lang w:val="en-GB"/>
        </w:rPr>
        <w:t xml:space="preserve">some of </w:t>
      </w:r>
      <w:r w:rsidR="00971D5A" w:rsidRPr="00086A97">
        <w:rPr>
          <w:lang w:val="en-GB"/>
        </w:rPr>
        <w:t xml:space="preserve">it was also relevant </w:t>
      </w:r>
      <w:r w:rsidRPr="00086A97">
        <w:rPr>
          <w:lang w:val="en-GB"/>
        </w:rPr>
        <w:t xml:space="preserve">to the discussion on the </w:t>
      </w:r>
      <w:r w:rsidR="00DF27D3" w:rsidRPr="00086A97">
        <w:rPr>
          <w:lang w:val="en-GB"/>
        </w:rPr>
        <w:t>terms of reference for the study on the 2018</w:t>
      </w:r>
      <w:r w:rsidR="00A3375A" w:rsidRPr="00086A97">
        <w:rPr>
          <w:lang w:val="en-GB"/>
        </w:rPr>
        <w:t>–</w:t>
      </w:r>
      <w:r w:rsidR="00DF27D3" w:rsidRPr="00086A97">
        <w:rPr>
          <w:lang w:val="en-GB"/>
        </w:rPr>
        <w:t xml:space="preserve">2020 replenishment of the </w:t>
      </w:r>
      <w:r w:rsidRPr="00086A97">
        <w:rPr>
          <w:lang w:val="en-GB"/>
        </w:rPr>
        <w:t>Multilateral Fund.</w:t>
      </w:r>
    </w:p>
    <w:p w14:paraId="32A9DE95" w14:textId="54FB95EE" w:rsidR="000345B6" w:rsidRPr="00086A97" w:rsidRDefault="007538A4" w:rsidP="00A30032">
      <w:pPr>
        <w:pStyle w:val="Normalnumber"/>
        <w:ind w:left="1247" w:firstLine="0"/>
        <w:rPr>
          <w:lang w:val="en-GB"/>
        </w:rPr>
      </w:pPr>
      <w:r w:rsidRPr="00086A97">
        <w:rPr>
          <w:lang w:val="en-GB"/>
        </w:rPr>
        <w:t xml:space="preserve">In the ensuing discussion, the </w:t>
      </w:r>
      <w:r w:rsidR="000345B6" w:rsidRPr="00086A97">
        <w:rPr>
          <w:lang w:val="en-GB"/>
        </w:rPr>
        <w:t xml:space="preserve">representative </w:t>
      </w:r>
      <w:r w:rsidRPr="00086A97">
        <w:rPr>
          <w:lang w:val="en-GB"/>
        </w:rPr>
        <w:t xml:space="preserve">of the party that had raised the issue </w:t>
      </w:r>
      <w:r w:rsidR="000345B6" w:rsidRPr="00086A97">
        <w:rPr>
          <w:lang w:val="en-GB"/>
        </w:rPr>
        <w:t xml:space="preserve">at the Twenty-Seventh Meeting of the Parties </w:t>
      </w:r>
      <w:r w:rsidR="00B9561D" w:rsidRPr="00086A97">
        <w:rPr>
          <w:lang w:val="en-GB"/>
        </w:rPr>
        <w:t xml:space="preserve">said that </w:t>
      </w:r>
      <w:r w:rsidR="009F3B24" w:rsidRPr="00086A97">
        <w:rPr>
          <w:lang w:val="en-GB"/>
        </w:rPr>
        <w:t xml:space="preserve">parties needed </w:t>
      </w:r>
      <w:r w:rsidR="000345B6" w:rsidRPr="00086A97">
        <w:rPr>
          <w:lang w:val="en-GB"/>
        </w:rPr>
        <w:t xml:space="preserve">Multilateral Fund support to assist </w:t>
      </w:r>
      <w:r w:rsidR="009F3B24" w:rsidRPr="00086A97">
        <w:rPr>
          <w:lang w:val="en-GB"/>
        </w:rPr>
        <w:t>them</w:t>
      </w:r>
      <w:r w:rsidR="000345B6" w:rsidRPr="00086A97">
        <w:rPr>
          <w:lang w:val="en-GB"/>
        </w:rPr>
        <w:t xml:space="preserve"> in the management and disposal of unwanted refrigerants. </w:t>
      </w:r>
      <w:r w:rsidR="009F3B24" w:rsidRPr="00086A97">
        <w:rPr>
          <w:lang w:val="en-GB"/>
        </w:rPr>
        <w:t xml:space="preserve">She said that while </w:t>
      </w:r>
      <w:r w:rsidR="000345B6" w:rsidRPr="00086A97">
        <w:rPr>
          <w:lang w:val="en-GB"/>
        </w:rPr>
        <w:t xml:space="preserve">support for that purpose was not currently available </w:t>
      </w:r>
      <w:r w:rsidR="009F3B24" w:rsidRPr="00086A97">
        <w:rPr>
          <w:lang w:val="en-GB"/>
        </w:rPr>
        <w:t>from</w:t>
      </w:r>
      <w:r w:rsidR="000345B6" w:rsidRPr="00086A97">
        <w:rPr>
          <w:lang w:val="en-GB"/>
        </w:rPr>
        <w:t xml:space="preserve"> the Multilateral Fund small island developing States and other parties lacking the resources to recover, recycle, destroy or safely transport those substances were keen to discuss the matter further at the current meeting, including bilaterally, adding that it had been under discussion since the First Meeting of the Parties; that pilot projects had been carried out and technologies had been approved; and that it had even been taken into account in the talks on the Dubai pathway on HFCs. Its inclusion in the current agenda gave parties </w:t>
      </w:r>
      <w:r w:rsidR="009F3B24" w:rsidRPr="00086A97">
        <w:rPr>
          <w:lang w:val="en-GB"/>
        </w:rPr>
        <w:t xml:space="preserve">needing such support </w:t>
      </w:r>
      <w:r w:rsidR="000345B6" w:rsidRPr="00086A97">
        <w:rPr>
          <w:lang w:val="en-GB"/>
        </w:rPr>
        <w:t xml:space="preserve">an opportunity to express their concerns and seek guidance, funding and information on sources of support </w:t>
      </w:r>
      <w:r w:rsidR="009F3B24" w:rsidRPr="00086A97">
        <w:rPr>
          <w:lang w:val="en-GB"/>
        </w:rPr>
        <w:t xml:space="preserve">other </w:t>
      </w:r>
      <w:r w:rsidR="000345B6" w:rsidRPr="00086A97">
        <w:rPr>
          <w:lang w:val="en-GB"/>
        </w:rPr>
        <w:t>than the Multilateral Fund. Another representative, speaking on behalf of a group of parties and seconding the previous speaker’s comments, said that there were key lessons to be learned from Multilateral Fund projects under way; that it was important to ensure the institutional and regulatory sustainability of future actions by developing synergies with other multilateral environmental agreements</w:t>
      </w:r>
      <w:r w:rsidR="009F3B24" w:rsidRPr="00086A97">
        <w:rPr>
          <w:lang w:val="en-GB"/>
        </w:rPr>
        <w:t xml:space="preserve"> </w:t>
      </w:r>
      <w:r w:rsidR="00442148" w:rsidRPr="000C0C72">
        <w:rPr>
          <w:lang w:val="en-GB"/>
        </w:rPr>
        <w:t>such as the</w:t>
      </w:r>
      <w:r w:rsidR="00442148" w:rsidRPr="00086A97">
        <w:rPr>
          <w:lang w:val="en-GB"/>
        </w:rPr>
        <w:t xml:space="preserve"> </w:t>
      </w:r>
      <w:r w:rsidR="009767FF" w:rsidRPr="00086A97">
        <w:rPr>
          <w:lang w:val="en-GB"/>
        </w:rPr>
        <w:t xml:space="preserve">Basel Convention on the </w:t>
      </w:r>
      <w:r w:rsidR="00472B4D" w:rsidRPr="00086A97">
        <w:rPr>
          <w:lang w:val="en-GB"/>
        </w:rPr>
        <w:t xml:space="preserve">Control of the </w:t>
      </w:r>
      <w:proofErr w:type="spellStart"/>
      <w:r w:rsidR="009767FF" w:rsidRPr="00086A97">
        <w:rPr>
          <w:lang w:val="en-GB"/>
        </w:rPr>
        <w:t>Transboundary</w:t>
      </w:r>
      <w:proofErr w:type="spellEnd"/>
      <w:r w:rsidR="009767FF" w:rsidRPr="00086A97">
        <w:rPr>
          <w:lang w:val="en-GB"/>
        </w:rPr>
        <w:t xml:space="preserve"> </w:t>
      </w:r>
      <w:r w:rsidR="003432D6" w:rsidRPr="00086A97">
        <w:rPr>
          <w:lang w:val="en-GB"/>
        </w:rPr>
        <w:t>Movemen</w:t>
      </w:r>
      <w:r w:rsidR="003432D6">
        <w:rPr>
          <w:lang w:val="en-GB"/>
        </w:rPr>
        <w:t>ts</w:t>
      </w:r>
      <w:r w:rsidR="003432D6" w:rsidRPr="00086A97">
        <w:rPr>
          <w:lang w:val="en-GB"/>
        </w:rPr>
        <w:t xml:space="preserve"> </w:t>
      </w:r>
      <w:r w:rsidR="009767FF" w:rsidRPr="00086A97">
        <w:rPr>
          <w:lang w:val="en-GB"/>
        </w:rPr>
        <w:t xml:space="preserve">of Hazardous Wastes and </w:t>
      </w:r>
      <w:r w:rsidR="003432D6">
        <w:rPr>
          <w:lang w:val="en-GB"/>
        </w:rPr>
        <w:t>T</w:t>
      </w:r>
      <w:r w:rsidR="003432D6" w:rsidRPr="00086A97">
        <w:rPr>
          <w:lang w:val="en-GB"/>
        </w:rPr>
        <w:t xml:space="preserve">heir </w:t>
      </w:r>
      <w:r w:rsidR="009767FF" w:rsidRPr="00086A97">
        <w:rPr>
          <w:lang w:val="en-GB"/>
        </w:rPr>
        <w:t xml:space="preserve">Disposal </w:t>
      </w:r>
      <w:r w:rsidR="00442148" w:rsidRPr="00086A97">
        <w:rPr>
          <w:lang w:val="en-GB"/>
        </w:rPr>
        <w:t xml:space="preserve">and </w:t>
      </w:r>
      <w:r w:rsidR="009767FF" w:rsidRPr="00086A97">
        <w:rPr>
          <w:lang w:val="en-GB"/>
        </w:rPr>
        <w:t>the Stockholm Convention on Persistent Organic Pollutants</w:t>
      </w:r>
      <w:r w:rsidR="00C814C1" w:rsidRPr="00086A97">
        <w:rPr>
          <w:lang w:val="en-GB"/>
        </w:rPr>
        <w:t>,</w:t>
      </w:r>
      <w:r w:rsidR="009767FF" w:rsidRPr="00086A97">
        <w:rPr>
          <w:lang w:val="en-GB"/>
        </w:rPr>
        <w:t xml:space="preserve"> </w:t>
      </w:r>
      <w:r w:rsidR="00442148" w:rsidRPr="00086A97">
        <w:rPr>
          <w:lang w:val="en-GB"/>
        </w:rPr>
        <w:t xml:space="preserve">as well as the Strategic Approach to International Chemicals Management </w:t>
      </w:r>
      <w:r w:rsidR="009F3B24" w:rsidRPr="00086A97">
        <w:rPr>
          <w:lang w:val="en-GB"/>
        </w:rPr>
        <w:t>and the Global Environment Facility</w:t>
      </w:r>
      <w:r w:rsidR="000345B6" w:rsidRPr="00086A97">
        <w:rPr>
          <w:lang w:val="en-GB"/>
        </w:rPr>
        <w:t xml:space="preserve">; and that her delegation was open to considering options </w:t>
      </w:r>
      <w:r w:rsidR="009F3B24" w:rsidRPr="00086A97">
        <w:rPr>
          <w:lang w:val="en-GB"/>
        </w:rPr>
        <w:t>for providing</w:t>
      </w:r>
      <w:r w:rsidR="000345B6" w:rsidRPr="00086A97">
        <w:rPr>
          <w:lang w:val="en-GB"/>
        </w:rPr>
        <w:t xml:space="preserve"> assistance for capacity-building activities and to discussing the matter informally with others.</w:t>
      </w:r>
    </w:p>
    <w:p w14:paraId="6B017432" w14:textId="66A64856" w:rsidR="00713DD5" w:rsidRPr="00086A97" w:rsidRDefault="000345B6" w:rsidP="00A30032">
      <w:pPr>
        <w:pStyle w:val="Normalnumber"/>
        <w:ind w:left="1247" w:firstLine="0"/>
        <w:rPr>
          <w:lang w:val="en-GB"/>
        </w:rPr>
      </w:pPr>
      <w:r w:rsidRPr="00086A97">
        <w:rPr>
          <w:lang w:val="en-GB"/>
        </w:rPr>
        <w:t xml:space="preserve">The Open-ended Working Group </w:t>
      </w:r>
      <w:r w:rsidR="009F3B24" w:rsidRPr="00086A97">
        <w:rPr>
          <w:lang w:val="en-GB"/>
        </w:rPr>
        <w:t>decided that the contact group</w:t>
      </w:r>
      <w:r w:rsidR="00CE61FA" w:rsidRPr="00086A97">
        <w:rPr>
          <w:lang w:val="en-GB"/>
        </w:rPr>
        <w:t>s</w:t>
      </w:r>
      <w:r w:rsidR="009F3B24" w:rsidRPr="00086A97">
        <w:rPr>
          <w:lang w:val="en-GB"/>
        </w:rPr>
        <w:t xml:space="preserve"> </w:t>
      </w:r>
      <w:r w:rsidR="00CE61FA" w:rsidRPr="00086A97">
        <w:rPr>
          <w:lang w:val="en-GB"/>
        </w:rPr>
        <w:t xml:space="preserve">on HFCs and on </w:t>
      </w:r>
      <w:r w:rsidRPr="00086A97">
        <w:rPr>
          <w:lang w:val="en-GB"/>
        </w:rPr>
        <w:t>the terms of reference for the study on the 2018–2020 replenishment of the Multilateral Fund</w:t>
      </w:r>
      <w:r w:rsidR="009F3B24" w:rsidRPr="00086A97">
        <w:rPr>
          <w:lang w:val="en-GB"/>
        </w:rPr>
        <w:t xml:space="preserve"> should also discuss support for the destruction of ozone-depleting substances</w:t>
      </w:r>
      <w:r w:rsidRPr="00086A97">
        <w:rPr>
          <w:lang w:val="en-GB"/>
        </w:rPr>
        <w:t>.</w:t>
      </w:r>
    </w:p>
    <w:p w14:paraId="30592359" w14:textId="5E6B47A2" w:rsidR="00CA4969" w:rsidRPr="00086A97" w:rsidRDefault="00CA4969" w:rsidP="00CA4969">
      <w:pPr>
        <w:pStyle w:val="CH1"/>
        <w:rPr>
          <w:lang w:val="en-GB"/>
        </w:rPr>
      </w:pPr>
      <w:r w:rsidRPr="00086A97">
        <w:rPr>
          <w:lang w:val="en-GB"/>
        </w:rPr>
        <w:tab/>
        <w:t>XII.</w:t>
      </w:r>
      <w:r w:rsidRPr="00086A97">
        <w:rPr>
          <w:lang w:val="en-GB"/>
        </w:rPr>
        <w:tab/>
      </w:r>
      <w:r w:rsidR="009B105F" w:rsidRPr="00086A97">
        <w:rPr>
          <w:lang w:val="en-GB"/>
        </w:rPr>
        <w:t>Technology and Economic Assessment Panel: organizational matters</w:t>
      </w:r>
    </w:p>
    <w:p w14:paraId="6D8DE188" w14:textId="52C03BA8" w:rsidR="00A730F6" w:rsidRPr="00086A97" w:rsidRDefault="00A730F6" w:rsidP="00A30032">
      <w:pPr>
        <w:pStyle w:val="Normalnumber"/>
        <w:ind w:left="1247" w:firstLine="0"/>
        <w:rPr>
          <w:lang w:val="en-GB"/>
        </w:rPr>
      </w:pPr>
      <w:r w:rsidRPr="00086A97">
        <w:rPr>
          <w:lang w:val="en-GB"/>
        </w:rPr>
        <w:t>Introducing the item, the Co-Chair said that the main issue to be dealt with was membership of the Technology and Economic Assessment Panel, information o</w:t>
      </w:r>
      <w:r w:rsidR="00382B69" w:rsidRPr="00086A97">
        <w:rPr>
          <w:lang w:val="en-GB"/>
        </w:rPr>
        <w:t>n which was presented in annex 1</w:t>
      </w:r>
      <w:r w:rsidRPr="00086A97">
        <w:rPr>
          <w:lang w:val="en-GB"/>
        </w:rPr>
        <w:t xml:space="preserve">, volume 1 of the Panel’s 2016 progress report. In accordance with the terms of reference for membership of the Panel and its technical options committees, the Co-Chair invited parties to </w:t>
      </w:r>
      <w:r w:rsidR="000C356F" w:rsidRPr="00086A97">
        <w:rPr>
          <w:lang w:val="en-GB"/>
        </w:rPr>
        <w:t>submit</w:t>
      </w:r>
      <w:r w:rsidRPr="00086A97">
        <w:rPr>
          <w:lang w:val="en-GB"/>
        </w:rPr>
        <w:t xml:space="preserve"> nominations for membership </w:t>
      </w:r>
      <w:r w:rsidR="00CD0D0E" w:rsidRPr="00086A97">
        <w:rPr>
          <w:lang w:val="en-GB"/>
        </w:rPr>
        <w:t xml:space="preserve">on the Panel </w:t>
      </w:r>
      <w:r w:rsidRPr="00086A97">
        <w:rPr>
          <w:lang w:val="en-GB"/>
        </w:rPr>
        <w:t>for final decision by the Twenty-Eighth Meeting of the Parties</w:t>
      </w:r>
      <w:r w:rsidR="001459BE" w:rsidRPr="00086A97">
        <w:rPr>
          <w:lang w:val="en-GB"/>
        </w:rPr>
        <w:t>.</w:t>
      </w:r>
      <w:r w:rsidR="008E629F" w:rsidRPr="00086A97">
        <w:rPr>
          <w:lang w:val="en-GB"/>
        </w:rPr>
        <w:t xml:space="preserve"> Nominations for Panel membership</w:t>
      </w:r>
      <w:r w:rsidR="000C356F" w:rsidRPr="00086A97">
        <w:rPr>
          <w:lang w:val="en-GB"/>
        </w:rPr>
        <w:t xml:space="preserve"> could be </w:t>
      </w:r>
      <w:r w:rsidR="008E629F" w:rsidRPr="00086A97">
        <w:rPr>
          <w:lang w:val="en-GB"/>
        </w:rPr>
        <w:t xml:space="preserve">made </w:t>
      </w:r>
      <w:r w:rsidRPr="00086A97">
        <w:rPr>
          <w:lang w:val="en-GB"/>
        </w:rPr>
        <w:t xml:space="preserve">during the </w:t>
      </w:r>
      <w:r w:rsidR="000C356F" w:rsidRPr="00086A97">
        <w:rPr>
          <w:lang w:val="en-GB"/>
        </w:rPr>
        <w:t>current meeting</w:t>
      </w:r>
      <w:r w:rsidRPr="00086A97">
        <w:rPr>
          <w:lang w:val="en-GB"/>
        </w:rPr>
        <w:t xml:space="preserve"> or the </w:t>
      </w:r>
      <w:r w:rsidR="00742D30" w:rsidRPr="00086A97">
        <w:rPr>
          <w:lang w:val="en-GB"/>
        </w:rPr>
        <w:t>Twenty</w:t>
      </w:r>
      <w:r w:rsidR="00742D30" w:rsidRPr="00086A97">
        <w:rPr>
          <w:lang w:val="en-GB"/>
        </w:rPr>
        <w:noBreakHyphen/>
      </w:r>
      <w:r w:rsidR="00E05766" w:rsidRPr="00086A97">
        <w:rPr>
          <w:lang w:val="en-GB"/>
        </w:rPr>
        <w:t xml:space="preserve">Eighth </w:t>
      </w:r>
      <w:r w:rsidRPr="00086A97">
        <w:rPr>
          <w:lang w:val="en-GB"/>
        </w:rPr>
        <w:t>Meeting of the Parties</w:t>
      </w:r>
      <w:r w:rsidR="00B66AF7" w:rsidRPr="00086A97">
        <w:rPr>
          <w:lang w:val="en-GB"/>
        </w:rPr>
        <w:t xml:space="preserve">, </w:t>
      </w:r>
      <w:r w:rsidR="007913EA" w:rsidRPr="00086A97">
        <w:rPr>
          <w:lang w:val="en-GB"/>
        </w:rPr>
        <w:t xml:space="preserve">and </w:t>
      </w:r>
      <w:r w:rsidR="008E629F" w:rsidRPr="00086A97">
        <w:rPr>
          <w:lang w:val="en-GB"/>
        </w:rPr>
        <w:t xml:space="preserve">nominations to </w:t>
      </w:r>
      <w:r w:rsidR="00CD0D0E" w:rsidRPr="00086A97">
        <w:rPr>
          <w:lang w:val="en-GB"/>
        </w:rPr>
        <w:t>the Panel’s technical options committees</w:t>
      </w:r>
      <w:r w:rsidR="007913EA" w:rsidRPr="00086A97">
        <w:rPr>
          <w:lang w:val="en-GB"/>
        </w:rPr>
        <w:t xml:space="preserve"> </w:t>
      </w:r>
      <w:r w:rsidR="008E629F" w:rsidRPr="00086A97">
        <w:rPr>
          <w:lang w:val="en-GB"/>
        </w:rPr>
        <w:t xml:space="preserve">could be made </w:t>
      </w:r>
      <w:r w:rsidRPr="00086A97">
        <w:rPr>
          <w:lang w:val="en-GB"/>
        </w:rPr>
        <w:t>directly to the Technology and Economic Assessment Panel or through the Ozone Secretariat</w:t>
      </w:r>
      <w:r w:rsidR="007913EA" w:rsidRPr="00086A97">
        <w:rPr>
          <w:lang w:val="en-GB"/>
        </w:rPr>
        <w:t xml:space="preserve"> at any time</w:t>
      </w:r>
      <w:r w:rsidRPr="00086A97">
        <w:rPr>
          <w:lang w:val="en-GB"/>
        </w:rPr>
        <w:t xml:space="preserve">. </w:t>
      </w:r>
    </w:p>
    <w:p w14:paraId="0A6FB7FA" w14:textId="3EF05754" w:rsidR="00A730F6" w:rsidRPr="00086A97" w:rsidRDefault="00A730F6" w:rsidP="00A30032">
      <w:pPr>
        <w:pStyle w:val="Normalnumber"/>
        <w:ind w:left="1247" w:firstLine="0"/>
        <w:rPr>
          <w:lang w:val="en-GB"/>
        </w:rPr>
      </w:pPr>
      <w:r w:rsidRPr="00086A97">
        <w:rPr>
          <w:lang w:val="en-GB"/>
        </w:rPr>
        <w:t xml:space="preserve">One representative, speaking on behalf of a group of </w:t>
      </w:r>
      <w:r w:rsidR="004E448E" w:rsidRPr="00086A97">
        <w:rPr>
          <w:lang w:val="en-GB"/>
        </w:rPr>
        <w:t>parties</w:t>
      </w:r>
      <w:r w:rsidRPr="00086A97">
        <w:rPr>
          <w:lang w:val="en-GB"/>
        </w:rPr>
        <w:t xml:space="preserve">, said that all </w:t>
      </w:r>
      <w:r w:rsidR="00B66AF7" w:rsidRPr="00086A97">
        <w:rPr>
          <w:lang w:val="en-GB"/>
        </w:rPr>
        <w:t>persons nominated</w:t>
      </w:r>
      <w:r w:rsidRPr="00086A97">
        <w:rPr>
          <w:lang w:val="en-GB"/>
        </w:rPr>
        <w:t xml:space="preserve"> should have the level </w:t>
      </w:r>
      <w:r w:rsidR="007913EA" w:rsidRPr="00086A97">
        <w:rPr>
          <w:lang w:val="en-GB"/>
        </w:rPr>
        <w:t xml:space="preserve">and type </w:t>
      </w:r>
      <w:r w:rsidRPr="00086A97">
        <w:rPr>
          <w:lang w:val="en-GB"/>
        </w:rPr>
        <w:t xml:space="preserve">of expertise required </w:t>
      </w:r>
      <w:r w:rsidR="00B66AF7" w:rsidRPr="00086A97">
        <w:rPr>
          <w:lang w:val="en-GB"/>
        </w:rPr>
        <w:t>for Panel membership</w:t>
      </w:r>
      <w:r w:rsidR="007913EA" w:rsidRPr="00086A97">
        <w:rPr>
          <w:lang w:val="en-GB"/>
        </w:rPr>
        <w:t xml:space="preserve"> </w:t>
      </w:r>
      <w:r w:rsidRPr="00086A97">
        <w:rPr>
          <w:lang w:val="en-GB"/>
        </w:rPr>
        <w:t xml:space="preserve">and </w:t>
      </w:r>
      <w:r w:rsidR="00B66AF7" w:rsidRPr="00086A97">
        <w:rPr>
          <w:lang w:val="en-GB"/>
        </w:rPr>
        <w:t xml:space="preserve">that </w:t>
      </w:r>
      <w:r w:rsidRPr="00086A97">
        <w:rPr>
          <w:lang w:val="en-GB"/>
        </w:rPr>
        <w:t xml:space="preserve">the final selection of members should take account of the requisite regional and gender balance. </w:t>
      </w:r>
    </w:p>
    <w:p w14:paraId="66ADD5EF" w14:textId="1D2155C1" w:rsidR="00CA4969" w:rsidRPr="00086A97" w:rsidRDefault="00A730F6" w:rsidP="00A30032">
      <w:pPr>
        <w:pStyle w:val="Normalnumber"/>
        <w:ind w:left="1247" w:firstLine="0"/>
        <w:rPr>
          <w:lang w:val="en-GB"/>
        </w:rPr>
      </w:pPr>
      <w:r w:rsidRPr="00086A97">
        <w:rPr>
          <w:lang w:val="en-GB"/>
        </w:rPr>
        <w:t>The Working Group agreed to the way forward proposed by the Co-Chair.</w:t>
      </w:r>
    </w:p>
    <w:p w14:paraId="1F404B7B" w14:textId="3DBA5B65" w:rsidR="009B105F" w:rsidRPr="00086A97" w:rsidRDefault="009B105F" w:rsidP="000A6ED3">
      <w:pPr>
        <w:pStyle w:val="CH1"/>
        <w:rPr>
          <w:lang w:val="en-GB"/>
        </w:rPr>
      </w:pPr>
      <w:r w:rsidRPr="00086A97">
        <w:rPr>
          <w:lang w:val="en-GB"/>
        </w:rPr>
        <w:tab/>
      </w:r>
      <w:r w:rsidR="00CA4969" w:rsidRPr="00086A97">
        <w:rPr>
          <w:lang w:val="en-GB"/>
        </w:rPr>
        <w:t>XIII.</w:t>
      </w:r>
      <w:r w:rsidR="00CA4969" w:rsidRPr="00086A97">
        <w:rPr>
          <w:lang w:val="en-GB"/>
        </w:rPr>
        <w:tab/>
      </w:r>
      <w:r w:rsidR="000E05F3" w:rsidRPr="00086A97">
        <w:rPr>
          <w:lang w:val="en-GB"/>
        </w:rPr>
        <w:t>Other matters</w:t>
      </w:r>
    </w:p>
    <w:p w14:paraId="79529756" w14:textId="143203BB" w:rsidR="00A730F6" w:rsidRPr="00086A97" w:rsidRDefault="00A730F6" w:rsidP="000A6ED3">
      <w:pPr>
        <w:pStyle w:val="CH2"/>
        <w:rPr>
          <w:lang w:val="en-GB"/>
        </w:rPr>
      </w:pPr>
      <w:r w:rsidRPr="00086A97">
        <w:rPr>
          <w:lang w:val="en-GB"/>
        </w:rPr>
        <w:tab/>
      </w:r>
      <w:r w:rsidRPr="00086A97">
        <w:rPr>
          <w:lang w:val="en-GB"/>
        </w:rPr>
        <w:tab/>
        <w:t>Proposal to establish an ad hoc standards coordination group</w:t>
      </w:r>
    </w:p>
    <w:p w14:paraId="4A6DF91B" w14:textId="77777777" w:rsidR="00A730F6" w:rsidRPr="00086A97" w:rsidRDefault="00A730F6" w:rsidP="00A30032">
      <w:pPr>
        <w:pStyle w:val="Normalnumber"/>
        <w:ind w:left="1247" w:firstLine="0"/>
        <w:rPr>
          <w:lang w:val="en-GB"/>
        </w:rPr>
      </w:pPr>
      <w:r w:rsidRPr="00086A97">
        <w:rPr>
          <w:lang w:val="en-GB"/>
        </w:rPr>
        <w:t>The Co-Chair introduced the agenda item.</w:t>
      </w:r>
    </w:p>
    <w:p w14:paraId="5D90A027" w14:textId="52B3BFAD" w:rsidR="00A730F6" w:rsidRPr="00086A97" w:rsidRDefault="00D7537C" w:rsidP="00A30032">
      <w:pPr>
        <w:pStyle w:val="Normalnumber"/>
        <w:ind w:left="1247" w:firstLine="0"/>
        <w:rPr>
          <w:lang w:val="en-GB"/>
        </w:rPr>
      </w:pPr>
      <w:r w:rsidRPr="00086A97">
        <w:rPr>
          <w:lang w:val="en-GB"/>
        </w:rPr>
        <w:t>T</w:t>
      </w:r>
      <w:r w:rsidR="00A730F6" w:rsidRPr="00086A97">
        <w:rPr>
          <w:lang w:val="en-GB"/>
        </w:rPr>
        <w:t xml:space="preserve">he representative of China introduced a conference room paper containing a draft </w:t>
      </w:r>
      <w:r w:rsidRPr="00086A97">
        <w:rPr>
          <w:lang w:val="en-GB"/>
        </w:rPr>
        <w:t xml:space="preserve">decision that would </w:t>
      </w:r>
      <w:r w:rsidR="00A730F6" w:rsidRPr="00086A97">
        <w:rPr>
          <w:lang w:val="en-GB"/>
        </w:rPr>
        <w:t>establish an ad hoc standards coordination group. The aim of the initiative was to improve coordination with relevant international and regional standards b</w:t>
      </w:r>
      <w:r w:rsidRPr="00086A97">
        <w:rPr>
          <w:lang w:val="en-GB"/>
        </w:rPr>
        <w:t>odies on the revision and updating</w:t>
      </w:r>
      <w:r w:rsidR="00A730F6" w:rsidRPr="00086A97">
        <w:rPr>
          <w:lang w:val="en-GB"/>
        </w:rPr>
        <w:t xml:space="preserve"> of international safety standards pertaining to the use of alternative substances, including flammable refrigerants</w:t>
      </w:r>
      <w:r w:rsidRPr="00086A97">
        <w:rPr>
          <w:lang w:val="en-GB"/>
        </w:rPr>
        <w:t>,</w:t>
      </w:r>
      <w:r w:rsidR="00A730F6" w:rsidRPr="00086A97">
        <w:rPr>
          <w:lang w:val="en-GB"/>
        </w:rPr>
        <w:t xml:space="preserve"> in refrigeration and air-conditioning products and equipment. The issue of safety standards had implicat</w:t>
      </w:r>
      <w:r w:rsidRPr="00086A97">
        <w:rPr>
          <w:lang w:val="en-GB"/>
        </w:rPr>
        <w:t>ions for the phasedown of HFCs</w:t>
      </w:r>
      <w:r w:rsidR="00A730F6" w:rsidRPr="00086A97">
        <w:rPr>
          <w:lang w:val="en-GB"/>
        </w:rPr>
        <w:t xml:space="preserve"> and was one of the major challenges identified in the Dubai pathway. The proposed ad hoc standards coordination group would keep parties apprised of progress being made in the revision of standards, including through a proposed workshop on standardization to be held in 2017.</w:t>
      </w:r>
    </w:p>
    <w:p w14:paraId="554A58E1" w14:textId="7063D82E" w:rsidR="00A730F6" w:rsidRPr="00086A97" w:rsidRDefault="00A730F6" w:rsidP="00A30032">
      <w:pPr>
        <w:pStyle w:val="Normalnumber"/>
        <w:ind w:left="1247" w:firstLine="0"/>
        <w:rPr>
          <w:lang w:val="en-GB"/>
        </w:rPr>
      </w:pPr>
      <w:r w:rsidRPr="00086A97">
        <w:rPr>
          <w:lang w:val="en-GB"/>
        </w:rPr>
        <w:t>In</w:t>
      </w:r>
      <w:r w:rsidR="00F84095" w:rsidRPr="00086A97">
        <w:rPr>
          <w:lang w:val="en-GB"/>
        </w:rPr>
        <w:t xml:space="preserve"> the ensuing discussion</w:t>
      </w:r>
      <w:r w:rsidRPr="00086A97">
        <w:rPr>
          <w:lang w:val="en-GB"/>
        </w:rPr>
        <w:t xml:space="preserve"> many representatives thanked China for taking the initiative on the matter </w:t>
      </w:r>
      <w:r w:rsidRPr="00F74400">
        <w:rPr>
          <w:lang w:val="en-GB"/>
        </w:rPr>
        <w:t>and expressed</w:t>
      </w:r>
      <w:r w:rsidRPr="00086A97">
        <w:rPr>
          <w:lang w:val="en-GB"/>
        </w:rPr>
        <w:t xml:space="preserve"> interest in engaging in further discussion on the </w:t>
      </w:r>
      <w:r w:rsidR="00276A79" w:rsidRPr="00086A97">
        <w:rPr>
          <w:lang w:val="en-GB"/>
        </w:rPr>
        <w:t>draft decision</w:t>
      </w:r>
      <w:r w:rsidRPr="00086A97">
        <w:rPr>
          <w:lang w:val="en-GB"/>
        </w:rPr>
        <w:t>. A number of representatives said that international safety standards should take account of changes in technology and be updated accordingly</w:t>
      </w:r>
      <w:r w:rsidR="00276A79" w:rsidRPr="00086A97">
        <w:rPr>
          <w:lang w:val="en-GB"/>
        </w:rPr>
        <w:t xml:space="preserve"> while continuing to ensure the safety of </w:t>
      </w:r>
      <w:r w:rsidRPr="00086A97">
        <w:rPr>
          <w:lang w:val="en-GB"/>
        </w:rPr>
        <w:t xml:space="preserve">workers and the public. One representative said that significant work had been undertaken in recent years on applications and technologies that </w:t>
      </w:r>
      <w:r w:rsidR="00276A79" w:rsidRPr="00086A97">
        <w:rPr>
          <w:lang w:val="en-GB"/>
        </w:rPr>
        <w:t>involved flammable alternatives</w:t>
      </w:r>
      <w:r w:rsidRPr="00086A97">
        <w:rPr>
          <w:lang w:val="en-GB"/>
        </w:rPr>
        <w:t xml:space="preserve"> and </w:t>
      </w:r>
      <w:r w:rsidR="00276A79" w:rsidRPr="00086A97">
        <w:rPr>
          <w:lang w:val="en-GB"/>
        </w:rPr>
        <w:t xml:space="preserve">that </w:t>
      </w:r>
      <w:r w:rsidRPr="00086A97">
        <w:rPr>
          <w:lang w:val="en-GB"/>
        </w:rPr>
        <w:t>it was timely and appropriate for those advances to be incorporated into international safety standards. He stressed that the aim wa</w:t>
      </w:r>
      <w:r w:rsidR="00276A79" w:rsidRPr="00086A97">
        <w:rPr>
          <w:lang w:val="en-GB"/>
        </w:rPr>
        <w:t>s not to lower safety standards</w:t>
      </w:r>
      <w:r w:rsidRPr="00086A97">
        <w:rPr>
          <w:lang w:val="en-GB"/>
        </w:rPr>
        <w:t xml:space="preserve"> but rather to adapt them to the technologic</w:t>
      </w:r>
      <w:r w:rsidR="00276A79" w:rsidRPr="00086A97">
        <w:rPr>
          <w:lang w:val="en-GB"/>
        </w:rPr>
        <w:t>al advances</w:t>
      </w:r>
      <w:r w:rsidRPr="00086A97">
        <w:rPr>
          <w:lang w:val="en-GB"/>
        </w:rPr>
        <w:t xml:space="preserve">. One representative said that </w:t>
      </w:r>
      <w:r w:rsidR="00276A79" w:rsidRPr="00086A97">
        <w:rPr>
          <w:lang w:val="en-GB"/>
        </w:rPr>
        <w:t>it was necessary to take account of</w:t>
      </w:r>
      <w:r w:rsidRPr="00086A97">
        <w:rPr>
          <w:lang w:val="en-GB"/>
        </w:rPr>
        <w:t xml:space="preserve"> existing work on standards per</w:t>
      </w:r>
      <w:r w:rsidR="00276A79" w:rsidRPr="00086A97">
        <w:rPr>
          <w:lang w:val="en-GB"/>
        </w:rPr>
        <w:t>taining to low-GWP alternatives</w:t>
      </w:r>
      <w:r w:rsidRPr="00086A97">
        <w:rPr>
          <w:lang w:val="en-GB"/>
        </w:rPr>
        <w:t xml:space="preserve"> and that care needed to be taken in defining the role of </w:t>
      </w:r>
      <w:r w:rsidR="0063189E" w:rsidRPr="00086A97">
        <w:rPr>
          <w:lang w:val="en-GB"/>
        </w:rPr>
        <w:t xml:space="preserve">the </w:t>
      </w:r>
      <w:r w:rsidRPr="00086A97">
        <w:rPr>
          <w:lang w:val="en-GB"/>
        </w:rPr>
        <w:t>parties to the Montreal Protocol in any possible coordinating activities on international standard setting. One representative said that int</w:t>
      </w:r>
      <w:r w:rsidR="00276A79" w:rsidRPr="00086A97">
        <w:rPr>
          <w:lang w:val="en-GB"/>
        </w:rPr>
        <w:t>ernational safety standards merely set</w:t>
      </w:r>
      <w:r w:rsidRPr="00086A97">
        <w:rPr>
          <w:lang w:val="en-GB"/>
        </w:rPr>
        <w:t xml:space="preserve"> benchmark</w:t>
      </w:r>
      <w:r w:rsidR="00276A79" w:rsidRPr="00086A97">
        <w:rPr>
          <w:lang w:val="en-GB"/>
        </w:rPr>
        <w:t xml:space="preserve">s and that it was therefore critical to incorporate them </w:t>
      </w:r>
      <w:r w:rsidRPr="00086A97">
        <w:rPr>
          <w:lang w:val="en-GB"/>
        </w:rPr>
        <w:t>into national legislation.</w:t>
      </w:r>
    </w:p>
    <w:p w14:paraId="677A7DF8" w14:textId="383CE5EC" w:rsidR="00A730F6" w:rsidRPr="00086A97" w:rsidRDefault="00A730F6" w:rsidP="00A30032">
      <w:pPr>
        <w:pStyle w:val="Normalnumber"/>
        <w:ind w:left="1247" w:firstLine="0"/>
        <w:rPr>
          <w:lang w:val="en-GB"/>
        </w:rPr>
      </w:pPr>
      <w:r w:rsidRPr="00086A97">
        <w:rPr>
          <w:lang w:val="en-GB"/>
        </w:rPr>
        <w:t xml:space="preserve">Some representatives, including one speaking on behalf of a group of </w:t>
      </w:r>
      <w:r w:rsidR="004E448E" w:rsidRPr="00086A97">
        <w:rPr>
          <w:lang w:val="en-GB"/>
        </w:rPr>
        <w:t>parties</w:t>
      </w:r>
      <w:r w:rsidRPr="00086A97">
        <w:rPr>
          <w:lang w:val="en-GB"/>
        </w:rPr>
        <w:t>, welcomed the suggestion of a workshop in order to exchange ideas on the issue and to discuss how to move forward while keeping within the mandate of the Montreal Protocol.</w:t>
      </w:r>
    </w:p>
    <w:p w14:paraId="5CCF35A1" w14:textId="19CBD6EF" w:rsidR="00A730F6" w:rsidRPr="00086A97" w:rsidRDefault="00A730F6" w:rsidP="00A30032">
      <w:pPr>
        <w:pStyle w:val="Normalnumber"/>
        <w:ind w:left="1247" w:firstLine="0"/>
        <w:rPr>
          <w:lang w:val="en-GB"/>
        </w:rPr>
      </w:pPr>
      <w:r w:rsidRPr="00086A97">
        <w:rPr>
          <w:lang w:val="en-GB"/>
        </w:rPr>
        <w:t xml:space="preserve">Several representatives urged that a cautious approach be adopted in any deliberations dealing with safety standards, with safety considerations </w:t>
      </w:r>
      <w:r w:rsidR="00DC68FD" w:rsidRPr="00086A97">
        <w:rPr>
          <w:lang w:val="en-GB"/>
        </w:rPr>
        <w:t xml:space="preserve">remaining </w:t>
      </w:r>
      <w:r w:rsidRPr="00086A97">
        <w:rPr>
          <w:lang w:val="en-GB"/>
        </w:rPr>
        <w:t xml:space="preserve">paramount. One representative said that standards should not be lowered for the mere purpose of facilitating market access for certain products. </w:t>
      </w:r>
    </w:p>
    <w:p w14:paraId="58B51457" w14:textId="5DC5D368" w:rsidR="00A730F6" w:rsidRPr="00086A97" w:rsidRDefault="00A730F6" w:rsidP="00A30032">
      <w:pPr>
        <w:pStyle w:val="Normalnumber"/>
        <w:ind w:left="1247" w:firstLine="0"/>
        <w:rPr>
          <w:lang w:val="en-GB"/>
        </w:rPr>
      </w:pPr>
      <w:r w:rsidRPr="00086A97">
        <w:rPr>
          <w:lang w:val="en-GB"/>
        </w:rPr>
        <w:t xml:space="preserve">The representative of China, responding to some of the issues raised, expressed satisfaction at the </w:t>
      </w:r>
      <w:r w:rsidR="00DC68FD" w:rsidRPr="00086A97">
        <w:rPr>
          <w:lang w:val="en-GB"/>
        </w:rPr>
        <w:t>level</w:t>
      </w:r>
      <w:r w:rsidRPr="00086A97">
        <w:rPr>
          <w:lang w:val="en-GB"/>
        </w:rPr>
        <w:t xml:space="preserve"> of interest in the </w:t>
      </w:r>
      <w:r w:rsidR="00DC68FD" w:rsidRPr="00086A97">
        <w:rPr>
          <w:lang w:val="en-GB"/>
        </w:rPr>
        <w:t>matter</w:t>
      </w:r>
      <w:r w:rsidRPr="00086A97">
        <w:rPr>
          <w:lang w:val="en-GB"/>
        </w:rPr>
        <w:t xml:space="preserve">. She stressed that the </w:t>
      </w:r>
      <w:r w:rsidR="00DC68FD" w:rsidRPr="00086A97">
        <w:rPr>
          <w:lang w:val="en-GB"/>
        </w:rPr>
        <w:t>aim</w:t>
      </w:r>
      <w:r w:rsidRPr="00086A97">
        <w:rPr>
          <w:lang w:val="en-GB"/>
        </w:rPr>
        <w:t xml:space="preserve"> was not to lower safety standards but to assist the transition to low-GWP alternatives and to ensure their safe use. Considerable work was being undertaken on low-GWP technologies along with related risk assessments, and it was important to engage with international safety standards organizations, including </w:t>
      </w:r>
      <w:r w:rsidR="00EA6A44" w:rsidRPr="00086A97">
        <w:rPr>
          <w:lang w:val="en-GB"/>
        </w:rPr>
        <w:t>the International Standards Organization</w:t>
      </w:r>
      <w:r w:rsidRPr="00086A97">
        <w:rPr>
          <w:lang w:val="en-GB"/>
        </w:rPr>
        <w:t xml:space="preserve">, so that relevant standards could be revised in an efficient and timely manner, </w:t>
      </w:r>
      <w:r w:rsidR="00DC68FD" w:rsidRPr="00086A97">
        <w:rPr>
          <w:lang w:val="en-GB"/>
        </w:rPr>
        <w:t>thus helping</w:t>
      </w:r>
      <w:r w:rsidRPr="00086A97">
        <w:rPr>
          <w:lang w:val="en-GB"/>
        </w:rPr>
        <w:t xml:space="preserve"> parties to fulfil their obligations under the Montreal Protocol.</w:t>
      </w:r>
    </w:p>
    <w:p w14:paraId="10BFE8B4" w14:textId="54CD1F1F" w:rsidR="00A730F6" w:rsidRPr="00086A97" w:rsidRDefault="00A730F6" w:rsidP="00A30032">
      <w:pPr>
        <w:pStyle w:val="Normalnumber"/>
        <w:ind w:left="1247" w:firstLine="0"/>
        <w:rPr>
          <w:lang w:val="en-GB"/>
        </w:rPr>
      </w:pPr>
      <w:r w:rsidRPr="00086A97">
        <w:rPr>
          <w:lang w:val="en-GB"/>
        </w:rPr>
        <w:t xml:space="preserve">In response, </w:t>
      </w:r>
      <w:r w:rsidR="00A81261" w:rsidRPr="00086A97">
        <w:rPr>
          <w:lang w:val="en-GB"/>
        </w:rPr>
        <w:t>several</w:t>
      </w:r>
      <w:r w:rsidRPr="00086A97">
        <w:rPr>
          <w:lang w:val="en-GB"/>
        </w:rPr>
        <w:t xml:space="preserve"> representatives expressed further concern over the s</w:t>
      </w:r>
      <w:r w:rsidR="00A81261" w:rsidRPr="00086A97">
        <w:rPr>
          <w:lang w:val="en-GB"/>
        </w:rPr>
        <w:t>afety aspects of the initiative</w:t>
      </w:r>
      <w:r w:rsidRPr="00086A97">
        <w:rPr>
          <w:lang w:val="en-GB"/>
        </w:rPr>
        <w:t xml:space="preserve"> and said that the </w:t>
      </w:r>
      <w:r w:rsidR="00A81261" w:rsidRPr="00086A97">
        <w:rPr>
          <w:lang w:val="en-GB"/>
        </w:rPr>
        <w:t xml:space="preserve">draft decision </w:t>
      </w:r>
      <w:r w:rsidRPr="00086A97">
        <w:rPr>
          <w:lang w:val="en-GB"/>
        </w:rPr>
        <w:t xml:space="preserve">needed to be revised to accommodate </w:t>
      </w:r>
      <w:r w:rsidR="00A81261" w:rsidRPr="00086A97">
        <w:rPr>
          <w:lang w:val="en-GB"/>
        </w:rPr>
        <w:t>their</w:t>
      </w:r>
      <w:r w:rsidRPr="00086A97">
        <w:rPr>
          <w:lang w:val="en-GB"/>
        </w:rPr>
        <w:t xml:space="preserve"> concerns. One representative said that any lowering of safety standards was not acceptable</w:t>
      </w:r>
      <w:r w:rsidR="00FA42A0">
        <w:rPr>
          <w:lang w:val="en-GB"/>
        </w:rPr>
        <w:t xml:space="preserve"> if safety itself w</w:t>
      </w:r>
      <w:r w:rsidR="006628AB">
        <w:rPr>
          <w:lang w:val="en-GB"/>
        </w:rPr>
        <w:t xml:space="preserve">ould </w:t>
      </w:r>
      <w:r w:rsidR="00FA42A0">
        <w:rPr>
          <w:lang w:val="en-GB"/>
        </w:rPr>
        <w:t>be compromised</w:t>
      </w:r>
      <w:r w:rsidRPr="00086A97">
        <w:rPr>
          <w:lang w:val="en-GB"/>
        </w:rPr>
        <w:t xml:space="preserve">. </w:t>
      </w:r>
    </w:p>
    <w:p w14:paraId="3BF1E86A" w14:textId="49507E74" w:rsidR="00A730F6" w:rsidRPr="00086A97" w:rsidRDefault="00A730F6" w:rsidP="00A30032">
      <w:pPr>
        <w:pStyle w:val="Normalnumber"/>
        <w:ind w:left="1247" w:firstLine="0"/>
        <w:rPr>
          <w:lang w:val="en-GB"/>
        </w:rPr>
      </w:pPr>
      <w:r w:rsidRPr="00086A97">
        <w:rPr>
          <w:lang w:val="en-GB"/>
        </w:rPr>
        <w:t xml:space="preserve">The Working Group </w:t>
      </w:r>
      <w:r w:rsidR="00A81261" w:rsidRPr="00086A97">
        <w:rPr>
          <w:lang w:val="en-GB"/>
        </w:rPr>
        <w:t>decided</w:t>
      </w:r>
      <w:r w:rsidRPr="00086A97">
        <w:rPr>
          <w:lang w:val="en-GB"/>
        </w:rPr>
        <w:t xml:space="preserve"> that interested parties </w:t>
      </w:r>
      <w:r w:rsidR="00A81261" w:rsidRPr="00086A97">
        <w:rPr>
          <w:lang w:val="en-GB"/>
        </w:rPr>
        <w:t xml:space="preserve">would </w:t>
      </w:r>
      <w:r w:rsidRPr="00086A97">
        <w:rPr>
          <w:lang w:val="en-GB"/>
        </w:rPr>
        <w:t>discuss</w:t>
      </w:r>
      <w:r w:rsidR="00A81261" w:rsidRPr="00086A97">
        <w:rPr>
          <w:lang w:val="en-GB"/>
        </w:rPr>
        <w:t xml:space="preserve"> the matter informally and report to the Open-ended Working Group on the results of their discussions</w:t>
      </w:r>
      <w:r w:rsidRPr="00086A97">
        <w:rPr>
          <w:lang w:val="en-GB"/>
        </w:rPr>
        <w:t>.</w:t>
      </w:r>
    </w:p>
    <w:p w14:paraId="0EB5D9D3" w14:textId="3038E57B" w:rsidR="00CA4969" w:rsidRPr="00086A97" w:rsidRDefault="00563F16" w:rsidP="00A30032">
      <w:pPr>
        <w:pStyle w:val="Normalnumber"/>
        <w:ind w:left="1247" w:firstLine="0"/>
        <w:rPr>
          <w:lang w:val="en-GB"/>
        </w:rPr>
      </w:pPr>
      <w:r w:rsidRPr="00086A97">
        <w:rPr>
          <w:lang w:val="en-GB"/>
        </w:rPr>
        <w:t xml:space="preserve">Subsequently, the representative of China introduced a revised version of the draft decision, </w:t>
      </w:r>
      <w:r w:rsidR="00FB5471">
        <w:rPr>
          <w:lang w:val="en-GB"/>
        </w:rPr>
        <w:t>saying that it</w:t>
      </w:r>
      <w:r w:rsidR="001130AD" w:rsidRPr="00086A97">
        <w:rPr>
          <w:lang w:val="en-GB"/>
        </w:rPr>
        <w:t xml:space="preserve"> </w:t>
      </w:r>
      <w:r w:rsidRPr="00086A97">
        <w:rPr>
          <w:lang w:val="en-GB"/>
        </w:rPr>
        <w:t xml:space="preserve">had been produced to reflect the comments of interested parties. Several representatives indicated that it would be necessary for parties to consult at the national level regarding the </w:t>
      </w:r>
      <w:r w:rsidR="002268D9" w:rsidRPr="00086A97">
        <w:rPr>
          <w:lang w:val="en-GB"/>
        </w:rPr>
        <w:t>revised draft decision</w:t>
      </w:r>
      <w:r w:rsidRPr="00086A97">
        <w:rPr>
          <w:lang w:val="en-GB"/>
        </w:rPr>
        <w:t xml:space="preserve">, in the light of which the Working Group decided to forward </w:t>
      </w:r>
      <w:r w:rsidR="002268D9" w:rsidRPr="00086A97">
        <w:rPr>
          <w:lang w:val="en-GB"/>
        </w:rPr>
        <w:t xml:space="preserve">it, as set out in annex </w:t>
      </w:r>
      <w:r w:rsidR="007A4C7F" w:rsidRPr="00086A97">
        <w:rPr>
          <w:lang w:val="en-GB"/>
        </w:rPr>
        <w:t>VI</w:t>
      </w:r>
      <w:r w:rsidR="002D6DF5" w:rsidRPr="00086A97">
        <w:rPr>
          <w:lang w:val="en-GB"/>
        </w:rPr>
        <w:t>I</w:t>
      </w:r>
      <w:r w:rsidR="007A4C7F" w:rsidRPr="00086A97">
        <w:rPr>
          <w:lang w:val="en-GB"/>
        </w:rPr>
        <w:t>I</w:t>
      </w:r>
      <w:r w:rsidR="002268D9" w:rsidRPr="00086A97">
        <w:rPr>
          <w:lang w:val="en-GB"/>
        </w:rPr>
        <w:t xml:space="preserve"> to the present report, for furt</w:t>
      </w:r>
      <w:r w:rsidR="00551EA7" w:rsidRPr="00086A97">
        <w:rPr>
          <w:lang w:val="en-GB"/>
        </w:rPr>
        <w:t>her consideration by the Twenty</w:t>
      </w:r>
      <w:r w:rsidR="00551EA7" w:rsidRPr="00086A97">
        <w:rPr>
          <w:lang w:val="en-GB"/>
        </w:rPr>
        <w:noBreakHyphen/>
      </w:r>
      <w:r w:rsidR="002268D9" w:rsidRPr="00086A97">
        <w:rPr>
          <w:lang w:val="en-GB"/>
        </w:rPr>
        <w:t>Eighth Meeting of the Parties</w:t>
      </w:r>
      <w:r w:rsidRPr="00086A97">
        <w:rPr>
          <w:lang w:val="en-GB"/>
        </w:rPr>
        <w:t>.</w:t>
      </w:r>
    </w:p>
    <w:p w14:paraId="4F9039D4" w14:textId="36EFC580" w:rsidR="00D4321A" w:rsidRPr="00086A97" w:rsidRDefault="000B74B9" w:rsidP="00CD0B5E">
      <w:pPr>
        <w:pStyle w:val="CH1"/>
        <w:keepNext w:val="0"/>
        <w:keepLines w:val="0"/>
        <w:rPr>
          <w:lang w:val="en-GB"/>
        </w:rPr>
      </w:pPr>
      <w:r w:rsidRPr="00086A97">
        <w:rPr>
          <w:lang w:val="en-GB"/>
        </w:rPr>
        <w:tab/>
      </w:r>
      <w:r w:rsidR="00CA4969" w:rsidRPr="00086A97">
        <w:rPr>
          <w:lang w:val="en-GB"/>
        </w:rPr>
        <w:t>XIV</w:t>
      </w:r>
      <w:r w:rsidRPr="00086A97">
        <w:rPr>
          <w:lang w:val="en-GB"/>
        </w:rPr>
        <w:t>.</w:t>
      </w:r>
      <w:r w:rsidRPr="00086A97">
        <w:rPr>
          <w:lang w:val="en-GB"/>
        </w:rPr>
        <w:tab/>
      </w:r>
      <w:r w:rsidR="00D4321A" w:rsidRPr="00086A97">
        <w:rPr>
          <w:lang w:val="en-GB"/>
        </w:rPr>
        <w:t>Adoption of the report</w:t>
      </w:r>
    </w:p>
    <w:p w14:paraId="6B076C34" w14:textId="4C2F1169" w:rsidR="00CD0B5E" w:rsidRPr="00086A97" w:rsidRDefault="00F40A88" w:rsidP="00A30032">
      <w:pPr>
        <w:pStyle w:val="Normalnumber"/>
        <w:ind w:left="1247" w:firstLine="0"/>
        <w:rPr>
          <w:lang w:val="en-GB"/>
        </w:rPr>
      </w:pPr>
      <w:r w:rsidRPr="00086A97">
        <w:rPr>
          <w:lang w:val="en-GB"/>
        </w:rPr>
        <w:t xml:space="preserve">The parties adopted the present report on </w:t>
      </w:r>
      <w:r w:rsidR="00B307B9">
        <w:rPr>
          <w:lang w:val="en-GB"/>
        </w:rPr>
        <w:t>Thursday</w:t>
      </w:r>
      <w:r w:rsidRPr="00086A97">
        <w:rPr>
          <w:lang w:val="en-GB"/>
        </w:rPr>
        <w:t xml:space="preserve">, </w:t>
      </w:r>
      <w:r w:rsidR="00B307B9" w:rsidRPr="00086A97">
        <w:rPr>
          <w:lang w:val="en-GB"/>
        </w:rPr>
        <w:t>2</w:t>
      </w:r>
      <w:r w:rsidR="00B307B9">
        <w:rPr>
          <w:lang w:val="en-GB"/>
        </w:rPr>
        <w:t>1</w:t>
      </w:r>
      <w:r w:rsidR="00B307B9" w:rsidRPr="00086A97">
        <w:rPr>
          <w:lang w:val="en-GB"/>
        </w:rPr>
        <w:t xml:space="preserve"> </w:t>
      </w:r>
      <w:r w:rsidRPr="00086A97">
        <w:rPr>
          <w:lang w:val="en-GB"/>
        </w:rPr>
        <w:t>July 2016, on the basis of the draft report set out in document UNEP/OzL.Pro.WG.1/38/L.1. The Ozone Secretariat was entrusted with the finalization of the report.</w:t>
      </w:r>
    </w:p>
    <w:p w14:paraId="16CF0034" w14:textId="25046ACE" w:rsidR="00D4321A" w:rsidRPr="00086A97" w:rsidRDefault="00CA4969" w:rsidP="00CD0B5E">
      <w:pPr>
        <w:pStyle w:val="CH1"/>
        <w:keepNext w:val="0"/>
        <w:keepLines w:val="0"/>
        <w:rPr>
          <w:lang w:val="en-GB"/>
        </w:rPr>
      </w:pPr>
      <w:r w:rsidRPr="00086A97">
        <w:rPr>
          <w:lang w:val="en-GB"/>
        </w:rPr>
        <w:tab/>
        <w:t>XV</w:t>
      </w:r>
      <w:r w:rsidR="000B74B9" w:rsidRPr="00086A97">
        <w:rPr>
          <w:lang w:val="en-GB"/>
        </w:rPr>
        <w:t>.</w:t>
      </w:r>
      <w:r w:rsidR="000B74B9" w:rsidRPr="00086A97">
        <w:rPr>
          <w:lang w:val="en-GB"/>
        </w:rPr>
        <w:tab/>
      </w:r>
      <w:r w:rsidR="00D11D90" w:rsidRPr="00086A97">
        <w:rPr>
          <w:lang w:val="en-GB"/>
        </w:rPr>
        <w:t>Closure of the meeting</w:t>
      </w:r>
    </w:p>
    <w:p w14:paraId="1E47815E" w14:textId="1387A140" w:rsidR="00C66A2A" w:rsidRPr="00086A97" w:rsidRDefault="00CF78C5" w:rsidP="00A30032">
      <w:pPr>
        <w:pStyle w:val="Normalnumber"/>
        <w:ind w:left="1247" w:firstLine="0"/>
        <w:rPr>
          <w:lang w:val="en-GB"/>
        </w:rPr>
      </w:pPr>
      <w:r w:rsidRPr="00086A97">
        <w:rPr>
          <w:lang w:val="en-GB"/>
        </w:rPr>
        <w:t xml:space="preserve">The Working Group agreed at </w:t>
      </w:r>
      <w:r w:rsidR="00703B2E" w:rsidRPr="00086A97">
        <w:rPr>
          <w:lang w:val="en-GB"/>
        </w:rPr>
        <w:t>5.40 p.m.</w:t>
      </w:r>
      <w:r w:rsidRPr="00086A97">
        <w:rPr>
          <w:lang w:val="en-GB"/>
        </w:rPr>
        <w:t xml:space="preserve"> on Thursday, 21 July 2016, to suspend the current meeting and, as indicated in section IV above, to resume it in the margins of the Third Extraordinary Meeting of the Parties solely to allow the continuation of </w:t>
      </w:r>
      <w:r w:rsidR="001B3C77" w:rsidRPr="00086A97">
        <w:rPr>
          <w:lang w:val="en-GB"/>
        </w:rPr>
        <w:t xml:space="preserve">the work of the </w:t>
      </w:r>
      <w:r w:rsidR="000D068B" w:rsidRPr="00086A97">
        <w:rPr>
          <w:lang w:val="en-GB"/>
        </w:rPr>
        <w:t xml:space="preserve">contact group </w:t>
      </w:r>
      <w:r w:rsidR="00876A2C" w:rsidRPr="00086A97">
        <w:rPr>
          <w:lang w:val="en-GB"/>
        </w:rPr>
        <w:t>on the feasibility and ways of managing HFCs</w:t>
      </w:r>
      <w:r w:rsidR="001B3C77" w:rsidRPr="00086A97">
        <w:rPr>
          <w:lang w:val="en-GB"/>
        </w:rPr>
        <w:t>, including</w:t>
      </w:r>
      <w:r w:rsidR="005E3A93" w:rsidRPr="00086A97">
        <w:rPr>
          <w:lang w:val="en-GB"/>
        </w:rPr>
        <w:t xml:space="preserve"> through</w:t>
      </w:r>
      <w:r w:rsidR="001B3C77" w:rsidRPr="00086A97">
        <w:rPr>
          <w:lang w:val="en-GB"/>
        </w:rPr>
        <w:t xml:space="preserve"> </w:t>
      </w:r>
      <w:r w:rsidRPr="00086A97">
        <w:rPr>
          <w:lang w:val="en-GB"/>
        </w:rPr>
        <w:t>informal consultations.</w:t>
      </w:r>
    </w:p>
    <w:p w14:paraId="383AA8A6" w14:textId="63C1F3C4" w:rsidR="00610481" w:rsidRPr="00086A97" w:rsidRDefault="00610481">
      <w:pPr>
        <w:tabs>
          <w:tab w:val="clear" w:pos="1247"/>
          <w:tab w:val="clear" w:pos="1814"/>
          <w:tab w:val="clear" w:pos="2381"/>
          <w:tab w:val="clear" w:pos="2948"/>
          <w:tab w:val="clear" w:pos="3515"/>
        </w:tabs>
        <w:rPr>
          <w:sz w:val="20"/>
          <w:lang w:val="en-GB"/>
        </w:rPr>
      </w:pPr>
      <w:r w:rsidRPr="00086A97">
        <w:rPr>
          <w:lang w:val="en-GB"/>
        </w:rPr>
        <w:br w:type="page"/>
      </w:r>
    </w:p>
    <w:p w14:paraId="22B19E2A" w14:textId="37D82312" w:rsidR="000B74B9" w:rsidRPr="00086A97" w:rsidRDefault="00610481" w:rsidP="00610481">
      <w:pPr>
        <w:pStyle w:val="ZZAnxheader"/>
        <w:rPr>
          <w:lang w:val="en-GB"/>
        </w:rPr>
      </w:pPr>
      <w:r w:rsidRPr="00086A97">
        <w:rPr>
          <w:lang w:val="en-GB"/>
        </w:rPr>
        <w:t>Annex I</w:t>
      </w:r>
    </w:p>
    <w:p w14:paraId="79C62F98" w14:textId="500890AE" w:rsidR="00610481" w:rsidRPr="00086A97" w:rsidRDefault="00610481" w:rsidP="00CB7871">
      <w:pPr>
        <w:pStyle w:val="ZZAnxtitle"/>
        <w:rPr>
          <w:lang w:val="en-GB"/>
        </w:rPr>
      </w:pPr>
      <w:r w:rsidRPr="00086A97">
        <w:rPr>
          <w:lang w:val="en-GB"/>
        </w:rPr>
        <w:t xml:space="preserve">Summaries </w:t>
      </w:r>
      <w:r w:rsidR="001B62CC" w:rsidRPr="00086A97">
        <w:rPr>
          <w:lang w:val="en-GB"/>
        </w:rPr>
        <w:t>of presentations by the members of the Technology and Economic Assessment Panel</w:t>
      </w:r>
    </w:p>
    <w:p w14:paraId="49F09EF7" w14:textId="561DBA16" w:rsidR="00610481" w:rsidRPr="00086A97" w:rsidRDefault="00CB7871" w:rsidP="001B62CC">
      <w:pPr>
        <w:pStyle w:val="CH2"/>
        <w:rPr>
          <w:lang w:val="en-GB"/>
        </w:rPr>
      </w:pPr>
      <w:r w:rsidRPr="00086A97">
        <w:rPr>
          <w:lang w:val="en-GB"/>
        </w:rPr>
        <w:tab/>
      </w:r>
      <w:r w:rsidR="00EE7CC0" w:rsidRPr="00086A97">
        <w:rPr>
          <w:lang w:val="en-GB"/>
        </w:rPr>
        <w:t>A</w:t>
      </w:r>
      <w:r w:rsidRPr="00086A97">
        <w:rPr>
          <w:lang w:val="en-GB"/>
        </w:rPr>
        <w:t>.</w:t>
      </w:r>
      <w:r w:rsidRPr="00086A97">
        <w:rPr>
          <w:lang w:val="en-GB"/>
        </w:rPr>
        <w:tab/>
      </w:r>
      <w:r w:rsidR="00610481" w:rsidRPr="00086A97">
        <w:rPr>
          <w:lang w:val="en-GB"/>
        </w:rPr>
        <w:t xml:space="preserve">Decision XXVII/4 </w:t>
      </w:r>
      <w:r w:rsidR="00EE7CC0" w:rsidRPr="00086A97">
        <w:rPr>
          <w:lang w:val="en-GB"/>
        </w:rPr>
        <w:t>t</w:t>
      </w:r>
      <w:r w:rsidR="00610481" w:rsidRPr="00086A97">
        <w:rPr>
          <w:lang w:val="en-GB"/>
        </w:rPr>
        <w:t xml:space="preserve">ask </w:t>
      </w:r>
      <w:r w:rsidR="00EE7CC0" w:rsidRPr="00086A97">
        <w:rPr>
          <w:lang w:val="en-GB"/>
        </w:rPr>
        <w:t>f</w:t>
      </w:r>
      <w:r w:rsidR="00610481" w:rsidRPr="00086A97">
        <w:rPr>
          <w:lang w:val="en-GB"/>
        </w:rPr>
        <w:t xml:space="preserve">orce </w:t>
      </w:r>
      <w:r w:rsidR="00EE7CC0" w:rsidRPr="00086A97">
        <w:rPr>
          <w:lang w:val="en-GB"/>
        </w:rPr>
        <w:t>r</w:t>
      </w:r>
      <w:r w:rsidR="00610481" w:rsidRPr="00086A97">
        <w:rPr>
          <w:lang w:val="en-GB"/>
        </w:rPr>
        <w:t>eport</w:t>
      </w:r>
    </w:p>
    <w:p w14:paraId="76DC9281" w14:textId="57819892" w:rsidR="00610481" w:rsidRPr="00086A97" w:rsidRDefault="00610481"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Lambert </w:t>
      </w:r>
      <w:proofErr w:type="spellStart"/>
      <w:r w:rsidRPr="00086A97">
        <w:rPr>
          <w:lang w:val="en-GB"/>
        </w:rPr>
        <w:t>Kuijpers</w:t>
      </w:r>
      <w:proofErr w:type="spellEnd"/>
      <w:r w:rsidRPr="00086A97">
        <w:rPr>
          <w:lang w:val="en-GB"/>
        </w:rPr>
        <w:t xml:space="preserve">, </w:t>
      </w:r>
      <w:proofErr w:type="spellStart"/>
      <w:r w:rsidRPr="00086A97">
        <w:rPr>
          <w:lang w:val="en-GB"/>
        </w:rPr>
        <w:t>Ms.</w:t>
      </w:r>
      <w:proofErr w:type="spellEnd"/>
      <w:r w:rsidRPr="00086A97">
        <w:rPr>
          <w:lang w:val="en-GB"/>
        </w:rPr>
        <w:t xml:space="preserve"> Bella </w:t>
      </w:r>
      <w:proofErr w:type="spellStart"/>
      <w:r w:rsidRPr="00086A97">
        <w:rPr>
          <w:lang w:val="en-GB"/>
        </w:rPr>
        <w:t>Maranion</w:t>
      </w:r>
      <w:proofErr w:type="spellEnd"/>
      <w:r w:rsidRPr="00086A97">
        <w:rPr>
          <w:lang w:val="en-GB"/>
        </w:rPr>
        <w:t xml:space="preserve"> and </w:t>
      </w:r>
      <w:proofErr w:type="spellStart"/>
      <w:r w:rsidRPr="00086A97">
        <w:rPr>
          <w:lang w:val="en-GB"/>
        </w:rPr>
        <w:t>Mr.</w:t>
      </w:r>
      <w:proofErr w:type="spellEnd"/>
      <w:r w:rsidRPr="00086A97">
        <w:rPr>
          <w:lang w:val="en-GB"/>
        </w:rPr>
        <w:t xml:space="preserve"> Roberto </w:t>
      </w:r>
      <w:proofErr w:type="spellStart"/>
      <w:r w:rsidR="008A3BEF" w:rsidRPr="00086A97">
        <w:rPr>
          <w:lang w:val="en-GB"/>
        </w:rPr>
        <w:t>P</w:t>
      </w:r>
      <w:r w:rsidR="008A3BEF">
        <w:rPr>
          <w:lang w:val="en-GB"/>
        </w:rPr>
        <w:t>ei</w:t>
      </w:r>
      <w:r w:rsidR="008A3BEF" w:rsidRPr="00086A97">
        <w:rPr>
          <w:lang w:val="en-GB"/>
        </w:rPr>
        <w:t>xoto</w:t>
      </w:r>
      <w:proofErr w:type="spellEnd"/>
      <w:r w:rsidRPr="00086A97">
        <w:rPr>
          <w:lang w:val="en-GB"/>
        </w:rPr>
        <w:t>,</w:t>
      </w:r>
      <w:r w:rsidR="00EE7CC0" w:rsidRPr="00086A97">
        <w:rPr>
          <w:lang w:val="en-GB"/>
        </w:rPr>
        <w:t xml:space="preserve"> co-chairs of the task force established by the Technology and Economic Assessment Panel to prepare the report called for by decision XXVII/4, </w:t>
      </w:r>
      <w:r w:rsidRPr="00086A97">
        <w:rPr>
          <w:lang w:val="en-GB"/>
        </w:rPr>
        <w:t>made a presentation o</w:t>
      </w:r>
      <w:r w:rsidR="00EE7CC0" w:rsidRPr="00086A97">
        <w:rPr>
          <w:lang w:val="en-GB"/>
        </w:rPr>
        <w:t>n</w:t>
      </w:r>
      <w:r w:rsidRPr="00086A97">
        <w:rPr>
          <w:lang w:val="en-GB"/>
        </w:rPr>
        <w:t xml:space="preserve"> the </w:t>
      </w:r>
      <w:r w:rsidR="00EE7CC0" w:rsidRPr="00086A97">
        <w:rPr>
          <w:lang w:val="en-GB"/>
        </w:rPr>
        <w:t xml:space="preserve">second </w:t>
      </w:r>
      <w:r w:rsidR="00972353">
        <w:rPr>
          <w:lang w:val="en-GB"/>
        </w:rPr>
        <w:t>version</w:t>
      </w:r>
      <w:r w:rsidR="00972353" w:rsidRPr="00086A97">
        <w:rPr>
          <w:lang w:val="en-GB"/>
        </w:rPr>
        <w:t xml:space="preserve"> </w:t>
      </w:r>
      <w:r w:rsidR="00EE7CC0" w:rsidRPr="00086A97">
        <w:rPr>
          <w:lang w:val="en-GB"/>
        </w:rPr>
        <w:t xml:space="preserve">of the </w:t>
      </w:r>
      <w:r w:rsidRPr="00086A97">
        <w:rPr>
          <w:lang w:val="en-GB"/>
        </w:rPr>
        <w:t xml:space="preserve">task force report. </w:t>
      </w:r>
      <w:proofErr w:type="spellStart"/>
      <w:r w:rsidRPr="00086A97">
        <w:rPr>
          <w:lang w:val="en-GB"/>
        </w:rPr>
        <w:t>Ms.</w:t>
      </w:r>
      <w:proofErr w:type="spellEnd"/>
      <w:r w:rsidR="008A3BEF">
        <w:rPr>
          <w:lang w:val="en-GB"/>
        </w:rPr>
        <w:t> </w:t>
      </w:r>
      <w:proofErr w:type="spellStart"/>
      <w:r w:rsidRPr="00086A97">
        <w:rPr>
          <w:lang w:val="en-GB"/>
        </w:rPr>
        <w:t>Maranion</w:t>
      </w:r>
      <w:proofErr w:type="spellEnd"/>
      <w:r w:rsidRPr="00086A97">
        <w:rPr>
          <w:lang w:val="en-GB"/>
        </w:rPr>
        <w:t xml:space="preserve"> started the presentation by briefly reviewing the decision</w:t>
      </w:r>
      <w:r w:rsidR="00EE7CC0" w:rsidRPr="00086A97">
        <w:rPr>
          <w:lang w:val="en-GB"/>
        </w:rPr>
        <w:t>,</w:t>
      </w:r>
      <w:r w:rsidRPr="00086A97">
        <w:rPr>
          <w:lang w:val="en-GB"/>
        </w:rPr>
        <w:t xml:space="preserve"> which requested </w:t>
      </w:r>
      <w:r w:rsidR="00EE7CC0" w:rsidRPr="00086A97">
        <w:rPr>
          <w:lang w:val="en-GB"/>
        </w:rPr>
        <w:t xml:space="preserve">the Panel </w:t>
      </w:r>
      <w:r w:rsidRPr="00086A97">
        <w:rPr>
          <w:lang w:val="en-GB"/>
        </w:rPr>
        <w:t xml:space="preserve">to prepare a report that would update and provide new information on the alternatives to ozone-depleting substance based on guidance and criteria </w:t>
      </w:r>
      <w:r w:rsidR="00EE7CC0" w:rsidRPr="00086A97">
        <w:rPr>
          <w:lang w:val="en-GB"/>
        </w:rPr>
        <w:t>set out in d</w:t>
      </w:r>
      <w:r w:rsidRPr="00086A97">
        <w:rPr>
          <w:lang w:val="en-GB"/>
        </w:rPr>
        <w:t>ecision XXVI/9. The decision indicate</w:t>
      </w:r>
      <w:r w:rsidR="00972353">
        <w:rPr>
          <w:lang w:val="en-GB"/>
        </w:rPr>
        <w:t>d</w:t>
      </w:r>
      <w:r w:rsidRPr="00086A97">
        <w:rPr>
          <w:lang w:val="en-GB"/>
        </w:rPr>
        <w:t xml:space="preserve"> that the report should also take into account the most recent findings from program</w:t>
      </w:r>
      <w:r w:rsidR="00EE7CC0" w:rsidRPr="00086A97">
        <w:rPr>
          <w:lang w:val="en-GB"/>
        </w:rPr>
        <w:t>me</w:t>
      </w:r>
      <w:r w:rsidRPr="00086A97">
        <w:rPr>
          <w:lang w:val="en-GB"/>
        </w:rPr>
        <w:t xml:space="preserve">s </w:t>
      </w:r>
      <w:r w:rsidR="00EE7CC0" w:rsidRPr="00086A97">
        <w:rPr>
          <w:lang w:val="en-GB"/>
        </w:rPr>
        <w:t xml:space="preserve">for the testing </w:t>
      </w:r>
      <w:r w:rsidRPr="00086A97">
        <w:rPr>
          <w:lang w:val="en-GB"/>
        </w:rPr>
        <w:t xml:space="preserve">of refrigerants under high ambient temperature (HAT) conditions and the other parameters outlined in the decision. </w:t>
      </w:r>
      <w:r w:rsidR="00EE7CC0" w:rsidRPr="00086A97">
        <w:rPr>
          <w:lang w:val="en-GB"/>
        </w:rPr>
        <w:t>She said</w:t>
      </w:r>
      <w:r w:rsidRPr="00086A97">
        <w:rPr>
          <w:lang w:val="en-GB"/>
        </w:rPr>
        <w:t xml:space="preserve"> that </w:t>
      </w:r>
      <w:r w:rsidR="00EE7CC0" w:rsidRPr="00086A97">
        <w:rPr>
          <w:lang w:val="en-GB"/>
        </w:rPr>
        <w:t xml:space="preserve">the Panel had </w:t>
      </w:r>
      <w:r w:rsidRPr="00086A97">
        <w:rPr>
          <w:lang w:val="en-GB"/>
        </w:rPr>
        <w:t xml:space="preserve">convened a task force of </w:t>
      </w:r>
      <w:r w:rsidR="00EE7CC0" w:rsidRPr="00086A97">
        <w:rPr>
          <w:lang w:val="en-GB"/>
        </w:rPr>
        <w:t>initially</w:t>
      </w:r>
      <w:r w:rsidRPr="00086A97">
        <w:rPr>
          <w:lang w:val="en-GB"/>
        </w:rPr>
        <w:t xml:space="preserve"> 28 and </w:t>
      </w:r>
      <w:r w:rsidR="00EE7CC0" w:rsidRPr="00086A97">
        <w:rPr>
          <w:lang w:val="en-GB"/>
        </w:rPr>
        <w:t>subseq</w:t>
      </w:r>
      <w:r w:rsidR="005A2AF6" w:rsidRPr="00086A97">
        <w:rPr>
          <w:lang w:val="en-GB"/>
        </w:rPr>
        <w:t>u</w:t>
      </w:r>
      <w:r w:rsidR="00EE7CC0" w:rsidRPr="00086A97">
        <w:rPr>
          <w:lang w:val="en-GB"/>
        </w:rPr>
        <w:t xml:space="preserve">ently </w:t>
      </w:r>
      <w:r w:rsidRPr="00086A97">
        <w:rPr>
          <w:lang w:val="en-GB"/>
        </w:rPr>
        <w:t>31</w:t>
      </w:r>
      <w:r w:rsidR="00F315B2">
        <w:rPr>
          <w:lang w:val="en-GB"/>
        </w:rPr>
        <w:t> </w:t>
      </w:r>
      <w:r w:rsidRPr="00086A97">
        <w:rPr>
          <w:lang w:val="en-GB"/>
        </w:rPr>
        <w:t xml:space="preserve">members from the </w:t>
      </w:r>
      <w:r w:rsidR="00EE7CC0" w:rsidRPr="00086A97">
        <w:rPr>
          <w:lang w:val="en-GB"/>
        </w:rPr>
        <w:t xml:space="preserve">Panel and </w:t>
      </w:r>
      <w:r w:rsidRPr="00086A97">
        <w:rPr>
          <w:lang w:val="en-GB"/>
        </w:rPr>
        <w:t xml:space="preserve">its </w:t>
      </w:r>
      <w:r w:rsidR="00EE7CC0" w:rsidRPr="00086A97">
        <w:rPr>
          <w:lang w:val="en-GB"/>
        </w:rPr>
        <w:t>t</w:t>
      </w:r>
      <w:r w:rsidRPr="00086A97">
        <w:rPr>
          <w:lang w:val="en-GB"/>
        </w:rPr>
        <w:t xml:space="preserve">echnical </w:t>
      </w:r>
      <w:r w:rsidR="00EE7CC0" w:rsidRPr="00086A97">
        <w:rPr>
          <w:lang w:val="en-GB"/>
        </w:rPr>
        <w:t>o</w:t>
      </w:r>
      <w:r w:rsidRPr="00086A97">
        <w:rPr>
          <w:lang w:val="en-GB"/>
        </w:rPr>
        <w:t xml:space="preserve">ptions </w:t>
      </w:r>
      <w:r w:rsidR="00EE7CC0" w:rsidRPr="00086A97">
        <w:rPr>
          <w:lang w:val="en-GB"/>
        </w:rPr>
        <w:t>c</w:t>
      </w:r>
      <w:r w:rsidRPr="00086A97">
        <w:rPr>
          <w:lang w:val="en-GB"/>
        </w:rPr>
        <w:t xml:space="preserve">ommittees, </w:t>
      </w:r>
      <w:r w:rsidR="00EE7CC0" w:rsidRPr="00086A97">
        <w:rPr>
          <w:lang w:val="en-GB"/>
        </w:rPr>
        <w:t>along with</w:t>
      </w:r>
      <w:r w:rsidRPr="00086A97">
        <w:rPr>
          <w:lang w:val="en-GB"/>
        </w:rPr>
        <w:t xml:space="preserve"> outside experts. She expressed appreciation for the efforts of </w:t>
      </w:r>
      <w:r w:rsidR="00EE7CC0" w:rsidRPr="00086A97">
        <w:rPr>
          <w:lang w:val="en-GB"/>
        </w:rPr>
        <w:t xml:space="preserve">the </w:t>
      </w:r>
      <w:r w:rsidRPr="00086A97">
        <w:rPr>
          <w:lang w:val="en-GB"/>
        </w:rPr>
        <w:t>task force members in the preparation of th</w:t>
      </w:r>
      <w:r w:rsidR="00EE7CC0" w:rsidRPr="00086A97">
        <w:rPr>
          <w:lang w:val="en-GB"/>
        </w:rPr>
        <w:t>e</w:t>
      </w:r>
      <w:r w:rsidRPr="00086A97">
        <w:rPr>
          <w:lang w:val="en-GB"/>
        </w:rPr>
        <w:t xml:space="preserve"> second </w:t>
      </w:r>
      <w:r w:rsidR="00EE7CC0" w:rsidRPr="00086A97">
        <w:rPr>
          <w:lang w:val="en-GB"/>
        </w:rPr>
        <w:t xml:space="preserve">version of the </w:t>
      </w:r>
      <w:r w:rsidRPr="00086A97">
        <w:rPr>
          <w:lang w:val="en-GB"/>
        </w:rPr>
        <w:t xml:space="preserve">task force report. Given the additional meeting </w:t>
      </w:r>
      <w:r w:rsidR="00EE7CC0" w:rsidRPr="00086A97">
        <w:rPr>
          <w:lang w:val="en-GB"/>
        </w:rPr>
        <w:t xml:space="preserve">of the Open-ended Working Group </w:t>
      </w:r>
      <w:r w:rsidRPr="00086A97">
        <w:rPr>
          <w:lang w:val="en-GB"/>
        </w:rPr>
        <w:t xml:space="preserve">in 2016 and the focus of that meeting, </w:t>
      </w:r>
      <w:r w:rsidR="00EE7CC0" w:rsidRPr="00086A97">
        <w:rPr>
          <w:lang w:val="en-GB"/>
        </w:rPr>
        <w:t xml:space="preserve">she explained, the Panel had taken </w:t>
      </w:r>
      <w:r w:rsidRPr="00086A97">
        <w:rPr>
          <w:lang w:val="en-GB"/>
        </w:rPr>
        <w:t xml:space="preserve">a three-part approach to </w:t>
      </w:r>
      <w:r w:rsidR="007F4CF9" w:rsidRPr="00086A97">
        <w:rPr>
          <w:lang w:val="en-GB"/>
        </w:rPr>
        <w:t xml:space="preserve">its </w:t>
      </w:r>
      <w:r w:rsidRPr="00086A97">
        <w:rPr>
          <w:lang w:val="en-GB"/>
        </w:rPr>
        <w:t xml:space="preserve">response to the </w:t>
      </w:r>
      <w:r w:rsidR="007F4CF9" w:rsidRPr="00086A97">
        <w:rPr>
          <w:lang w:val="en-GB"/>
        </w:rPr>
        <w:t>d</w:t>
      </w:r>
      <w:r w:rsidRPr="00086A97">
        <w:rPr>
          <w:lang w:val="en-GB"/>
        </w:rPr>
        <w:t xml:space="preserve">ecision. The </w:t>
      </w:r>
      <w:r w:rsidR="008667C1" w:rsidRPr="00086A97">
        <w:rPr>
          <w:lang w:val="en-GB"/>
        </w:rPr>
        <w:t xml:space="preserve">version of the task force </w:t>
      </w:r>
      <w:r w:rsidRPr="00086A97">
        <w:rPr>
          <w:lang w:val="en-GB"/>
        </w:rPr>
        <w:t>report</w:t>
      </w:r>
      <w:r w:rsidR="00972353">
        <w:rPr>
          <w:lang w:val="en-GB"/>
        </w:rPr>
        <w:t>,</w:t>
      </w:r>
      <w:r w:rsidR="008667C1" w:rsidRPr="00086A97">
        <w:rPr>
          <w:lang w:val="en-GB"/>
        </w:rPr>
        <w:t xml:space="preserve"> which had been presented to the </w:t>
      </w:r>
      <w:r w:rsidR="00D05C6F">
        <w:rPr>
          <w:lang w:val="en-GB"/>
        </w:rPr>
        <w:br/>
      </w:r>
      <w:r w:rsidR="008667C1" w:rsidRPr="00086A97">
        <w:rPr>
          <w:lang w:val="en-GB"/>
        </w:rPr>
        <w:t>Open-ended Working Group at its thirty-seventh meeting</w:t>
      </w:r>
      <w:r w:rsidR="00972353">
        <w:rPr>
          <w:lang w:val="en-GB"/>
        </w:rPr>
        <w:t>,</w:t>
      </w:r>
      <w:r w:rsidRPr="00086A97">
        <w:rPr>
          <w:lang w:val="en-GB"/>
        </w:rPr>
        <w:t xml:space="preserve"> </w:t>
      </w:r>
      <w:r w:rsidR="008667C1" w:rsidRPr="00086A97">
        <w:rPr>
          <w:lang w:val="en-GB"/>
        </w:rPr>
        <w:t xml:space="preserve">had </w:t>
      </w:r>
      <w:r w:rsidRPr="00086A97">
        <w:rPr>
          <w:lang w:val="en-GB"/>
        </w:rPr>
        <w:t>focused on the refrigeration and air</w:t>
      </w:r>
      <w:r w:rsidR="00F315B2">
        <w:rPr>
          <w:lang w:val="en-GB"/>
        </w:rPr>
        <w:noBreakHyphen/>
      </w:r>
      <w:r w:rsidRPr="00086A97">
        <w:rPr>
          <w:lang w:val="en-GB"/>
        </w:rPr>
        <w:t>conditioning (R/AC) sector</w:t>
      </w:r>
      <w:r w:rsidR="008667C1" w:rsidRPr="00086A97">
        <w:rPr>
          <w:lang w:val="en-GB"/>
        </w:rPr>
        <w:t>,</w:t>
      </w:r>
      <w:r w:rsidRPr="00086A97">
        <w:rPr>
          <w:lang w:val="en-GB"/>
        </w:rPr>
        <w:t xml:space="preserve"> including updates on alternatives in th</w:t>
      </w:r>
      <w:r w:rsidR="008667C1" w:rsidRPr="00086A97">
        <w:rPr>
          <w:lang w:val="en-GB"/>
        </w:rPr>
        <w:t>at</w:t>
      </w:r>
      <w:r w:rsidRPr="00086A97">
        <w:rPr>
          <w:lang w:val="en-GB"/>
        </w:rPr>
        <w:t xml:space="preserve"> sector based on those listed in the </w:t>
      </w:r>
      <w:r w:rsidR="008667C1" w:rsidRPr="00086A97">
        <w:rPr>
          <w:lang w:val="en-GB"/>
        </w:rPr>
        <w:t xml:space="preserve">Panel’s </w:t>
      </w:r>
      <w:r w:rsidRPr="00086A97">
        <w:rPr>
          <w:lang w:val="en-GB"/>
        </w:rPr>
        <w:t xml:space="preserve">September 2015 </w:t>
      </w:r>
      <w:r w:rsidR="008667C1" w:rsidRPr="00086A97">
        <w:rPr>
          <w:lang w:val="en-GB"/>
        </w:rPr>
        <w:t>d</w:t>
      </w:r>
      <w:r w:rsidRPr="00086A97">
        <w:rPr>
          <w:lang w:val="en-GB"/>
        </w:rPr>
        <w:t xml:space="preserve">ecision XXVI/9 </w:t>
      </w:r>
      <w:r w:rsidR="008667C1" w:rsidRPr="00086A97">
        <w:rPr>
          <w:lang w:val="en-GB"/>
        </w:rPr>
        <w:t>t</w:t>
      </w:r>
      <w:r w:rsidRPr="00086A97">
        <w:rPr>
          <w:lang w:val="en-GB"/>
        </w:rPr>
        <w:t xml:space="preserve">ask </w:t>
      </w:r>
      <w:r w:rsidR="008667C1" w:rsidRPr="00086A97">
        <w:rPr>
          <w:lang w:val="en-GB"/>
        </w:rPr>
        <w:t>f</w:t>
      </w:r>
      <w:r w:rsidRPr="00086A97">
        <w:rPr>
          <w:lang w:val="en-GB"/>
        </w:rPr>
        <w:t xml:space="preserve">orce report. It </w:t>
      </w:r>
      <w:r w:rsidR="00D359B8" w:rsidRPr="00086A97">
        <w:rPr>
          <w:lang w:val="en-GB"/>
        </w:rPr>
        <w:t xml:space="preserve">had </w:t>
      </w:r>
      <w:r w:rsidRPr="00086A97">
        <w:rPr>
          <w:lang w:val="en-GB"/>
        </w:rPr>
        <w:t xml:space="preserve">also provided information on </w:t>
      </w:r>
      <w:r w:rsidR="00D359B8" w:rsidRPr="00086A97">
        <w:rPr>
          <w:lang w:val="en-GB"/>
        </w:rPr>
        <w:t xml:space="preserve">programmes for testing </w:t>
      </w:r>
      <w:r w:rsidRPr="00086A97">
        <w:rPr>
          <w:lang w:val="en-GB"/>
        </w:rPr>
        <w:t>alternative refrigerants under HAT conditions and extended the mitigation scenarios to 2050. The second</w:t>
      </w:r>
      <w:r w:rsidR="00E23C41" w:rsidRPr="00086A97">
        <w:rPr>
          <w:lang w:val="en-GB"/>
        </w:rPr>
        <w:t>, updated,</w:t>
      </w:r>
      <w:r w:rsidRPr="00086A97">
        <w:rPr>
          <w:lang w:val="en-GB"/>
        </w:rPr>
        <w:t xml:space="preserve"> </w:t>
      </w:r>
      <w:r w:rsidR="00E23C41" w:rsidRPr="00086A97">
        <w:rPr>
          <w:lang w:val="en-GB"/>
        </w:rPr>
        <w:t xml:space="preserve">version of the task force </w:t>
      </w:r>
      <w:r w:rsidRPr="00086A97">
        <w:rPr>
          <w:lang w:val="en-GB"/>
        </w:rPr>
        <w:t>report</w:t>
      </w:r>
      <w:r w:rsidR="00E23C41" w:rsidRPr="00086A97">
        <w:rPr>
          <w:lang w:val="en-GB"/>
        </w:rPr>
        <w:t>, which had been prepared for the Working Group’s thirty-eighth meeting,</w:t>
      </w:r>
      <w:r w:rsidRPr="00086A97">
        <w:rPr>
          <w:lang w:val="en-GB"/>
        </w:rPr>
        <w:t xml:space="preserve"> provide</w:t>
      </w:r>
      <w:r w:rsidR="00E23C41" w:rsidRPr="00086A97">
        <w:rPr>
          <w:lang w:val="en-GB"/>
        </w:rPr>
        <w:t>d</w:t>
      </w:r>
      <w:r w:rsidRPr="00086A97">
        <w:rPr>
          <w:lang w:val="en-GB"/>
        </w:rPr>
        <w:t xml:space="preserve"> further updates to the R/AC sector information based on informal discussions held at </w:t>
      </w:r>
      <w:r w:rsidR="00E23C41" w:rsidRPr="00086A97">
        <w:rPr>
          <w:lang w:val="en-GB"/>
        </w:rPr>
        <w:t>the thirty-seventh meeting</w:t>
      </w:r>
      <w:r w:rsidRPr="00086A97">
        <w:rPr>
          <w:lang w:val="en-GB"/>
        </w:rPr>
        <w:t xml:space="preserve">. </w:t>
      </w:r>
      <w:r w:rsidR="00ED4839" w:rsidRPr="00086A97">
        <w:rPr>
          <w:lang w:val="en-GB"/>
        </w:rPr>
        <w:t xml:space="preserve">It also </w:t>
      </w:r>
      <w:r w:rsidRPr="00086A97">
        <w:rPr>
          <w:lang w:val="en-GB"/>
        </w:rPr>
        <w:t>respond</w:t>
      </w:r>
      <w:r w:rsidR="00ED4839" w:rsidRPr="00086A97">
        <w:rPr>
          <w:lang w:val="en-GB"/>
        </w:rPr>
        <w:t>ed</w:t>
      </w:r>
      <w:r w:rsidRPr="00086A97">
        <w:rPr>
          <w:lang w:val="en-GB"/>
        </w:rPr>
        <w:t xml:space="preserve"> to other parts of decision</w:t>
      </w:r>
      <w:r w:rsidR="00ED4839" w:rsidRPr="00086A97">
        <w:rPr>
          <w:lang w:val="en-GB"/>
        </w:rPr>
        <w:t xml:space="preserve"> XXVII/4</w:t>
      </w:r>
      <w:r w:rsidRPr="00086A97">
        <w:rPr>
          <w:lang w:val="en-GB"/>
        </w:rPr>
        <w:t xml:space="preserve">, including </w:t>
      </w:r>
      <w:r w:rsidR="00ED4839" w:rsidRPr="00086A97">
        <w:rPr>
          <w:lang w:val="en-GB"/>
        </w:rPr>
        <w:t xml:space="preserve">by </w:t>
      </w:r>
      <w:r w:rsidRPr="00086A97">
        <w:rPr>
          <w:lang w:val="en-GB"/>
        </w:rPr>
        <w:t>providing information on alternatives to refrigeration systems in fishing vessels and updat</w:t>
      </w:r>
      <w:r w:rsidR="00ED4839" w:rsidRPr="00086A97">
        <w:rPr>
          <w:lang w:val="en-GB"/>
        </w:rPr>
        <w:t>ing</w:t>
      </w:r>
      <w:r w:rsidRPr="00086A97">
        <w:rPr>
          <w:lang w:val="en-GB"/>
        </w:rPr>
        <w:t xml:space="preserve"> the information on the </w:t>
      </w:r>
      <w:r w:rsidR="00ED4839" w:rsidRPr="00086A97">
        <w:rPr>
          <w:lang w:val="en-GB"/>
        </w:rPr>
        <w:t xml:space="preserve">HAT </w:t>
      </w:r>
      <w:r w:rsidRPr="00086A97">
        <w:rPr>
          <w:lang w:val="en-GB"/>
        </w:rPr>
        <w:t>refrigerant testing program</w:t>
      </w:r>
      <w:r w:rsidR="00F315B2">
        <w:rPr>
          <w:lang w:val="en-GB"/>
        </w:rPr>
        <w:t>me</w:t>
      </w:r>
      <w:r w:rsidRPr="00086A97">
        <w:rPr>
          <w:lang w:val="en-GB"/>
        </w:rPr>
        <w:t xml:space="preserve">s and the scenarios assumptions. For </w:t>
      </w:r>
      <w:r w:rsidR="00ED4839" w:rsidRPr="00086A97">
        <w:rPr>
          <w:lang w:val="en-GB"/>
        </w:rPr>
        <w:t>the Twenty-Eighth Meeting of the Parties</w:t>
      </w:r>
      <w:r w:rsidRPr="00086A97">
        <w:rPr>
          <w:lang w:val="en-GB"/>
        </w:rPr>
        <w:t>, the task force would prepare a</w:t>
      </w:r>
      <w:r w:rsidR="00ED4839" w:rsidRPr="00086A97">
        <w:rPr>
          <w:lang w:val="en-GB"/>
        </w:rPr>
        <w:t xml:space="preserve"> further </w:t>
      </w:r>
      <w:r w:rsidRPr="00086A97">
        <w:rPr>
          <w:lang w:val="en-GB"/>
        </w:rPr>
        <w:t>update</w:t>
      </w:r>
      <w:r w:rsidR="00ED4839" w:rsidRPr="00086A97">
        <w:rPr>
          <w:lang w:val="en-GB"/>
        </w:rPr>
        <w:t>d</w:t>
      </w:r>
      <w:r w:rsidRPr="00086A97">
        <w:rPr>
          <w:lang w:val="en-GB"/>
        </w:rPr>
        <w:t xml:space="preserve"> report, as appropriate, taking into account </w:t>
      </w:r>
      <w:r w:rsidR="00ED4839" w:rsidRPr="00086A97">
        <w:rPr>
          <w:lang w:val="en-GB"/>
        </w:rPr>
        <w:t xml:space="preserve">the </w:t>
      </w:r>
      <w:r w:rsidRPr="00086A97">
        <w:rPr>
          <w:lang w:val="en-GB"/>
        </w:rPr>
        <w:t xml:space="preserve">discussions during </w:t>
      </w:r>
      <w:r w:rsidR="00ED4839" w:rsidRPr="00086A97">
        <w:rPr>
          <w:lang w:val="en-GB"/>
        </w:rPr>
        <w:t>the thirty-eighth meeting of the Working Group</w:t>
      </w:r>
      <w:r w:rsidRPr="00086A97">
        <w:rPr>
          <w:lang w:val="en-GB"/>
        </w:rPr>
        <w:t xml:space="preserve"> and </w:t>
      </w:r>
      <w:r w:rsidR="00ED4839" w:rsidRPr="00086A97">
        <w:rPr>
          <w:lang w:val="en-GB"/>
        </w:rPr>
        <w:t xml:space="preserve">any </w:t>
      </w:r>
      <w:r w:rsidRPr="00086A97">
        <w:rPr>
          <w:lang w:val="en-GB"/>
        </w:rPr>
        <w:t>new information available to the task force.</w:t>
      </w:r>
    </w:p>
    <w:p w14:paraId="57544FBD" w14:textId="59A145A9" w:rsidR="00610481" w:rsidRPr="00086A97" w:rsidRDefault="00610481" w:rsidP="00CB7871">
      <w:pPr>
        <w:pStyle w:val="Normalnumber"/>
        <w:numPr>
          <w:ilvl w:val="0"/>
          <w:numId w:val="41"/>
        </w:numPr>
        <w:ind w:left="1247" w:firstLine="0"/>
        <w:rPr>
          <w:lang w:val="en-GB"/>
        </w:rPr>
      </w:pPr>
      <w:r w:rsidRPr="00086A97">
        <w:rPr>
          <w:lang w:val="en-GB"/>
        </w:rPr>
        <w:t xml:space="preserve">At </w:t>
      </w:r>
      <w:r w:rsidR="00032AE0" w:rsidRPr="00086A97">
        <w:rPr>
          <w:lang w:val="en-GB"/>
        </w:rPr>
        <w:t>the thirty-seventh meeting of the Open-ended Working Group</w:t>
      </w:r>
      <w:r w:rsidRPr="00086A97">
        <w:rPr>
          <w:lang w:val="en-GB"/>
        </w:rPr>
        <w:t xml:space="preserve"> informal discussions were held with parties</w:t>
      </w:r>
      <w:proofErr w:type="gramStart"/>
      <w:r w:rsidR="00032AE0" w:rsidRPr="00086A97">
        <w:rPr>
          <w:lang w:val="en-GB"/>
        </w:rPr>
        <w:t xml:space="preserve">, </w:t>
      </w:r>
      <w:r w:rsidRPr="00086A97">
        <w:rPr>
          <w:lang w:val="en-GB"/>
        </w:rPr>
        <w:t xml:space="preserve"> a</w:t>
      </w:r>
      <w:proofErr w:type="gramEnd"/>
      <w:r w:rsidRPr="00086A97">
        <w:rPr>
          <w:lang w:val="en-GB"/>
        </w:rPr>
        <w:t xml:space="preserve"> summary </w:t>
      </w:r>
      <w:r w:rsidR="00032AE0" w:rsidRPr="00086A97">
        <w:rPr>
          <w:lang w:val="en-GB"/>
        </w:rPr>
        <w:t xml:space="preserve">of which was </w:t>
      </w:r>
      <w:r w:rsidRPr="00086A97">
        <w:rPr>
          <w:lang w:val="en-GB"/>
        </w:rPr>
        <w:t xml:space="preserve">included in the annex to the current </w:t>
      </w:r>
      <w:r w:rsidR="00032AE0" w:rsidRPr="00086A97">
        <w:rPr>
          <w:lang w:val="en-GB"/>
        </w:rPr>
        <w:t xml:space="preserve">version of the </w:t>
      </w:r>
      <w:r w:rsidRPr="00086A97">
        <w:rPr>
          <w:lang w:val="en-GB"/>
        </w:rPr>
        <w:t xml:space="preserve">report. Based on those discussions, </w:t>
      </w:r>
      <w:proofErr w:type="spellStart"/>
      <w:r w:rsidRPr="00086A97">
        <w:rPr>
          <w:lang w:val="en-GB"/>
        </w:rPr>
        <w:t>Ms.</w:t>
      </w:r>
      <w:proofErr w:type="spellEnd"/>
      <w:r w:rsidRPr="00086A97">
        <w:rPr>
          <w:lang w:val="en-GB"/>
        </w:rPr>
        <w:t xml:space="preserve"> </w:t>
      </w:r>
      <w:proofErr w:type="spellStart"/>
      <w:r w:rsidRPr="00086A97">
        <w:rPr>
          <w:lang w:val="en-GB"/>
        </w:rPr>
        <w:t>Maranion</w:t>
      </w:r>
      <w:proofErr w:type="spellEnd"/>
      <w:r w:rsidRPr="00086A97">
        <w:rPr>
          <w:lang w:val="en-GB"/>
        </w:rPr>
        <w:t xml:space="preserve"> outlined the specific topics that were addressed in the current report within the scope of the current decision and </w:t>
      </w:r>
      <w:r w:rsidR="00032AE0" w:rsidRPr="00086A97">
        <w:rPr>
          <w:lang w:val="en-GB"/>
        </w:rPr>
        <w:t xml:space="preserve">that could be dealt </w:t>
      </w:r>
      <w:r w:rsidRPr="00086A97">
        <w:rPr>
          <w:lang w:val="en-GB"/>
        </w:rPr>
        <w:t>with</w:t>
      </w:r>
      <w:r w:rsidR="00032AE0" w:rsidRPr="00086A97">
        <w:rPr>
          <w:lang w:val="en-GB"/>
        </w:rPr>
        <w:t xml:space="preserve"> </w:t>
      </w:r>
      <w:r w:rsidRPr="00086A97">
        <w:rPr>
          <w:lang w:val="en-GB"/>
        </w:rPr>
        <w:t xml:space="preserve">in the time available </w:t>
      </w:r>
      <w:r w:rsidR="00032AE0" w:rsidRPr="00086A97">
        <w:rPr>
          <w:lang w:val="en-GB"/>
        </w:rPr>
        <w:t>the thirty-seventh and thirty-eighth meetings of the Working Group</w:t>
      </w:r>
      <w:r w:rsidRPr="00086A97">
        <w:rPr>
          <w:lang w:val="en-GB"/>
        </w:rPr>
        <w:t>. Th</w:t>
      </w:r>
      <w:r w:rsidR="00032AE0" w:rsidRPr="00086A97">
        <w:rPr>
          <w:lang w:val="en-GB"/>
        </w:rPr>
        <w:t>o</w:t>
      </w:r>
      <w:r w:rsidRPr="00086A97">
        <w:rPr>
          <w:lang w:val="en-GB"/>
        </w:rPr>
        <w:t>se topics include</w:t>
      </w:r>
      <w:r w:rsidR="00032AE0" w:rsidRPr="00086A97">
        <w:rPr>
          <w:lang w:val="en-GB"/>
        </w:rPr>
        <w:t>d</w:t>
      </w:r>
      <w:r w:rsidRPr="00086A97">
        <w:rPr>
          <w:lang w:val="en-GB"/>
        </w:rPr>
        <w:t xml:space="preserve"> updates on refrigerants, specifically information on R/AC and </w:t>
      </w:r>
      <w:r w:rsidR="00032AE0" w:rsidRPr="00086A97">
        <w:rPr>
          <w:lang w:val="en-GB"/>
        </w:rPr>
        <w:t>n</w:t>
      </w:r>
      <w:r w:rsidRPr="00086A97">
        <w:rPr>
          <w:lang w:val="en-GB"/>
        </w:rPr>
        <w:t>ot-in-</w:t>
      </w:r>
      <w:r w:rsidR="00032AE0" w:rsidRPr="00086A97">
        <w:rPr>
          <w:lang w:val="en-GB"/>
        </w:rPr>
        <w:t>k</w:t>
      </w:r>
      <w:r w:rsidRPr="00086A97">
        <w:rPr>
          <w:lang w:val="en-GB"/>
        </w:rPr>
        <w:t xml:space="preserve">ind (NIK) technologies, safety standards for new alternatives and the criteria </w:t>
      </w:r>
      <w:r w:rsidR="00032AE0" w:rsidRPr="00086A97">
        <w:rPr>
          <w:lang w:val="en-GB"/>
        </w:rPr>
        <w:t xml:space="preserve">that determined whether an alternative was </w:t>
      </w:r>
      <w:r w:rsidRPr="00086A97">
        <w:rPr>
          <w:lang w:val="en-GB"/>
        </w:rPr>
        <w:t xml:space="preserve">“environmentally sound.” </w:t>
      </w:r>
      <w:r w:rsidR="00032AE0" w:rsidRPr="00086A97">
        <w:rPr>
          <w:lang w:val="en-GB"/>
        </w:rPr>
        <w:t xml:space="preserve">It also dealt with programmes for the testing of refrigerants under </w:t>
      </w:r>
      <w:r w:rsidRPr="00086A97">
        <w:rPr>
          <w:lang w:val="en-GB"/>
        </w:rPr>
        <w:t>HAT conditions</w:t>
      </w:r>
      <w:r w:rsidR="00032AE0" w:rsidRPr="00086A97">
        <w:rPr>
          <w:lang w:val="en-GB"/>
        </w:rPr>
        <w:t>,</w:t>
      </w:r>
      <w:r w:rsidRPr="00086A97">
        <w:rPr>
          <w:lang w:val="en-GB"/>
        </w:rPr>
        <w:t xml:space="preserve"> providing a more balanced (i.e., positive as well as negative aspects) </w:t>
      </w:r>
      <w:r w:rsidR="00032AE0" w:rsidRPr="00086A97">
        <w:rPr>
          <w:lang w:val="en-GB"/>
        </w:rPr>
        <w:t xml:space="preserve">discussion </w:t>
      </w:r>
      <w:r w:rsidRPr="00086A97">
        <w:rPr>
          <w:lang w:val="en-GB"/>
        </w:rPr>
        <w:t xml:space="preserve">of the testing results and the use of a table format to better present the testing information. </w:t>
      </w:r>
      <w:r w:rsidR="00032AE0" w:rsidRPr="00086A97">
        <w:rPr>
          <w:lang w:val="en-GB"/>
        </w:rPr>
        <w:t xml:space="preserve">The </w:t>
      </w:r>
      <w:r w:rsidRPr="00086A97">
        <w:rPr>
          <w:lang w:val="en-GB"/>
        </w:rPr>
        <w:t xml:space="preserve">final topic </w:t>
      </w:r>
      <w:r w:rsidR="00032AE0" w:rsidRPr="00086A97">
        <w:rPr>
          <w:lang w:val="en-GB"/>
        </w:rPr>
        <w:t>dealt with in the report wa</w:t>
      </w:r>
      <w:r w:rsidRPr="00086A97">
        <w:rPr>
          <w:lang w:val="en-GB"/>
        </w:rPr>
        <w:t xml:space="preserve">s the scenarios, </w:t>
      </w:r>
      <w:r w:rsidR="00032AE0" w:rsidRPr="00086A97">
        <w:rPr>
          <w:lang w:val="en-GB"/>
        </w:rPr>
        <w:t xml:space="preserve">including detail </w:t>
      </w:r>
      <w:r w:rsidRPr="00086A97">
        <w:rPr>
          <w:lang w:val="en-GB"/>
        </w:rPr>
        <w:t>on the information used</w:t>
      </w:r>
      <w:r w:rsidR="00032AE0" w:rsidRPr="00086A97">
        <w:rPr>
          <w:lang w:val="en-GB"/>
        </w:rPr>
        <w:t>,</w:t>
      </w:r>
      <w:r w:rsidRPr="00086A97">
        <w:rPr>
          <w:lang w:val="en-GB"/>
        </w:rPr>
        <w:t xml:space="preserve"> including </w:t>
      </w:r>
      <w:r w:rsidR="00032AE0" w:rsidRPr="00086A97">
        <w:rPr>
          <w:lang w:val="en-GB"/>
        </w:rPr>
        <w:t xml:space="preserve">with regard to </w:t>
      </w:r>
      <w:r w:rsidRPr="00086A97">
        <w:rPr>
          <w:lang w:val="en-GB"/>
        </w:rPr>
        <w:t xml:space="preserve">annual </w:t>
      </w:r>
      <w:proofErr w:type="spellStart"/>
      <w:r w:rsidR="00F315B2" w:rsidRPr="00086A97">
        <w:rPr>
          <w:lang w:val="en-GB"/>
        </w:rPr>
        <w:t>hydrofluorocarbon</w:t>
      </w:r>
      <w:proofErr w:type="spellEnd"/>
      <w:r w:rsidR="00F315B2">
        <w:rPr>
          <w:lang w:val="en-GB"/>
        </w:rPr>
        <w:t xml:space="preserve"> (</w:t>
      </w:r>
      <w:r w:rsidRPr="00086A97">
        <w:rPr>
          <w:lang w:val="en-GB"/>
        </w:rPr>
        <w:t>HFC</w:t>
      </w:r>
      <w:r w:rsidR="00F315B2">
        <w:rPr>
          <w:lang w:val="en-GB"/>
        </w:rPr>
        <w:t>)</w:t>
      </w:r>
      <w:r w:rsidRPr="00086A97">
        <w:rPr>
          <w:lang w:val="en-GB"/>
        </w:rPr>
        <w:t xml:space="preserve"> production reporting and the specific HFCs included, the estimated growth rates used and consideration of a longer, 18-year</w:t>
      </w:r>
      <w:r w:rsidR="00032AE0" w:rsidRPr="00086A97">
        <w:rPr>
          <w:lang w:val="en-GB"/>
        </w:rPr>
        <w:t>,</w:t>
      </w:r>
      <w:r w:rsidRPr="00086A97">
        <w:rPr>
          <w:lang w:val="en-GB"/>
        </w:rPr>
        <w:t xml:space="preserve"> manufacturing conversion period. </w:t>
      </w:r>
      <w:r w:rsidR="00032AE0" w:rsidRPr="00086A97">
        <w:rPr>
          <w:lang w:val="en-GB"/>
        </w:rPr>
        <w:t>She</w:t>
      </w:r>
      <w:r w:rsidRPr="00086A97">
        <w:rPr>
          <w:lang w:val="en-GB"/>
        </w:rPr>
        <w:t xml:space="preserve"> indicated that the remainder of the presentation would elaborate on how the report addressed th</w:t>
      </w:r>
      <w:r w:rsidR="00032AE0" w:rsidRPr="00086A97">
        <w:rPr>
          <w:lang w:val="en-GB"/>
        </w:rPr>
        <w:t>o</w:t>
      </w:r>
      <w:r w:rsidRPr="00086A97">
        <w:rPr>
          <w:lang w:val="en-GB"/>
        </w:rPr>
        <w:t xml:space="preserve">se specific topics. With regard to a further discussion of the criteria </w:t>
      </w:r>
      <w:r w:rsidR="00032AE0" w:rsidRPr="00086A97">
        <w:rPr>
          <w:lang w:val="en-GB"/>
        </w:rPr>
        <w:t xml:space="preserve">for </w:t>
      </w:r>
      <w:r w:rsidRPr="00086A97">
        <w:rPr>
          <w:lang w:val="en-GB"/>
        </w:rPr>
        <w:t xml:space="preserve">“environmentally sound” with regard to refrigerants, </w:t>
      </w:r>
      <w:r w:rsidR="00032AE0" w:rsidRPr="00086A97">
        <w:rPr>
          <w:lang w:val="en-GB"/>
        </w:rPr>
        <w:t>she said</w:t>
      </w:r>
      <w:r w:rsidRPr="00086A97">
        <w:rPr>
          <w:lang w:val="en-GB"/>
        </w:rPr>
        <w:t xml:space="preserve"> that th</w:t>
      </w:r>
      <w:r w:rsidR="00032AE0" w:rsidRPr="00086A97">
        <w:rPr>
          <w:lang w:val="en-GB"/>
        </w:rPr>
        <w:t xml:space="preserve">e </w:t>
      </w:r>
      <w:r w:rsidRPr="00086A97">
        <w:rPr>
          <w:lang w:val="en-GB"/>
        </w:rPr>
        <w:t xml:space="preserve">term </w:t>
      </w:r>
      <w:r w:rsidR="00032AE0" w:rsidRPr="00086A97">
        <w:rPr>
          <w:lang w:val="en-GB"/>
        </w:rPr>
        <w:t>could</w:t>
      </w:r>
      <w:r w:rsidRPr="00086A97">
        <w:rPr>
          <w:lang w:val="en-GB"/>
        </w:rPr>
        <w:t xml:space="preserve"> be broadly defined</w:t>
      </w:r>
      <w:r w:rsidR="00032AE0" w:rsidRPr="00086A97">
        <w:rPr>
          <w:lang w:val="en-GB"/>
        </w:rPr>
        <w:t>,</w:t>
      </w:r>
      <w:r w:rsidRPr="00086A97">
        <w:rPr>
          <w:lang w:val="en-GB"/>
        </w:rPr>
        <w:t xml:space="preserve"> along with </w:t>
      </w:r>
      <w:r w:rsidR="00032AE0" w:rsidRPr="00086A97">
        <w:rPr>
          <w:lang w:val="en-GB"/>
        </w:rPr>
        <w:t>the</w:t>
      </w:r>
      <w:r w:rsidRPr="00086A97">
        <w:rPr>
          <w:lang w:val="en-GB"/>
        </w:rPr>
        <w:t xml:space="preserve"> similarly used term “environmentally sustainable.” The report considered th</w:t>
      </w:r>
      <w:r w:rsidR="00032AE0" w:rsidRPr="00086A97">
        <w:rPr>
          <w:lang w:val="en-GB"/>
        </w:rPr>
        <w:t>o</w:t>
      </w:r>
      <w:r w:rsidRPr="00086A97">
        <w:rPr>
          <w:lang w:val="en-GB"/>
        </w:rPr>
        <w:t>se broad definitions and some of the frameworks where the</w:t>
      </w:r>
      <w:r w:rsidR="00032AE0" w:rsidRPr="00086A97">
        <w:rPr>
          <w:lang w:val="en-GB"/>
        </w:rPr>
        <w:t>y were</w:t>
      </w:r>
      <w:r w:rsidRPr="00086A97">
        <w:rPr>
          <w:lang w:val="en-GB"/>
        </w:rPr>
        <w:t xml:space="preserve"> used</w:t>
      </w:r>
      <w:r w:rsidR="00032AE0" w:rsidRPr="00086A97">
        <w:rPr>
          <w:lang w:val="en-GB"/>
        </w:rPr>
        <w:t>, but used a narrower</w:t>
      </w:r>
      <w:r w:rsidRPr="00086A97">
        <w:rPr>
          <w:lang w:val="en-GB"/>
        </w:rPr>
        <w:t xml:space="preserve"> definition</w:t>
      </w:r>
      <w:r w:rsidR="00032AE0" w:rsidRPr="00086A97">
        <w:rPr>
          <w:lang w:val="en-GB"/>
        </w:rPr>
        <w:t xml:space="preserve">, considering that </w:t>
      </w:r>
      <w:r w:rsidRPr="00086A97">
        <w:rPr>
          <w:lang w:val="en-GB"/>
        </w:rPr>
        <w:t>alternatives described as “low</w:t>
      </w:r>
      <w:r w:rsidR="00032AE0" w:rsidRPr="00086A97">
        <w:rPr>
          <w:lang w:val="en-GB"/>
        </w:rPr>
        <w:t>-GWP</w:t>
      </w:r>
      <w:r w:rsidRPr="00086A97">
        <w:rPr>
          <w:lang w:val="en-GB"/>
        </w:rPr>
        <w:t>” or “lower</w:t>
      </w:r>
      <w:r w:rsidR="00032AE0" w:rsidRPr="00086A97">
        <w:rPr>
          <w:lang w:val="en-GB"/>
        </w:rPr>
        <w:t>-</w:t>
      </w:r>
      <w:r w:rsidRPr="00086A97">
        <w:rPr>
          <w:lang w:val="en-GB"/>
        </w:rPr>
        <w:t>GWP” aim</w:t>
      </w:r>
      <w:r w:rsidR="00032AE0" w:rsidRPr="00086A97">
        <w:rPr>
          <w:lang w:val="en-GB"/>
        </w:rPr>
        <w:t>ed</w:t>
      </w:r>
      <w:r w:rsidRPr="00086A97">
        <w:rPr>
          <w:lang w:val="en-GB"/>
        </w:rPr>
        <w:t xml:space="preserve"> at satisfying the criteri</w:t>
      </w:r>
      <w:r w:rsidR="00032AE0" w:rsidRPr="00086A97">
        <w:rPr>
          <w:lang w:val="en-GB"/>
        </w:rPr>
        <w:t>a</w:t>
      </w:r>
      <w:r w:rsidRPr="00086A97">
        <w:rPr>
          <w:lang w:val="en-GB"/>
        </w:rPr>
        <w:t xml:space="preserve"> of “environmentally sustainable” or “environmentally sound.”</w:t>
      </w:r>
    </w:p>
    <w:p w14:paraId="56755F6C" w14:textId="4CB08E57" w:rsidR="00610481" w:rsidRPr="00086A97" w:rsidRDefault="00610481"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w:t>
      </w:r>
      <w:proofErr w:type="spellStart"/>
      <w:r w:rsidRPr="00086A97">
        <w:rPr>
          <w:lang w:val="en-GB"/>
        </w:rPr>
        <w:t>Kuijpers</w:t>
      </w:r>
      <w:proofErr w:type="spellEnd"/>
      <w:r w:rsidRPr="00086A97">
        <w:rPr>
          <w:lang w:val="en-GB"/>
        </w:rPr>
        <w:t xml:space="preserve"> then presented updated information </w:t>
      </w:r>
      <w:r w:rsidR="00BF4CEB" w:rsidRPr="00086A97">
        <w:rPr>
          <w:lang w:val="en-GB"/>
        </w:rPr>
        <w:t xml:space="preserve">from </w:t>
      </w:r>
      <w:r w:rsidRPr="00086A97">
        <w:rPr>
          <w:lang w:val="en-GB"/>
        </w:rPr>
        <w:t>the report related to refrigerants and technologies in the R/AC sector, alternative refrigerants for the various types of R/AC equipment, NIK alternative technologies, the latest developments for the use of efficient CO</w:t>
      </w:r>
      <w:r w:rsidRPr="00086A97">
        <w:rPr>
          <w:vertAlign w:val="subscript"/>
          <w:lang w:val="en-GB"/>
        </w:rPr>
        <w:t>2</w:t>
      </w:r>
      <w:r w:rsidRPr="00086A97">
        <w:rPr>
          <w:lang w:val="en-GB"/>
        </w:rPr>
        <w:t xml:space="preserve"> technology and the use of standards </w:t>
      </w:r>
      <w:r w:rsidR="00BF4CEB" w:rsidRPr="00086A97">
        <w:rPr>
          <w:lang w:val="en-GB"/>
        </w:rPr>
        <w:t>for</w:t>
      </w:r>
      <w:r w:rsidRPr="00086A97">
        <w:rPr>
          <w:lang w:val="en-GB"/>
        </w:rPr>
        <w:t xml:space="preserve"> the safe use of refrigerants in the R/AC industry. He </w:t>
      </w:r>
      <w:r w:rsidR="00BF4CEB" w:rsidRPr="00086A97">
        <w:rPr>
          <w:lang w:val="en-GB"/>
        </w:rPr>
        <w:t xml:space="preserve">said </w:t>
      </w:r>
      <w:r w:rsidRPr="00086A97">
        <w:rPr>
          <w:lang w:val="en-GB"/>
        </w:rPr>
        <w:t xml:space="preserve">that </w:t>
      </w:r>
      <w:r w:rsidR="00BF4CEB" w:rsidRPr="00086A97">
        <w:rPr>
          <w:lang w:val="en-GB"/>
        </w:rPr>
        <w:t>CO</w:t>
      </w:r>
      <w:r w:rsidR="00BF4CEB" w:rsidRPr="00086A97">
        <w:rPr>
          <w:vertAlign w:val="subscript"/>
          <w:lang w:val="en-GB"/>
        </w:rPr>
        <w:t>2</w:t>
      </w:r>
      <w:r w:rsidRPr="00086A97">
        <w:rPr>
          <w:lang w:val="en-GB"/>
        </w:rPr>
        <w:t xml:space="preserve"> (R-744) </w:t>
      </w:r>
      <w:r w:rsidR="00BF4CEB" w:rsidRPr="00086A97">
        <w:rPr>
          <w:lang w:val="en-GB"/>
        </w:rPr>
        <w:t>wa</w:t>
      </w:r>
      <w:r w:rsidRPr="00086A97">
        <w:rPr>
          <w:lang w:val="en-GB"/>
        </w:rPr>
        <w:t xml:space="preserve">s increasingly being used in supermarket systems worldwide, both in cascaded systems and in </w:t>
      </w:r>
      <w:proofErr w:type="spellStart"/>
      <w:r w:rsidRPr="00086A97">
        <w:rPr>
          <w:lang w:val="en-GB"/>
        </w:rPr>
        <w:t>transcritical</w:t>
      </w:r>
      <w:proofErr w:type="spellEnd"/>
      <w:r w:rsidRPr="00086A97">
        <w:rPr>
          <w:lang w:val="en-GB"/>
        </w:rPr>
        <w:t xml:space="preserve"> systems, where the latter </w:t>
      </w:r>
      <w:r w:rsidR="00BF4CEB" w:rsidRPr="00086A97">
        <w:rPr>
          <w:lang w:val="en-GB"/>
        </w:rPr>
        <w:t>we</w:t>
      </w:r>
      <w:r w:rsidRPr="00086A97">
        <w:rPr>
          <w:lang w:val="en-GB"/>
        </w:rPr>
        <w:t xml:space="preserve">re being researched extensively </w:t>
      </w:r>
      <w:r w:rsidR="00BF4CEB" w:rsidRPr="00086A97">
        <w:rPr>
          <w:lang w:val="en-GB"/>
        </w:rPr>
        <w:t>with the aim of</w:t>
      </w:r>
      <w:r w:rsidRPr="00086A97">
        <w:rPr>
          <w:lang w:val="en-GB"/>
        </w:rPr>
        <w:t xml:space="preserve"> reduc</w:t>
      </w:r>
      <w:r w:rsidR="00BF4CEB" w:rsidRPr="00086A97">
        <w:rPr>
          <w:lang w:val="en-GB"/>
        </w:rPr>
        <w:t>ing</w:t>
      </w:r>
      <w:r w:rsidRPr="00086A97">
        <w:rPr>
          <w:lang w:val="en-GB"/>
        </w:rPr>
        <w:t xml:space="preserve"> energy penalties. </w:t>
      </w:r>
      <w:r w:rsidR="00BF4CEB" w:rsidRPr="00086A97">
        <w:rPr>
          <w:lang w:val="en-GB"/>
        </w:rPr>
        <w:t>I</w:t>
      </w:r>
      <w:r w:rsidRPr="00086A97">
        <w:rPr>
          <w:lang w:val="en-GB"/>
        </w:rPr>
        <w:t>n mobile air conditioners (MACs) the penetration of HFO-1234yf for new vehicles ha</w:t>
      </w:r>
      <w:r w:rsidR="00BF4CEB" w:rsidRPr="00086A97">
        <w:rPr>
          <w:lang w:val="en-GB"/>
        </w:rPr>
        <w:t>d</w:t>
      </w:r>
      <w:r w:rsidRPr="00086A97">
        <w:rPr>
          <w:lang w:val="en-GB"/>
        </w:rPr>
        <w:t xml:space="preserve"> continued</w:t>
      </w:r>
      <w:r w:rsidR="00BF4CEB" w:rsidRPr="00086A97">
        <w:rPr>
          <w:lang w:val="en-GB"/>
        </w:rPr>
        <w:t xml:space="preserve"> and</w:t>
      </w:r>
      <w:r w:rsidRPr="00086A97">
        <w:rPr>
          <w:lang w:val="en-GB"/>
        </w:rPr>
        <w:t xml:space="preserve"> ha</w:t>
      </w:r>
      <w:r w:rsidR="00BF4CEB" w:rsidRPr="00086A97">
        <w:rPr>
          <w:lang w:val="en-GB"/>
        </w:rPr>
        <w:t>d</w:t>
      </w:r>
      <w:r w:rsidRPr="00086A97">
        <w:rPr>
          <w:lang w:val="en-GB"/>
        </w:rPr>
        <w:t xml:space="preserve"> spread </w:t>
      </w:r>
      <w:proofErr w:type="gramStart"/>
      <w:r w:rsidRPr="00086A97">
        <w:rPr>
          <w:lang w:val="en-GB"/>
        </w:rPr>
        <w:t>to</w:t>
      </w:r>
      <w:proofErr w:type="gramEnd"/>
      <w:r w:rsidRPr="00086A97">
        <w:rPr>
          <w:lang w:val="en-GB"/>
        </w:rPr>
        <w:t xml:space="preserve"> many additional car models, primarily in non-A</w:t>
      </w:r>
      <w:r w:rsidR="00BF4CEB" w:rsidRPr="00086A97">
        <w:rPr>
          <w:lang w:val="en-GB"/>
        </w:rPr>
        <w:t xml:space="preserve">rticle </w:t>
      </w:r>
      <w:r w:rsidRPr="00086A97">
        <w:rPr>
          <w:lang w:val="en-GB"/>
        </w:rPr>
        <w:t xml:space="preserve">5 parties, </w:t>
      </w:r>
      <w:r w:rsidR="00BF4CEB" w:rsidRPr="00086A97">
        <w:rPr>
          <w:lang w:val="en-GB"/>
        </w:rPr>
        <w:t xml:space="preserve">but was </w:t>
      </w:r>
      <w:r w:rsidRPr="00086A97">
        <w:rPr>
          <w:lang w:val="en-GB"/>
        </w:rPr>
        <w:t>still far from complete</w:t>
      </w:r>
      <w:r w:rsidR="00BF4CEB" w:rsidRPr="00086A97">
        <w:rPr>
          <w:lang w:val="en-GB"/>
        </w:rPr>
        <w:t>;</w:t>
      </w:r>
      <w:r w:rsidRPr="00086A97">
        <w:rPr>
          <w:lang w:val="en-GB"/>
        </w:rPr>
        <w:t xml:space="preserve"> furthermore, the development of R-744 MACs ha</w:t>
      </w:r>
      <w:r w:rsidR="00BF4CEB" w:rsidRPr="00086A97">
        <w:rPr>
          <w:lang w:val="en-GB"/>
        </w:rPr>
        <w:t>d</w:t>
      </w:r>
      <w:r w:rsidRPr="00086A97">
        <w:rPr>
          <w:lang w:val="en-GB"/>
        </w:rPr>
        <w:t xml:space="preserve"> continued and commerciali</w:t>
      </w:r>
      <w:r w:rsidR="00BF4CEB" w:rsidRPr="00086A97">
        <w:rPr>
          <w:lang w:val="en-GB"/>
        </w:rPr>
        <w:t>z</w:t>
      </w:r>
      <w:r w:rsidRPr="00086A97">
        <w:rPr>
          <w:lang w:val="en-GB"/>
        </w:rPr>
        <w:t>ation appear</w:t>
      </w:r>
      <w:r w:rsidR="00BF4CEB" w:rsidRPr="00086A97">
        <w:rPr>
          <w:lang w:val="en-GB"/>
        </w:rPr>
        <w:t>ed</w:t>
      </w:r>
      <w:r w:rsidRPr="00086A97">
        <w:rPr>
          <w:lang w:val="en-GB"/>
        </w:rPr>
        <w:t xml:space="preserve"> imminent. </w:t>
      </w:r>
      <w:r w:rsidR="009C284D" w:rsidRPr="00086A97">
        <w:rPr>
          <w:lang w:val="en-GB"/>
        </w:rPr>
        <w:t>He</w:t>
      </w:r>
      <w:r w:rsidRPr="00086A97">
        <w:rPr>
          <w:lang w:val="en-GB"/>
        </w:rPr>
        <w:t xml:space="preserve"> then said that vapour compression ha</w:t>
      </w:r>
      <w:r w:rsidR="009C284D" w:rsidRPr="00086A97">
        <w:rPr>
          <w:lang w:val="en-GB"/>
        </w:rPr>
        <w:t>d</w:t>
      </w:r>
      <w:r w:rsidRPr="00086A97">
        <w:rPr>
          <w:lang w:val="en-GB"/>
        </w:rPr>
        <w:t xml:space="preserve"> been the primary technology for all R/AC applications in the </w:t>
      </w:r>
      <w:r w:rsidR="009C284D" w:rsidRPr="00086A97">
        <w:rPr>
          <w:lang w:val="en-GB"/>
        </w:rPr>
        <w:t xml:space="preserve">preceding </w:t>
      </w:r>
      <w:r w:rsidRPr="00086A97">
        <w:rPr>
          <w:lang w:val="en-GB"/>
        </w:rPr>
        <w:t>100 years and that several technologies not employing vapour compression technology (NIK technologies) ha</w:t>
      </w:r>
      <w:r w:rsidR="009C284D" w:rsidRPr="00086A97">
        <w:rPr>
          <w:lang w:val="en-GB"/>
        </w:rPr>
        <w:t>d</w:t>
      </w:r>
      <w:r w:rsidRPr="00086A97">
        <w:rPr>
          <w:lang w:val="en-GB"/>
        </w:rPr>
        <w:t xml:space="preserve"> been under development for many years. W</w:t>
      </w:r>
      <w:r w:rsidR="009C284D" w:rsidRPr="00086A97">
        <w:rPr>
          <w:lang w:val="en-GB"/>
        </w:rPr>
        <w:t>ith regard to</w:t>
      </w:r>
      <w:r w:rsidRPr="00086A97">
        <w:rPr>
          <w:lang w:val="en-GB"/>
        </w:rPr>
        <w:t xml:space="preserve"> standards, both the International </w:t>
      </w:r>
      <w:proofErr w:type="spellStart"/>
      <w:r w:rsidRPr="00086A97">
        <w:rPr>
          <w:lang w:val="en-GB"/>
        </w:rPr>
        <w:t>Electrotechnical</w:t>
      </w:r>
      <w:proofErr w:type="spellEnd"/>
      <w:r w:rsidRPr="00086A97">
        <w:rPr>
          <w:lang w:val="en-GB"/>
        </w:rPr>
        <w:t xml:space="preserve"> Commission (IEC) and the International Organization for Standardi</w:t>
      </w:r>
      <w:r w:rsidR="009C284D" w:rsidRPr="00086A97">
        <w:rPr>
          <w:lang w:val="en-GB"/>
        </w:rPr>
        <w:t>z</w:t>
      </w:r>
      <w:r w:rsidRPr="00086A97">
        <w:rPr>
          <w:lang w:val="en-GB"/>
        </w:rPr>
        <w:t xml:space="preserve">ation (ISO) </w:t>
      </w:r>
      <w:r w:rsidR="009C284D" w:rsidRPr="00086A97">
        <w:rPr>
          <w:lang w:val="en-GB"/>
        </w:rPr>
        <w:t>we</w:t>
      </w:r>
      <w:r w:rsidRPr="00086A97">
        <w:rPr>
          <w:lang w:val="en-GB"/>
        </w:rPr>
        <w:t xml:space="preserve">re active. </w:t>
      </w:r>
      <w:r w:rsidR="009C284D" w:rsidRPr="00086A97">
        <w:rPr>
          <w:lang w:val="en-GB"/>
        </w:rPr>
        <w:t>He said</w:t>
      </w:r>
      <w:r w:rsidRPr="00086A97">
        <w:rPr>
          <w:lang w:val="en-GB"/>
        </w:rPr>
        <w:t xml:space="preserve"> that both </w:t>
      </w:r>
      <w:r w:rsidR="009C284D" w:rsidRPr="00086A97">
        <w:rPr>
          <w:lang w:val="en-GB"/>
        </w:rPr>
        <w:t>organizations’</w:t>
      </w:r>
      <w:r w:rsidRPr="00086A97">
        <w:rPr>
          <w:lang w:val="en-GB"/>
        </w:rPr>
        <w:t xml:space="preserve"> standards include</w:t>
      </w:r>
      <w:r w:rsidR="009C284D" w:rsidRPr="00086A97">
        <w:rPr>
          <w:lang w:val="en-GB"/>
        </w:rPr>
        <w:t>d</w:t>
      </w:r>
      <w:r w:rsidRPr="00086A97">
        <w:rPr>
          <w:lang w:val="en-GB"/>
        </w:rPr>
        <w:t xml:space="preserve"> refrigerant safety (definitions and charge limits) and maintenance (safe practices</w:t>
      </w:r>
      <w:r w:rsidR="009C284D" w:rsidRPr="00086A97">
        <w:rPr>
          <w:lang w:val="en-GB"/>
        </w:rPr>
        <w:t>,</w:t>
      </w:r>
      <w:r w:rsidRPr="00086A97">
        <w:rPr>
          <w:lang w:val="en-GB"/>
        </w:rPr>
        <w:t xml:space="preserve"> etc.). In particular, charge limits ha</w:t>
      </w:r>
      <w:r w:rsidR="009C284D" w:rsidRPr="00086A97">
        <w:rPr>
          <w:lang w:val="en-GB"/>
        </w:rPr>
        <w:t>d a</w:t>
      </w:r>
      <w:r w:rsidRPr="00086A97">
        <w:rPr>
          <w:lang w:val="en-GB"/>
        </w:rPr>
        <w:t xml:space="preserve"> profound influence on which refrigerants </w:t>
      </w:r>
      <w:r w:rsidR="009C284D" w:rsidRPr="00086A97">
        <w:rPr>
          <w:lang w:val="en-GB"/>
        </w:rPr>
        <w:t>we</w:t>
      </w:r>
      <w:r w:rsidRPr="00086A97">
        <w:rPr>
          <w:lang w:val="en-GB"/>
        </w:rPr>
        <w:t>re considered safe to use and where they m</w:t>
      </w:r>
      <w:r w:rsidR="009C284D" w:rsidRPr="00086A97">
        <w:rPr>
          <w:lang w:val="en-GB"/>
        </w:rPr>
        <w:t>ight</w:t>
      </w:r>
      <w:r w:rsidRPr="00086A97">
        <w:rPr>
          <w:lang w:val="en-GB"/>
        </w:rPr>
        <w:t xml:space="preserve"> be used.</w:t>
      </w:r>
    </w:p>
    <w:p w14:paraId="2D81AEFB" w14:textId="57BCD60D" w:rsidR="00610481" w:rsidRPr="00086A97" w:rsidRDefault="00610481"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w:t>
      </w:r>
      <w:proofErr w:type="spellStart"/>
      <w:r w:rsidRPr="00086A97">
        <w:rPr>
          <w:lang w:val="en-GB"/>
        </w:rPr>
        <w:t>Peixoto</w:t>
      </w:r>
      <w:proofErr w:type="spellEnd"/>
      <w:r w:rsidRPr="00086A97">
        <w:rPr>
          <w:lang w:val="en-GB"/>
        </w:rPr>
        <w:t xml:space="preserve"> presented information on the new chapter and annex</w:t>
      </w:r>
      <w:r w:rsidR="001B2D14" w:rsidRPr="00086A97">
        <w:rPr>
          <w:lang w:val="en-GB"/>
        </w:rPr>
        <w:t xml:space="preserve"> in the current version of the report</w:t>
      </w:r>
      <w:r w:rsidRPr="00086A97">
        <w:rPr>
          <w:lang w:val="en-GB"/>
        </w:rPr>
        <w:t xml:space="preserve"> related to alternatives for refrigeration systems on fishing vessels. The new chapter responded to the request in decision </w:t>
      </w:r>
      <w:r w:rsidR="001B2D14" w:rsidRPr="00086A97">
        <w:rPr>
          <w:lang w:val="en-GB"/>
        </w:rPr>
        <w:t xml:space="preserve">XXVII/4 </w:t>
      </w:r>
      <w:r w:rsidRPr="00086A97">
        <w:rPr>
          <w:lang w:val="en-GB"/>
        </w:rPr>
        <w:t xml:space="preserve">to provide </w:t>
      </w:r>
      <w:r w:rsidR="001B2D14" w:rsidRPr="00086A97">
        <w:rPr>
          <w:lang w:val="en-GB"/>
        </w:rPr>
        <w:t xml:space="preserve">available </w:t>
      </w:r>
      <w:r w:rsidRPr="00086A97">
        <w:rPr>
          <w:lang w:val="en-GB"/>
        </w:rPr>
        <w:t>new and updated information related to “the availability of alternatives for replacement and retrofit of refrigeration systems in fishing vessels, including in small island countries.” He mentioned that 70</w:t>
      </w:r>
      <w:r w:rsidR="001B2D14" w:rsidRPr="00086A97">
        <w:rPr>
          <w:lang w:val="en-GB"/>
        </w:rPr>
        <w:t xml:space="preserve"> per </w:t>
      </w:r>
      <w:proofErr w:type="spellStart"/>
      <w:r w:rsidR="001B2D14" w:rsidRPr="00086A97">
        <w:rPr>
          <w:lang w:val="en-GB"/>
        </w:rPr>
        <w:t>ent</w:t>
      </w:r>
      <w:proofErr w:type="spellEnd"/>
      <w:r w:rsidRPr="00086A97">
        <w:rPr>
          <w:lang w:val="en-GB"/>
        </w:rPr>
        <w:t xml:space="preserve"> of the global fishing fleet continue</w:t>
      </w:r>
      <w:r w:rsidR="001B2D14" w:rsidRPr="00086A97">
        <w:rPr>
          <w:lang w:val="en-GB"/>
        </w:rPr>
        <w:t>d to use</w:t>
      </w:r>
      <w:r w:rsidRPr="00086A97">
        <w:rPr>
          <w:lang w:val="en-GB"/>
        </w:rPr>
        <w:t xml:space="preserve"> HCFC-22 and that the challenge represented by a feasible transition to low-GWP alternatives </w:t>
      </w:r>
      <w:r w:rsidR="001B2D14" w:rsidRPr="00086A97">
        <w:rPr>
          <w:lang w:val="en-GB"/>
        </w:rPr>
        <w:t>wa</w:t>
      </w:r>
      <w:r w:rsidRPr="00086A97">
        <w:rPr>
          <w:lang w:val="en-GB"/>
        </w:rPr>
        <w:t>s very important in the Asia</w:t>
      </w:r>
      <w:r w:rsidR="001B2D14" w:rsidRPr="00086A97">
        <w:rPr>
          <w:lang w:val="en-GB"/>
        </w:rPr>
        <w:t>-</w:t>
      </w:r>
      <w:r w:rsidRPr="00086A97">
        <w:rPr>
          <w:lang w:val="en-GB"/>
        </w:rPr>
        <w:t>Pacific region, where 70</w:t>
      </w:r>
      <w:r w:rsidR="001B2D14" w:rsidRPr="00086A97">
        <w:rPr>
          <w:lang w:val="en-GB"/>
        </w:rPr>
        <w:t xml:space="preserve"> per cent</w:t>
      </w:r>
      <w:r w:rsidRPr="00086A97">
        <w:rPr>
          <w:lang w:val="en-GB"/>
        </w:rPr>
        <w:t xml:space="preserve"> of the global fishing fleet </w:t>
      </w:r>
      <w:r w:rsidR="001B2D14" w:rsidRPr="00086A97">
        <w:rPr>
          <w:lang w:val="en-GB"/>
        </w:rPr>
        <w:t>wa</w:t>
      </w:r>
      <w:r w:rsidRPr="00086A97">
        <w:rPr>
          <w:lang w:val="en-GB"/>
        </w:rPr>
        <w:t xml:space="preserve">s based and where the economy </w:t>
      </w:r>
      <w:r w:rsidR="001B2D14" w:rsidRPr="00086A97">
        <w:rPr>
          <w:lang w:val="en-GB"/>
        </w:rPr>
        <w:t>wa</w:t>
      </w:r>
      <w:r w:rsidRPr="00086A97">
        <w:rPr>
          <w:lang w:val="en-GB"/>
        </w:rPr>
        <w:t xml:space="preserve">s heavily dependent on the fishing industry. </w:t>
      </w:r>
      <w:r w:rsidR="001B2D14" w:rsidRPr="00086A97">
        <w:rPr>
          <w:lang w:val="en-GB"/>
        </w:rPr>
        <w:t>He</w:t>
      </w:r>
      <w:r w:rsidRPr="00086A97">
        <w:rPr>
          <w:lang w:val="en-GB"/>
        </w:rPr>
        <w:t xml:space="preserve"> said that the</w:t>
      </w:r>
      <w:r w:rsidR="001B2D14" w:rsidRPr="00086A97">
        <w:rPr>
          <w:lang w:val="en-GB"/>
        </w:rPr>
        <w:t>re were options for achieving a</w:t>
      </w:r>
      <w:r w:rsidRPr="00086A97">
        <w:rPr>
          <w:lang w:val="en-GB"/>
        </w:rPr>
        <w:t xml:space="preserve"> transition from high</w:t>
      </w:r>
      <w:r w:rsidR="001B2D14" w:rsidRPr="00086A97">
        <w:rPr>
          <w:lang w:val="en-GB"/>
        </w:rPr>
        <w:t>-GWP</w:t>
      </w:r>
      <w:r w:rsidRPr="00086A97">
        <w:rPr>
          <w:lang w:val="en-GB"/>
        </w:rPr>
        <w:t xml:space="preserve"> to low-GWP alternatives</w:t>
      </w:r>
      <w:r w:rsidR="001B2D14" w:rsidRPr="00086A97">
        <w:rPr>
          <w:lang w:val="en-GB"/>
        </w:rPr>
        <w:t>, which could be rated</w:t>
      </w:r>
      <w:r w:rsidRPr="00086A97">
        <w:rPr>
          <w:lang w:val="en-GB"/>
        </w:rPr>
        <w:t xml:space="preserve"> according to the degree of financial, technical and regulatory risk</w:t>
      </w:r>
      <w:r w:rsidR="001B2D14" w:rsidRPr="00086A97">
        <w:rPr>
          <w:lang w:val="en-GB"/>
        </w:rPr>
        <w:t xml:space="preserve"> that they posed</w:t>
      </w:r>
      <w:r w:rsidRPr="00086A97">
        <w:rPr>
          <w:lang w:val="en-GB"/>
        </w:rPr>
        <w:t xml:space="preserve">. The first option </w:t>
      </w:r>
      <w:r w:rsidR="001B2D14" w:rsidRPr="00086A97">
        <w:rPr>
          <w:lang w:val="en-GB"/>
        </w:rPr>
        <w:t>wa</w:t>
      </w:r>
      <w:r w:rsidRPr="00086A97">
        <w:rPr>
          <w:lang w:val="en-GB"/>
        </w:rPr>
        <w:t xml:space="preserve">s the use of </w:t>
      </w:r>
      <w:r w:rsidR="001B2D14" w:rsidRPr="00086A97">
        <w:rPr>
          <w:lang w:val="en-GB"/>
        </w:rPr>
        <w:t xml:space="preserve">the </w:t>
      </w:r>
      <w:r w:rsidRPr="00086A97">
        <w:rPr>
          <w:lang w:val="en-GB"/>
        </w:rPr>
        <w:t xml:space="preserve">non-halocarbon refrigerants ammonia (R-717) and carbon dioxide (R-744). </w:t>
      </w:r>
      <w:r w:rsidR="001B2D14" w:rsidRPr="00086A97">
        <w:rPr>
          <w:lang w:val="en-GB"/>
        </w:rPr>
        <w:t>D</w:t>
      </w:r>
      <w:r w:rsidRPr="00086A97">
        <w:rPr>
          <w:lang w:val="en-GB"/>
        </w:rPr>
        <w:t xml:space="preserve">ue to costs and </w:t>
      </w:r>
      <w:r w:rsidR="001B2D14" w:rsidRPr="00086A97">
        <w:rPr>
          <w:lang w:val="en-GB"/>
        </w:rPr>
        <w:t xml:space="preserve">necessary </w:t>
      </w:r>
      <w:r w:rsidRPr="00086A97">
        <w:rPr>
          <w:lang w:val="en-GB"/>
        </w:rPr>
        <w:t xml:space="preserve">modifications, R-717 </w:t>
      </w:r>
      <w:r w:rsidR="001B2D14" w:rsidRPr="00086A97">
        <w:rPr>
          <w:lang w:val="en-GB"/>
        </w:rPr>
        <w:t>wa</w:t>
      </w:r>
      <w:r w:rsidRPr="00086A97">
        <w:rPr>
          <w:lang w:val="en-GB"/>
        </w:rPr>
        <w:t>s not a viable solution for the replacement or retrofit of plants on existing vessels</w:t>
      </w:r>
      <w:r w:rsidR="001B2D14" w:rsidRPr="00086A97">
        <w:rPr>
          <w:lang w:val="en-GB"/>
        </w:rPr>
        <w:t xml:space="preserve"> but could be considered for </w:t>
      </w:r>
      <w:r w:rsidRPr="00086A97">
        <w:rPr>
          <w:lang w:val="en-GB"/>
        </w:rPr>
        <w:t>new ships or complete rebuild</w:t>
      </w:r>
      <w:r w:rsidR="001B2D14" w:rsidRPr="00086A97">
        <w:rPr>
          <w:lang w:val="en-GB"/>
        </w:rPr>
        <w:t>s</w:t>
      </w:r>
      <w:r w:rsidRPr="00086A97">
        <w:rPr>
          <w:lang w:val="en-GB"/>
        </w:rPr>
        <w:t xml:space="preserve">. </w:t>
      </w:r>
      <w:r w:rsidR="001B2D14" w:rsidRPr="00086A97">
        <w:rPr>
          <w:lang w:val="en-GB"/>
        </w:rPr>
        <w:t>T</w:t>
      </w:r>
      <w:r w:rsidRPr="00086A97">
        <w:rPr>
          <w:lang w:val="en-GB"/>
        </w:rPr>
        <w:t xml:space="preserve">here </w:t>
      </w:r>
      <w:r w:rsidR="001B2D14" w:rsidRPr="00086A97">
        <w:rPr>
          <w:lang w:val="en-GB"/>
        </w:rPr>
        <w:t>was, however,</w:t>
      </w:r>
      <w:r w:rsidRPr="00086A97">
        <w:rPr>
          <w:lang w:val="en-GB"/>
        </w:rPr>
        <w:t xml:space="preserve"> some </w:t>
      </w:r>
      <w:r w:rsidR="001B2D14" w:rsidRPr="00086A97">
        <w:rPr>
          <w:lang w:val="en-GB"/>
        </w:rPr>
        <w:t xml:space="preserve">positive </w:t>
      </w:r>
      <w:r w:rsidRPr="00086A97">
        <w:rPr>
          <w:lang w:val="en-GB"/>
        </w:rPr>
        <w:t xml:space="preserve">experience with the use of R-744 </w:t>
      </w:r>
      <w:r w:rsidR="001B2D14" w:rsidRPr="00086A97">
        <w:rPr>
          <w:lang w:val="en-GB"/>
        </w:rPr>
        <w:t>in such circumstances</w:t>
      </w:r>
      <w:r w:rsidRPr="00086A97">
        <w:rPr>
          <w:lang w:val="en-GB"/>
        </w:rPr>
        <w:t>. Concerning cost</w:t>
      </w:r>
      <w:r w:rsidR="001B2D14" w:rsidRPr="00086A97">
        <w:rPr>
          <w:lang w:val="en-GB"/>
        </w:rPr>
        <w:t>,</w:t>
      </w:r>
      <w:r w:rsidRPr="00086A97">
        <w:rPr>
          <w:lang w:val="en-GB"/>
        </w:rPr>
        <w:t xml:space="preserve"> R-717 and R</w:t>
      </w:r>
      <w:r w:rsidR="00F362AD">
        <w:rPr>
          <w:lang w:val="en-GB"/>
        </w:rPr>
        <w:noBreakHyphen/>
      </w:r>
      <w:r w:rsidRPr="00086A97">
        <w:rPr>
          <w:lang w:val="en-GB"/>
        </w:rPr>
        <w:t>744 systems</w:t>
      </w:r>
      <w:r w:rsidR="001B2D14" w:rsidRPr="00086A97">
        <w:rPr>
          <w:lang w:val="en-GB"/>
        </w:rPr>
        <w:t xml:space="preserve"> were </w:t>
      </w:r>
      <w:r w:rsidRPr="00086A97">
        <w:rPr>
          <w:lang w:val="en-GB"/>
        </w:rPr>
        <w:t xml:space="preserve">currently competing with the cost of HFC systems. A second option </w:t>
      </w:r>
      <w:r w:rsidR="001B2D14" w:rsidRPr="00086A97">
        <w:rPr>
          <w:lang w:val="en-GB"/>
        </w:rPr>
        <w:t xml:space="preserve">was </w:t>
      </w:r>
      <w:r w:rsidRPr="00086A97">
        <w:rPr>
          <w:lang w:val="en-GB"/>
        </w:rPr>
        <w:t>HCFC</w:t>
      </w:r>
      <w:r w:rsidR="00F362AD">
        <w:rPr>
          <w:lang w:val="en-GB"/>
        </w:rPr>
        <w:noBreakHyphen/>
      </w:r>
      <w:r w:rsidRPr="00086A97">
        <w:rPr>
          <w:lang w:val="en-GB"/>
        </w:rPr>
        <w:t xml:space="preserve">22 replacement with plant adjustments. </w:t>
      </w:r>
      <w:r w:rsidR="009E6609" w:rsidRPr="00086A97">
        <w:rPr>
          <w:lang w:val="en-GB"/>
        </w:rPr>
        <w:t xml:space="preserve">He said </w:t>
      </w:r>
      <w:r w:rsidRPr="00086A97">
        <w:rPr>
          <w:lang w:val="en-GB"/>
        </w:rPr>
        <w:t xml:space="preserve">that many HFC blends </w:t>
      </w:r>
      <w:r w:rsidR="009E6609" w:rsidRPr="00086A97">
        <w:rPr>
          <w:lang w:val="en-GB"/>
        </w:rPr>
        <w:t>we</w:t>
      </w:r>
      <w:r w:rsidRPr="00086A97">
        <w:rPr>
          <w:lang w:val="en-GB"/>
        </w:rPr>
        <w:t xml:space="preserve">re </w:t>
      </w:r>
      <w:r w:rsidR="009E6609" w:rsidRPr="00086A97">
        <w:rPr>
          <w:lang w:val="en-GB"/>
        </w:rPr>
        <w:t xml:space="preserve">currently being examined but </w:t>
      </w:r>
      <w:r w:rsidRPr="00086A97">
        <w:rPr>
          <w:lang w:val="en-GB"/>
        </w:rPr>
        <w:t xml:space="preserve">no solution </w:t>
      </w:r>
      <w:r w:rsidR="009E6609" w:rsidRPr="00086A97">
        <w:rPr>
          <w:lang w:val="en-GB"/>
        </w:rPr>
        <w:t>wa</w:t>
      </w:r>
      <w:r w:rsidRPr="00086A97">
        <w:rPr>
          <w:lang w:val="en-GB"/>
        </w:rPr>
        <w:t>s yet available. A medium</w:t>
      </w:r>
      <w:r w:rsidR="009E6609" w:rsidRPr="00086A97">
        <w:rPr>
          <w:lang w:val="en-GB"/>
        </w:rPr>
        <w:t>-</w:t>
      </w:r>
      <w:r w:rsidRPr="00086A97">
        <w:rPr>
          <w:lang w:val="en-GB"/>
        </w:rPr>
        <w:t xml:space="preserve">term solution could be anticipated, and possible alternatives </w:t>
      </w:r>
      <w:r w:rsidR="009E6609" w:rsidRPr="00086A97">
        <w:rPr>
          <w:lang w:val="en-GB"/>
        </w:rPr>
        <w:t xml:space="preserve">would </w:t>
      </w:r>
      <w:r w:rsidRPr="00086A97">
        <w:rPr>
          <w:lang w:val="en-GB"/>
        </w:rPr>
        <w:t xml:space="preserve">most likely be </w:t>
      </w:r>
      <w:r w:rsidR="009E6609" w:rsidRPr="00086A97">
        <w:rPr>
          <w:lang w:val="en-GB"/>
        </w:rPr>
        <w:t xml:space="preserve">in </w:t>
      </w:r>
      <w:r w:rsidRPr="00086A97">
        <w:rPr>
          <w:lang w:val="en-GB"/>
        </w:rPr>
        <w:t xml:space="preserve">category A2 or </w:t>
      </w:r>
      <w:r w:rsidR="00045119" w:rsidRPr="00086A97">
        <w:rPr>
          <w:lang w:val="en-GB"/>
        </w:rPr>
        <w:t xml:space="preserve">category </w:t>
      </w:r>
      <w:r w:rsidRPr="00086A97">
        <w:rPr>
          <w:lang w:val="en-GB"/>
        </w:rPr>
        <w:t>A2L (mildly flammable refrigerants) requiring adequate safety measure</w:t>
      </w:r>
      <w:r w:rsidR="009E6609" w:rsidRPr="00086A97">
        <w:rPr>
          <w:lang w:val="en-GB"/>
        </w:rPr>
        <w:t>s</w:t>
      </w:r>
      <w:r w:rsidRPr="00086A97">
        <w:rPr>
          <w:lang w:val="en-GB"/>
        </w:rPr>
        <w:t xml:space="preserve">. </w:t>
      </w:r>
      <w:r w:rsidR="00E37FDC" w:rsidRPr="00086A97">
        <w:rPr>
          <w:lang w:val="en-GB"/>
        </w:rPr>
        <w:t>A</w:t>
      </w:r>
      <w:r w:rsidRPr="00086A97">
        <w:rPr>
          <w:lang w:val="en-GB"/>
        </w:rPr>
        <w:t xml:space="preserve"> third option</w:t>
      </w:r>
      <w:r w:rsidR="00E37FDC" w:rsidRPr="00086A97">
        <w:rPr>
          <w:lang w:val="en-GB"/>
        </w:rPr>
        <w:t xml:space="preserve"> was</w:t>
      </w:r>
      <w:r w:rsidRPr="00086A97">
        <w:rPr>
          <w:lang w:val="en-GB"/>
        </w:rPr>
        <w:t xml:space="preserve"> </w:t>
      </w:r>
      <w:r w:rsidR="00E37FDC" w:rsidRPr="00086A97">
        <w:rPr>
          <w:lang w:val="en-GB"/>
        </w:rPr>
        <w:t xml:space="preserve">the </w:t>
      </w:r>
      <w:r w:rsidRPr="00086A97">
        <w:rPr>
          <w:lang w:val="en-GB"/>
        </w:rPr>
        <w:t>use of drop-in refrigerant</w:t>
      </w:r>
      <w:r w:rsidR="00E37FDC" w:rsidRPr="00086A97">
        <w:rPr>
          <w:lang w:val="en-GB"/>
        </w:rPr>
        <w:t>s</w:t>
      </w:r>
      <w:r w:rsidRPr="00086A97">
        <w:rPr>
          <w:lang w:val="en-GB"/>
        </w:rPr>
        <w:t xml:space="preserve">, </w:t>
      </w:r>
      <w:r w:rsidR="00E37FDC" w:rsidRPr="00086A97">
        <w:rPr>
          <w:lang w:val="en-GB"/>
        </w:rPr>
        <w:t>and retrofits using moderate-GWP refrigerants would be appropriate</w:t>
      </w:r>
      <w:r w:rsidRPr="00086A97">
        <w:rPr>
          <w:lang w:val="en-GB"/>
        </w:rPr>
        <w:t xml:space="preserve"> for systems with </w:t>
      </w:r>
      <w:r w:rsidR="00E37FDC" w:rsidRPr="00086A97">
        <w:rPr>
          <w:lang w:val="en-GB"/>
        </w:rPr>
        <w:t>fewer</w:t>
      </w:r>
      <w:r w:rsidRPr="00086A97">
        <w:rPr>
          <w:lang w:val="en-GB"/>
        </w:rPr>
        <w:t xml:space="preserve"> than </w:t>
      </w:r>
      <w:r w:rsidR="0044340F">
        <w:rPr>
          <w:lang w:val="en-GB"/>
        </w:rPr>
        <w:br/>
      </w:r>
      <w:r w:rsidRPr="00086A97">
        <w:rPr>
          <w:lang w:val="en-GB"/>
        </w:rPr>
        <w:t>10</w:t>
      </w:r>
      <w:r w:rsidR="00E37FDC" w:rsidRPr="00086A97">
        <w:rPr>
          <w:lang w:val="en-GB"/>
        </w:rPr>
        <w:t>–</w:t>
      </w:r>
      <w:r w:rsidRPr="00086A97">
        <w:rPr>
          <w:lang w:val="en-GB"/>
        </w:rPr>
        <w:t>15 years</w:t>
      </w:r>
      <w:r w:rsidR="00E37FDC" w:rsidRPr="00086A97">
        <w:rPr>
          <w:lang w:val="en-GB"/>
        </w:rPr>
        <w:t xml:space="preserve"> of</w:t>
      </w:r>
      <w:r w:rsidRPr="00086A97">
        <w:rPr>
          <w:lang w:val="en-GB"/>
        </w:rPr>
        <w:t xml:space="preserve"> service life. A fourth option would be to </w:t>
      </w:r>
      <w:r w:rsidR="00E37FDC" w:rsidRPr="00086A97">
        <w:rPr>
          <w:lang w:val="en-GB"/>
        </w:rPr>
        <w:t xml:space="preserve">continue the </w:t>
      </w:r>
      <w:r w:rsidRPr="00086A97">
        <w:rPr>
          <w:lang w:val="en-GB"/>
        </w:rPr>
        <w:t>us</w:t>
      </w:r>
      <w:r w:rsidR="00E37FDC" w:rsidRPr="00086A97">
        <w:rPr>
          <w:lang w:val="en-GB"/>
        </w:rPr>
        <w:t>e of</w:t>
      </w:r>
      <w:r w:rsidRPr="00086A97">
        <w:rPr>
          <w:lang w:val="en-GB"/>
        </w:rPr>
        <w:t xml:space="preserve"> HCFC-22 for systems with no more than 4</w:t>
      </w:r>
      <w:r w:rsidR="00E37FDC" w:rsidRPr="00086A97">
        <w:rPr>
          <w:lang w:val="en-GB"/>
        </w:rPr>
        <w:t xml:space="preserve"> or </w:t>
      </w:r>
      <w:r w:rsidRPr="00086A97">
        <w:rPr>
          <w:lang w:val="en-GB"/>
        </w:rPr>
        <w:t>5 years</w:t>
      </w:r>
      <w:r w:rsidR="00E37FDC" w:rsidRPr="00086A97">
        <w:rPr>
          <w:lang w:val="en-GB"/>
        </w:rPr>
        <w:t xml:space="preserve"> of </w:t>
      </w:r>
      <w:r w:rsidRPr="00086A97">
        <w:rPr>
          <w:lang w:val="en-GB"/>
        </w:rPr>
        <w:t xml:space="preserve">service life remaining. One </w:t>
      </w:r>
      <w:r w:rsidR="00E37FDC" w:rsidRPr="00086A97">
        <w:rPr>
          <w:lang w:val="en-GB"/>
        </w:rPr>
        <w:t>issue</w:t>
      </w:r>
      <w:r w:rsidRPr="00086A97">
        <w:rPr>
          <w:lang w:val="en-GB"/>
        </w:rPr>
        <w:t xml:space="preserve"> to be considered </w:t>
      </w:r>
      <w:r w:rsidR="00E37FDC" w:rsidRPr="00086A97">
        <w:rPr>
          <w:lang w:val="en-GB"/>
        </w:rPr>
        <w:t xml:space="preserve">with regard </w:t>
      </w:r>
      <w:proofErr w:type="gramStart"/>
      <w:r w:rsidR="00E37FDC" w:rsidRPr="00086A97">
        <w:rPr>
          <w:lang w:val="en-GB"/>
        </w:rPr>
        <w:t xml:space="preserve">to </w:t>
      </w:r>
      <w:r w:rsidRPr="00086A97">
        <w:rPr>
          <w:lang w:val="en-GB"/>
        </w:rPr>
        <w:t xml:space="preserve"> option</w:t>
      </w:r>
      <w:proofErr w:type="gramEnd"/>
      <w:r w:rsidRPr="00086A97">
        <w:rPr>
          <w:lang w:val="en-GB"/>
        </w:rPr>
        <w:t xml:space="preserve"> </w:t>
      </w:r>
      <w:r w:rsidR="00E37FDC" w:rsidRPr="00086A97">
        <w:rPr>
          <w:lang w:val="en-GB"/>
        </w:rPr>
        <w:t>4 was</w:t>
      </w:r>
      <w:r w:rsidRPr="00086A97">
        <w:rPr>
          <w:lang w:val="en-GB"/>
        </w:rPr>
        <w:t xml:space="preserve"> how to meet </w:t>
      </w:r>
      <w:r w:rsidR="00E37FDC" w:rsidRPr="00086A97">
        <w:rPr>
          <w:lang w:val="en-GB"/>
        </w:rPr>
        <w:t>ozone-depleting substance</w:t>
      </w:r>
      <w:r w:rsidRPr="00086A97">
        <w:rPr>
          <w:lang w:val="en-GB"/>
        </w:rPr>
        <w:t xml:space="preserve"> regulatory requirements of import</w:t>
      </w:r>
      <w:r w:rsidR="00FB604E" w:rsidRPr="00086A97">
        <w:rPr>
          <w:lang w:val="en-GB"/>
        </w:rPr>
        <w:t>ing countries</w:t>
      </w:r>
      <w:r w:rsidRPr="00086A97">
        <w:rPr>
          <w:lang w:val="en-GB"/>
        </w:rPr>
        <w:t>.</w:t>
      </w:r>
    </w:p>
    <w:p w14:paraId="442C52AA" w14:textId="77172A40" w:rsidR="00610481" w:rsidRPr="00086A97" w:rsidRDefault="002B330E" w:rsidP="00CB7871">
      <w:pPr>
        <w:pStyle w:val="Normalnumber"/>
        <w:numPr>
          <w:ilvl w:val="0"/>
          <w:numId w:val="41"/>
        </w:numPr>
        <w:ind w:left="1247" w:firstLine="0"/>
        <w:rPr>
          <w:lang w:val="en-GB"/>
        </w:rPr>
      </w:pPr>
      <w:r w:rsidRPr="00086A97">
        <w:rPr>
          <w:lang w:val="en-GB"/>
        </w:rPr>
        <w:t>He</w:t>
      </w:r>
      <w:r w:rsidR="00610481" w:rsidRPr="00086A97">
        <w:rPr>
          <w:lang w:val="en-GB"/>
        </w:rPr>
        <w:t xml:space="preserve"> then </w:t>
      </w:r>
      <w:r w:rsidR="00610481" w:rsidRPr="00E41C55">
        <w:rPr>
          <w:lang w:val="en-GB"/>
        </w:rPr>
        <w:t>presented updated</w:t>
      </w:r>
      <w:r w:rsidR="00610481" w:rsidRPr="00086A97">
        <w:rPr>
          <w:lang w:val="en-GB"/>
        </w:rPr>
        <w:t xml:space="preserve"> and new information related to the testing of alternatives under HAT conditions. The revised chapter</w:t>
      </w:r>
      <w:r w:rsidRPr="00086A97">
        <w:rPr>
          <w:lang w:val="en-GB"/>
        </w:rPr>
        <w:t xml:space="preserve"> on the subject</w:t>
      </w:r>
      <w:r w:rsidR="00610481" w:rsidRPr="00086A97">
        <w:rPr>
          <w:lang w:val="en-GB"/>
        </w:rPr>
        <w:t xml:space="preserve"> provide</w:t>
      </w:r>
      <w:r w:rsidRPr="00086A97">
        <w:rPr>
          <w:lang w:val="en-GB"/>
        </w:rPr>
        <w:t>d</w:t>
      </w:r>
      <w:r w:rsidR="00610481" w:rsidRPr="00086A97">
        <w:rPr>
          <w:lang w:val="en-GB"/>
        </w:rPr>
        <w:t xml:space="preserve"> further information on the reports published for projects</w:t>
      </w:r>
      <w:r w:rsidRPr="00086A97">
        <w:rPr>
          <w:lang w:val="en-GB"/>
        </w:rPr>
        <w:t xml:space="preserve"> under which</w:t>
      </w:r>
      <w:r w:rsidR="00610481" w:rsidRPr="00086A97">
        <w:rPr>
          <w:lang w:val="en-GB"/>
        </w:rPr>
        <w:t xml:space="preserve"> alternative refrigerants </w:t>
      </w:r>
      <w:r w:rsidRPr="00086A97">
        <w:rPr>
          <w:lang w:val="en-GB"/>
        </w:rPr>
        <w:t xml:space="preserve">were tested </w:t>
      </w:r>
      <w:r w:rsidR="00610481" w:rsidRPr="00086A97">
        <w:rPr>
          <w:lang w:val="en-GB"/>
        </w:rPr>
        <w:t>at 35°C and at around 52°C, including tabulated summaries of each of the projects. The main aspects of the testing projects presented were:</w:t>
      </w:r>
      <w:r w:rsidR="00E41C55">
        <w:rPr>
          <w:lang w:val="en-GB"/>
        </w:rPr>
        <w:t xml:space="preserve">  </w:t>
      </w:r>
    </w:p>
    <w:p w14:paraId="736C0A1D" w14:textId="075ABB56" w:rsidR="00610481" w:rsidRPr="00086A97" w:rsidRDefault="00610481" w:rsidP="00CB7871">
      <w:pPr>
        <w:pStyle w:val="Normalnumber"/>
        <w:numPr>
          <w:ilvl w:val="1"/>
          <w:numId w:val="41"/>
        </w:numPr>
        <w:ind w:left="1247" w:firstLine="624"/>
        <w:rPr>
          <w:lang w:val="en-GB"/>
        </w:rPr>
      </w:pPr>
      <w:r w:rsidRPr="00086A97">
        <w:rPr>
          <w:lang w:val="en-GB"/>
        </w:rPr>
        <w:t>PRAHA:  Phase I concluded and report published, 13 custom-built prototypes in four categories, testing five different alternatives against the baseline refrigerants HCFC-22 and R-410A. Phase II approved and will be started in 2016</w:t>
      </w:r>
      <w:r w:rsidR="002B330E" w:rsidRPr="00086A97">
        <w:rPr>
          <w:lang w:val="en-GB"/>
        </w:rPr>
        <w:t>;</w:t>
      </w:r>
      <w:r w:rsidRPr="00086A97">
        <w:rPr>
          <w:lang w:val="en-GB"/>
        </w:rPr>
        <w:t xml:space="preserve"> </w:t>
      </w:r>
    </w:p>
    <w:p w14:paraId="12CCE9E2" w14:textId="3ED19527" w:rsidR="00610481" w:rsidRPr="00086A97" w:rsidRDefault="00610481" w:rsidP="00CB7871">
      <w:pPr>
        <w:pStyle w:val="Normalnumber"/>
        <w:numPr>
          <w:ilvl w:val="1"/>
          <w:numId w:val="41"/>
        </w:numPr>
        <w:ind w:left="1247" w:firstLine="624"/>
        <w:rPr>
          <w:lang w:val="en-GB"/>
        </w:rPr>
      </w:pPr>
      <w:r w:rsidRPr="00086A97">
        <w:rPr>
          <w:lang w:val="en-GB"/>
        </w:rPr>
        <w:t xml:space="preserve">EGYPRA: </w:t>
      </w:r>
      <w:proofErr w:type="spellStart"/>
      <w:r w:rsidRPr="00086A97">
        <w:rPr>
          <w:lang w:val="en-GB"/>
        </w:rPr>
        <w:t>ongoing</w:t>
      </w:r>
      <w:proofErr w:type="spellEnd"/>
      <w:r w:rsidRPr="00086A97">
        <w:rPr>
          <w:lang w:val="en-GB"/>
        </w:rPr>
        <w:t>, and no results published</w:t>
      </w:r>
      <w:r w:rsidR="002B330E" w:rsidRPr="00086A97">
        <w:rPr>
          <w:lang w:val="en-GB"/>
        </w:rPr>
        <w:t xml:space="preserve"> to date;</w:t>
      </w:r>
      <w:r w:rsidRPr="00086A97">
        <w:rPr>
          <w:lang w:val="en-GB"/>
        </w:rPr>
        <w:t xml:space="preserve"> </w:t>
      </w:r>
    </w:p>
    <w:p w14:paraId="5A35336E" w14:textId="0953DAE1" w:rsidR="00610481" w:rsidRPr="00086A97" w:rsidRDefault="00610481" w:rsidP="00CB7871">
      <w:pPr>
        <w:pStyle w:val="Normalnumber"/>
        <w:numPr>
          <w:ilvl w:val="1"/>
          <w:numId w:val="41"/>
        </w:numPr>
        <w:ind w:left="1247" w:firstLine="624"/>
        <w:rPr>
          <w:lang w:val="en-GB"/>
        </w:rPr>
      </w:pPr>
      <w:r w:rsidRPr="00086A97">
        <w:rPr>
          <w:lang w:val="en-GB"/>
        </w:rPr>
        <w:t>U.S. Department of Energy: phase I concluded October 2015 with a report published. Testing of 10 alternatives in two units against HCFC-22 and R-410A, changing the amount of refrigerant charge and expansion device (soft optimization). Phase II started in the course of 2016</w:t>
      </w:r>
      <w:r w:rsidR="002B330E" w:rsidRPr="00086A97">
        <w:rPr>
          <w:lang w:val="en-GB"/>
        </w:rPr>
        <w:t>;</w:t>
      </w:r>
      <w:r w:rsidRPr="00086A97">
        <w:rPr>
          <w:lang w:val="en-GB"/>
        </w:rPr>
        <w:t xml:space="preserve"> </w:t>
      </w:r>
    </w:p>
    <w:p w14:paraId="4602E2DE" w14:textId="4EBCD1F5" w:rsidR="00610481" w:rsidRPr="00086A97" w:rsidRDefault="00610481" w:rsidP="00CB7871">
      <w:pPr>
        <w:pStyle w:val="Normalnumber"/>
        <w:numPr>
          <w:ilvl w:val="1"/>
          <w:numId w:val="41"/>
        </w:numPr>
        <w:ind w:left="1247" w:firstLine="624"/>
        <w:rPr>
          <w:lang w:val="en-GB"/>
        </w:rPr>
      </w:pPr>
      <w:r w:rsidRPr="00086A97">
        <w:rPr>
          <w:lang w:val="en-GB"/>
        </w:rPr>
        <w:t xml:space="preserve">AREP: phase I concluded in 2014. Phase II concluded in 2016; testing being reported, 33 reports published. AREP-II testing was conducted by several entities with different test protocols. </w:t>
      </w:r>
      <w:r w:rsidR="005F4ACE" w:rsidRPr="00086A97">
        <w:rPr>
          <w:lang w:val="en-GB"/>
        </w:rPr>
        <w:t>Seventeen</w:t>
      </w:r>
      <w:r w:rsidRPr="00086A97">
        <w:rPr>
          <w:lang w:val="en-GB"/>
        </w:rPr>
        <w:t xml:space="preserve"> refrigerants total (HFC-32, DR-5A, DR-55, L-20, L-41, N-20, ARM-20, ARM-71A, HPR2A etc.) were tested on a large variety of baseline systems originally charged with HCFC-22, R</w:t>
      </w:r>
      <w:r w:rsidR="00FC4C1F">
        <w:rPr>
          <w:lang w:val="en-GB"/>
        </w:rPr>
        <w:noBreakHyphen/>
      </w:r>
      <w:r w:rsidRPr="00086A97">
        <w:rPr>
          <w:lang w:val="en-GB"/>
        </w:rPr>
        <w:t xml:space="preserve">404A, R-407C or R-410A either as drop-in or with soft optimization. </w:t>
      </w:r>
    </w:p>
    <w:p w14:paraId="77C64BAB" w14:textId="18F7B1B6" w:rsidR="00610481" w:rsidRPr="00086A97" w:rsidRDefault="005F4ACE" w:rsidP="00CB7871">
      <w:pPr>
        <w:pStyle w:val="Normalnumber"/>
        <w:numPr>
          <w:ilvl w:val="0"/>
          <w:numId w:val="41"/>
        </w:numPr>
        <w:ind w:left="1247" w:firstLine="0"/>
        <w:rPr>
          <w:lang w:val="en-GB"/>
        </w:rPr>
      </w:pPr>
      <w:r w:rsidRPr="00086A97">
        <w:rPr>
          <w:lang w:val="en-GB"/>
        </w:rPr>
        <w:t>He</w:t>
      </w:r>
      <w:r w:rsidR="00610481" w:rsidRPr="00086A97">
        <w:rPr>
          <w:lang w:val="en-GB"/>
        </w:rPr>
        <w:t xml:space="preserve"> then presented the following observations </w:t>
      </w:r>
      <w:r w:rsidR="00E41C55">
        <w:rPr>
          <w:lang w:val="en-GB"/>
        </w:rPr>
        <w:t xml:space="preserve">regarding </w:t>
      </w:r>
      <w:r w:rsidR="00610481" w:rsidRPr="00086A97">
        <w:rPr>
          <w:lang w:val="en-GB"/>
        </w:rPr>
        <w:t xml:space="preserve">testing projects: current HAT project testing results (PRAHA, ORNL, AREP) </w:t>
      </w:r>
      <w:r w:rsidRPr="00086A97">
        <w:rPr>
          <w:lang w:val="en-GB"/>
        </w:rPr>
        <w:t>we</w:t>
      </w:r>
      <w:r w:rsidR="00610481" w:rsidRPr="00086A97">
        <w:rPr>
          <w:lang w:val="en-GB"/>
        </w:rPr>
        <w:t>re difficult to compare</w:t>
      </w:r>
      <w:r w:rsidR="00E41C55">
        <w:rPr>
          <w:lang w:val="en-GB"/>
        </w:rPr>
        <w:t>;</w:t>
      </w:r>
      <w:r w:rsidR="00E41C55" w:rsidRPr="00086A97">
        <w:rPr>
          <w:lang w:val="en-GB"/>
        </w:rPr>
        <w:t xml:space="preserve"> </w:t>
      </w:r>
      <w:r w:rsidR="00E41C55">
        <w:rPr>
          <w:lang w:val="en-GB"/>
        </w:rPr>
        <w:t>t</w:t>
      </w:r>
      <w:r w:rsidR="00610481" w:rsidRPr="00086A97">
        <w:rPr>
          <w:lang w:val="en-GB"/>
        </w:rPr>
        <w:t>he use of comparable testing parameters in future testing and field trials w</w:t>
      </w:r>
      <w:r w:rsidRPr="00086A97">
        <w:rPr>
          <w:lang w:val="en-GB"/>
        </w:rPr>
        <w:t>ould</w:t>
      </w:r>
      <w:r w:rsidR="00610481" w:rsidRPr="00086A97">
        <w:rPr>
          <w:lang w:val="en-GB"/>
        </w:rPr>
        <w:t xml:space="preserve"> be helpful in </w:t>
      </w:r>
      <w:r w:rsidRPr="00086A97">
        <w:rPr>
          <w:lang w:val="en-GB"/>
        </w:rPr>
        <w:t xml:space="preserve">the </w:t>
      </w:r>
      <w:r w:rsidR="00610481" w:rsidRPr="00086A97">
        <w:rPr>
          <w:lang w:val="en-GB"/>
        </w:rPr>
        <w:t>assess</w:t>
      </w:r>
      <w:r w:rsidRPr="00086A97">
        <w:rPr>
          <w:lang w:val="en-GB"/>
        </w:rPr>
        <w:t>ment of</w:t>
      </w:r>
      <w:r w:rsidR="00610481" w:rsidRPr="00086A97">
        <w:rPr>
          <w:lang w:val="en-GB"/>
        </w:rPr>
        <w:t xml:space="preserve"> results</w:t>
      </w:r>
      <w:r w:rsidR="00E41C55">
        <w:rPr>
          <w:lang w:val="en-GB"/>
        </w:rPr>
        <w:t>;</w:t>
      </w:r>
      <w:r w:rsidR="00610481" w:rsidRPr="00086A97">
        <w:rPr>
          <w:lang w:val="en-GB"/>
        </w:rPr>
        <w:t xml:space="preserve"> </w:t>
      </w:r>
      <w:r w:rsidR="00E41C55">
        <w:rPr>
          <w:lang w:val="en-GB"/>
        </w:rPr>
        <w:t>t</w:t>
      </w:r>
      <w:r w:rsidR="00610481" w:rsidRPr="00086A97">
        <w:rPr>
          <w:lang w:val="en-GB"/>
        </w:rPr>
        <w:t xml:space="preserve">here </w:t>
      </w:r>
      <w:r w:rsidRPr="00086A97">
        <w:rPr>
          <w:lang w:val="en-GB"/>
        </w:rPr>
        <w:t>wa</w:t>
      </w:r>
      <w:r w:rsidR="00610481" w:rsidRPr="00086A97">
        <w:rPr>
          <w:lang w:val="en-GB"/>
        </w:rPr>
        <w:t xml:space="preserve">s </w:t>
      </w:r>
      <w:r w:rsidRPr="00086A97">
        <w:rPr>
          <w:lang w:val="en-GB"/>
        </w:rPr>
        <w:t xml:space="preserve">a </w:t>
      </w:r>
      <w:r w:rsidR="00610481" w:rsidRPr="00086A97">
        <w:rPr>
          <w:lang w:val="en-GB"/>
        </w:rPr>
        <w:t xml:space="preserve">need for a comprehensive risk assessment </w:t>
      </w:r>
      <w:r w:rsidRPr="00086A97">
        <w:rPr>
          <w:lang w:val="en-GB"/>
        </w:rPr>
        <w:t>of</w:t>
      </w:r>
      <w:r w:rsidR="00610481" w:rsidRPr="00086A97">
        <w:rPr>
          <w:lang w:val="en-GB"/>
        </w:rPr>
        <w:t xml:space="preserve"> flammable alternatives </w:t>
      </w:r>
      <w:r w:rsidRPr="00086A97">
        <w:rPr>
          <w:lang w:val="en-GB"/>
        </w:rPr>
        <w:t xml:space="preserve">during </w:t>
      </w:r>
      <w:r w:rsidR="00610481" w:rsidRPr="00086A97">
        <w:rPr>
          <w:lang w:val="en-GB"/>
        </w:rPr>
        <w:t xml:space="preserve">installation, servicing and decommissioning </w:t>
      </w:r>
      <w:r w:rsidRPr="00086A97">
        <w:rPr>
          <w:lang w:val="en-GB"/>
        </w:rPr>
        <w:t>under</w:t>
      </w:r>
      <w:r w:rsidR="00610481" w:rsidRPr="00086A97">
        <w:rPr>
          <w:lang w:val="en-GB"/>
        </w:rPr>
        <w:t xml:space="preserve"> HAT conditions</w:t>
      </w:r>
      <w:r w:rsidR="00E41C55">
        <w:rPr>
          <w:lang w:val="en-GB"/>
        </w:rPr>
        <w:t>;</w:t>
      </w:r>
      <w:r w:rsidR="00610481" w:rsidRPr="00086A97">
        <w:rPr>
          <w:lang w:val="en-GB"/>
        </w:rPr>
        <w:t xml:space="preserve"> </w:t>
      </w:r>
      <w:r w:rsidR="00E41C55">
        <w:rPr>
          <w:lang w:val="en-GB"/>
        </w:rPr>
        <w:t>c</w:t>
      </w:r>
      <w:r w:rsidR="00610481" w:rsidRPr="00086A97">
        <w:rPr>
          <w:lang w:val="en-GB"/>
        </w:rPr>
        <w:t xml:space="preserve">ommercial availability of both new refrigerants and components for </w:t>
      </w:r>
      <w:r w:rsidRPr="00086A97">
        <w:rPr>
          <w:lang w:val="en-GB"/>
        </w:rPr>
        <w:t xml:space="preserve">the </w:t>
      </w:r>
      <w:r w:rsidR="00610481" w:rsidRPr="00086A97">
        <w:rPr>
          <w:lang w:val="en-GB"/>
        </w:rPr>
        <w:t>optimi</w:t>
      </w:r>
      <w:r w:rsidRPr="00086A97">
        <w:rPr>
          <w:lang w:val="en-GB"/>
        </w:rPr>
        <w:t>z</w:t>
      </w:r>
      <w:r w:rsidR="00610481" w:rsidRPr="00086A97">
        <w:rPr>
          <w:lang w:val="en-GB"/>
        </w:rPr>
        <w:t>ation of R/AC equipment w</w:t>
      </w:r>
      <w:r w:rsidRPr="00086A97">
        <w:rPr>
          <w:lang w:val="en-GB"/>
        </w:rPr>
        <w:t>ould</w:t>
      </w:r>
      <w:r w:rsidR="00610481" w:rsidRPr="00086A97">
        <w:rPr>
          <w:lang w:val="en-GB"/>
        </w:rPr>
        <w:t xml:space="preserve"> affect the transition.</w:t>
      </w:r>
    </w:p>
    <w:p w14:paraId="14D81408" w14:textId="2E570EE7" w:rsidR="00610481" w:rsidRPr="00086A97" w:rsidRDefault="00610481"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w:t>
      </w:r>
      <w:proofErr w:type="spellStart"/>
      <w:r w:rsidRPr="00086A97">
        <w:rPr>
          <w:lang w:val="en-GB"/>
        </w:rPr>
        <w:t>Kuijpers</w:t>
      </w:r>
      <w:proofErr w:type="spellEnd"/>
      <w:r w:rsidRPr="00086A97">
        <w:rPr>
          <w:lang w:val="en-GB"/>
        </w:rPr>
        <w:t xml:space="preserve"> then presented </w:t>
      </w:r>
      <w:r w:rsidR="00C865BD" w:rsidRPr="00086A97">
        <w:rPr>
          <w:lang w:val="en-GB"/>
        </w:rPr>
        <w:t xml:space="preserve">information </w:t>
      </w:r>
      <w:r w:rsidRPr="00086A97">
        <w:rPr>
          <w:lang w:val="en-GB"/>
        </w:rPr>
        <w:t xml:space="preserve">on the updates to the chapter on </w:t>
      </w:r>
      <w:r w:rsidR="00C865BD" w:rsidRPr="00086A97">
        <w:rPr>
          <w:lang w:val="en-GB"/>
        </w:rPr>
        <w:t xml:space="preserve">the </w:t>
      </w:r>
      <w:r w:rsidRPr="00086A97">
        <w:rPr>
          <w:lang w:val="en-GB"/>
        </w:rPr>
        <w:t xml:space="preserve">business-as-usual (BAU) and mitigation </w:t>
      </w:r>
      <w:r w:rsidR="00C865BD" w:rsidRPr="00086A97">
        <w:rPr>
          <w:lang w:val="en-GB"/>
        </w:rPr>
        <w:t xml:space="preserve">(MIT) </w:t>
      </w:r>
      <w:r w:rsidRPr="00086A97">
        <w:rPr>
          <w:lang w:val="en-GB"/>
        </w:rPr>
        <w:t xml:space="preserve">scenarios. He listed the </w:t>
      </w:r>
      <w:r w:rsidR="00C865BD" w:rsidRPr="00086A97">
        <w:rPr>
          <w:lang w:val="en-GB"/>
        </w:rPr>
        <w:t xml:space="preserve">factors taken into account, </w:t>
      </w:r>
      <w:r w:rsidRPr="00086A97">
        <w:rPr>
          <w:lang w:val="en-GB"/>
        </w:rPr>
        <w:t xml:space="preserve">such as existing </w:t>
      </w:r>
      <w:r w:rsidR="00C865BD" w:rsidRPr="00086A97">
        <w:rPr>
          <w:lang w:val="en-GB"/>
        </w:rPr>
        <w:t xml:space="preserve">and pending </w:t>
      </w:r>
      <w:r w:rsidRPr="00086A97">
        <w:rPr>
          <w:lang w:val="en-GB"/>
        </w:rPr>
        <w:t>regulations in non-A</w:t>
      </w:r>
      <w:r w:rsidR="00C865BD" w:rsidRPr="00086A97">
        <w:rPr>
          <w:lang w:val="en-GB"/>
        </w:rPr>
        <w:t xml:space="preserve">rticle </w:t>
      </w:r>
      <w:r w:rsidRPr="00086A97">
        <w:rPr>
          <w:lang w:val="en-GB"/>
        </w:rPr>
        <w:t>5 parties and the impact of the latter</w:t>
      </w:r>
      <w:r w:rsidR="00C865BD" w:rsidRPr="00086A97">
        <w:rPr>
          <w:lang w:val="en-GB"/>
        </w:rPr>
        <w:t>;</w:t>
      </w:r>
      <w:r w:rsidRPr="00086A97">
        <w:rPr>
          <w:lang w:val="en-GB"/>
        </w:rPr>
        <w:t xml:space="preserve"> a revised table on growth percentages for the various R/AC subsectors</w:t>
      </w:r>
      <w:r w:rsidR="00C865BD" w:rsidRPr="00086A97">
        <w:rPr>
          <w:lang w:val="en-GB"/>
        </w:rPr>
        <w:t>;</w:t>
      </w:r>
      <w:r w:rsidRPr="00086A97">
        <w:rPr>
          <w:lang w:val="en-GB"/>
        </w:rPr>
        <w:t xml:space="preserve"> additional information on the production of various HFCs, </w:t>
      </w:r>
      <w:r w:rsidR="00C865BD" w:rsidRPr="00086A97">
        <w:rPr>
          <w:lang w:val="en-GB"/>
        </w:rPr>
        <w:t xml:space="preserve">including but </w:t>
      </w:r>
      <w:r w:rsidRPr="00086A97">
        <w:rPr>
          <w:lang w:val="en-GB"/>
        </w:rPr>
        <w:t xml:space="preserve">not </w:t>
      </w:r>
      <w:r w:rsidR="00C865BD" w:rsidRPr="00086A97">
        <w:rPr>
          <w:lang w:val="en-GB"/>
        </w:rPr>
        <w:t xml:space="preserve">limited to </w:t>
      </w:r>
      <w:r w:rsidRPr="00086A97">
        <w:rPr>
          <w:lang w:val="en-GB"/>
        </w:rPr>
        <w:t xml:space="preserve">the </w:t>
      </w:r>
      <w:r w:rsidR="00C865BD" w:rsidRPr="00086A97">
        <w:rPr>
          <w:lang w:val="en-GB"/>
        </w:rPr>
        <w:t xml:space="preserve">principal </w:t>
      </w:r>
      <w:r w:rsidRPr="00086A97">
        <w:rPr>
          <w:lang w:val="en-GB"/>
        </w:rPr>
        <w:t>ones for the R/AC sector</w:t>
      </w:r>
      <w:r w:rsidR="00C865BD" w:rsidRPr="00086A97">
        <w:rPr>
          <w:lang w:val="en-GB"/>
        </w:rPr>
        <w:t>;</w:t>
      </w:r>
      <w:r w:rsidRPr="00086A97">
        <w:rPr>
          <w:lang w:val="en-GB"/>
        </w:rPr>
        <w:t xml:space="preserve"> an addition of an 18-year manufacturing conversion period for the A</w:t>
      </w:r>
      <w:r w:rsidR="00C865BD" w:rsidRPr="00086A97">
        <w:rPr>
          <w:lang w:val="en-GB"/>
        </w:rPr>
        <w:t xml:space="preserve">rticle </w:t>
      </w:r>
      <w:r w:rsidRPr="00086A97">
        <w:rPr>
          <w:lang w:val="en-GB"/>
        </w:rPr>
        <w:t xml:space="preserve">5 </w:t>
      </w:r>
      <w:r w:rsidR="00C865BD" w:rsidRPr="00086A97">
        <w:rPr>
          <w:lang w:val="en-GB"/>
        </w:rPr>
        <w:t xml:space="preserve">party </w:t>
      </w:r>
      <w:r w:rsidRPr="00086A97">
        <w:rPr>
          <w:lang w:val="en-GB"/>
        </w:rPr>
        <w:t xml:space="preserve">MIT-3 scenario and its impact on total demand. He mentioned that </w:t>
      </w:r>
      <w:r w:rsidR="00C2118A" w:rsidRPr="00086A97">
        <w:rPr>
          <w:lang w:val="en-GB"/>
        </w:rPr>
        <w:t>a</w:t>
      </w:r>
      <w:r w:rsidRPr="00086A97">
        <w:rPr>
          <w:lang w:val="en-GB"/>
        </w:rPr>
        <w:t>nnex 3 provide</w:t>
      </w:r>
      <w:r w:rsidR="00C2118A" w:rsidRPr="00086A97">
        <w:rPr>
          <w:lang w:val="en-GB"/>
        </w:rPr>
        <w:t>d</w:t>
      </w:r>
      <w:r w:rsidRPr="00086A97">
        <w:rPr>
          <w:lang w:val="en-GB"/>
        </w:rPr>
        <w:t xml:space="preserve"> an overview of final regulations </w:t>
      </w:r>
      <w:r w:rsidR="00C2118A" w:rsidRPr="00086A97">
        <w:rPr>
          <w:lang w:val="en-GB"/>
        </w:rPr>
        <w:t xml:space="preserve">in </w:t>
      </w:r>
      <w:r w:rsidRPr="00086A97">
        <w:rPr>
          <w:lang w:val="en-GB"/>
        </w:rPr>
        <w:t>the E</w:t>
      </w:r>
      <w:r w:rsidR="00C2118A" w:rsidRPr="00086A97">
        <w:rPr>
          <w:lang w:val="en-GB"/>
        </w:rPr>
        <w:t xml:space="preserve">uropean </w:t>
      </w:r>
      <w:r w:rsidRPr="00086A97">
        <w:rPr>
          <w:lang w:val="en-GB"/>
        </w:rPr>
        <w:t>U</w:t>
      </w:r>
      <w:r w:rsidR="00C2118A" w:rsidRPr="00086A97">
        <w:rPr>
          <w:lang w:val="en-GB"/>
        </w:rPr>
        <w:t>nion</w:t>
      </w:r>
      <w:r w:rsidRPr="00086A97">
        <w:rPr>
          <w:lang w:val="en-GB"/>
        </w:rPr>
        <w:t xml:space="preserve">, </w:t>
      </w:r>
      <w:r w:rsidR="00C2118A" w:rsidRPr="00086A97">
        <w:rPr>
          <w:lang w:val="en-GB"/>
        </w:rPr>
        <w:t xml:space="preserve">the </w:t>
      </w:r>
      <w:r w:rsidRPr="00086A97">
        <w:rPr>
          <w:lang w:val="en-GB"/>
        </w:rPr>
        <w:t>U</w:t>
      </w:r>
      <w:r w:rsidR="00C2118A" w:rsidRPr="00086A97">
        <w:rPr>
          <w:lang w:val="en-GB"/>
        </w:rPr>
        <w:t xml:space="preserve">nited </w:t>
      </w:r>
      <w:r w:rsidRPr="00086A97">
        <w:rPr>
          <w:lang w:val="en-GB"/>
        </w:rPr>
        <w:t>S</w:t>
      </w:r>
      <w:r w:rsidR="00C2118A" w:rsidRPr="00086A97">
        <w:rPr>
          <w:lang w:val="en-GB"/>
        </w:rPr>
        <w:t>tates</w:t>
      </w:r>
      <w:r w:rsidRPr="00086A97">
        <w:rPr>
          <w:lang w:val="en-GB"/>
        </w:rPr>
        <w:t xml:space="preserve"> and Japan, all addressing HFCs</w:t>
      </w:r>
      <w:r w:rsidR="00C2118A" w:rsidRPr="00086A97">
        <w:rPr>
          <w:lang w:val="en-GB"/>
        </w:rPr>
        <w:t>.</w:t>
      </w:r>
    </w:p>
    <w:p w14:paraId="408531F3" w14:textId="073ED166" w:rsidR="00610481" w:rsidRPr="00086A97" w:rsidRDefault="006F2EF8" w:rsidP="0044340F">
      <w:pPr>
        <w:pStyle w:val="Normalnumber"/>
        <w:numPr>
          <w:ilvl w:val="0"/>
          <w:numId w:val="41"/>
        </w:numPr>
        <w:ind w:left="1247" w:firstLine="0"/>
        <w:rPr>
          <w:lang w:val="en-GB"/>
        </w:rPr>
      </w:pPr>
      <w:r w:rsidRPr="00086A97">
        <w:rPr>
          <w:lang w:val="en-GB"/>
        </w:rPr>
        <w:t>With regard to r</w:t>
      </w:r>
      <w:r w:rsidR="00610481" w:rsidRPr="00086A97">
        <w:rPr>
          <w:lang w:val="en-GB"/>
        </w:rPr>
        <w:t>egulations considered for the non-A</w:t>
      </w:r>
      <w:r w:rsidRPr="00086A97">
        <w:rPr>
          <w:lang w:val="en-GB"/>
        </w:rPr>
        <w:t xml:space="preserve">rticle </w:t>
      </w:r>
      <w:r w:rsidR="00610481" w:rsidRPr="00086A97">
        <w:rPr>
          <w:lang w:val="en-GB"/>
        </w:rPr>
        <w:t xml:space="preserve">5 </w:t>
      </w:r>
      <w:r w:rsidRPr="00086A97">
        <w:rPr>
          <w:lang w:val="en-GB"/>
        </w:rPr>
        <w:t xml:space="preserve">party </w:t>
      </w:r>
      <w:r w:rsidR="00610481" w:rsidRPr="00086A97">
        <w:rPr>
          <w:lang w:val="en-GB"/>
        </w:rPr>
        <w:t>BAU scenario</w:t>
      </w:r>
      <w:r w:rsidRPr="00086A97">
        <w:rPr>
          <w:lang w:val="en-GB"/>
        </w:rPr>
        <w:t>, he outlined the European Union and United States</w:t>
      </w:r>
      <w:r w:rsidR="00610481" w:rsidRPr="00086A97">
        <w:rPr>
          <w:lang w:val="en-GB"/>
        </w:rPr>
        <w:t xml:space="preserve"> regulations, </w:t>
      </w:r>
      <w:r w:rsidRPr="00086A97">
        <w:rPr>
          <w:lang w:val="en-GB"/>
        </w:rPr>
        <w:t>noting</w:t>
      </w:r>
      <w:r w:rsidR="00610481" w:rsidRPr="00086A97">
        <w:rPr>
          <w:lang w:val="en-GB"/>
        </w:rPr>
        <w:t xml:space="preserve"> that the projection for </w:t>
      </w:r>
      <w:r w:rsidRPr="00086A97">
        <w:rPr>
          <w:lang w:val="en-GB"/>
        </w:rPr>
        <w:t xml:space="preserve">the scenario </w:t>
      </w:r>
      <w:r w:rsidR="00610481" w:rsidRPr="00086A97">
        <w:rPr>
          <w:lang w:val="en-GB"/>
        </w:rPr>
        <w:t xml:space="preserve">without regulations </w:t>
      </w:r>
      <w:r w:rsidRPr="00086A97">
        <w:rPr>
          <w:lang w:val="en-GB"/>
        </w:rPr>
        <w:t>extended</w:t>
      </w:r>
      <w:r w:rsidR="00610481" w:rsidRPr="00086A97">
        <w:rPr>
          <w:lang w:val="en-GB"/>
        </w:rPr>
        <w:t xml:space="preserve"> only</w:t>
      </w:r>
      <w:r w:rsidRPr="00086A97">
        <w:rPr>
          <w:lang w:val="en-GB"/>
        </w:rPr>
        <w:t xml:space="preserve"> to</w:t>
      </w:r>
      <w:r w:rsidR="00610481" w:rsidRPr="00086A97">
        <w:rPr>
          <w:lang w:val="en-GB"/>
        </w:rPr>
        <w:t xml:space="preserve"> 2030 due to uncertainty </w:t>
      </w:r>
      <w:r w:rsidRPr="00086A97">
        <w:rPr>
          <w:lang w:val="en-GB"/>
        </w:rPr>
        <w:t xml:space="preserve">regarding what </w:t>
      </w:r>
      <w:r w:rsidR="00610481" w:rsidRPr="00086A97">
        <w:rPr>
          <w:lang w:val="en-GB"/>
        </w:rPr>
        <w:t>further regulations</w:t>
      </w:r>
      <w:r w:rsidRPr="00086A97">
        <w:rPr>
          <w:lang w:val="en-GB"/>
        </w:rPr>
        <w:t xml:space="preserve">, </w:t>
      </w:r>
      <w:r w:rsidR="00610481" w:rsidRPr="00086A97">
        <w:rPr>
          <w:lang w:val="en-GB"/>
        </w:rPr>
        <w:t xml:space="preserve">policies and alternative choices </w:t>
      </w:r>
      <w:r w:rsidRPr="00086A97">
        <w:rPr>
          <w:lang w:val="en-GB"/>
        </w:rPr>
        <w:t xml:space="preserve">might be made </w:t>
      </w:r>
      <w:r w:rsidR="00610481" w:rsidRPr="00086A97">
        <w:rPr>
          <w:lang w:val="en-GB"/>
        </w:rPr>
        <w:t xml:space="preserve">beyond </w:t>
      </w:r>
      <w:r w:rsidRPr="00086A97">
        <w:rPr>
          <w:lang w:val="en-GB"/>
        </w:rPr>
        <w:t>that year</w:t>
      </w:r>
      <w:r w:rsidR="00610481" w:rsidRPr="00086A97">
        <w:rPr>
          <w:lang w:val="en-GB"/>
        </w:rPr>
        <w:t xml:space="preserve">. He showed two curves that illustrated the impact of the two BAU approaches. </w:t>
      </w:r>
      <w:r w:rsidRPr="00086A97">
        <w:rPr>
          <w:lang w:val="en-GB"/>
        </w:rPr>
        <w:t xml:space="preserve">Regarding </w:t>
      </w:r>
      <w:r w:rsidR="00610481" w:rsidRPr="00086A97">
        <w:rPr>
          <w:lang w:val="en-GB"/>
        </w:rPr>
        <w:t>the MIT scenarios</w:t>
      </w:r>
      <w:r w:rsidRPr="00086A97">
        <w:rPr>
          <w:lang w:val="en-GB"/>
        </w:rPr>
        <w:t xml:space="preserve">, he stressed that they had </w:t>
      </w:r>
      <w:r w:rsidR="00610481" w:rsidRPr="00086A97">
        <w:rPr>
          <w:lang w:val="en-GB"/>
        </w:rPr>
        <w:t xml:space="preserve">not changed compared to </w:t>
      </w:r>
      <w:r w:rsidRPr="00086A97">
        <w:rPr>
          <w:lang w:val="en-GB"/>
        </w:rPr>
        <w:t xml:space="preserve">those in the </w:t>
      </w:r>
      <w:r w:rsidR="00610481" w:rsidRPr="00086A97">
        <w:rPr>
          <w:lang w:val="en-GB"/>
        </w:rPr>
        <w:t xml:space="preserve">earlier </w:t>
      </w:r>
      <w:r w:rsidRPr="00086A97">
        <w:rPr>
          <w:lang w:val="en-GB"/>
        </w:rPr>
        <w:t xml:space="preserve">version of the report </w:t>
      </w:r>
      <w:r w:rsidR="00610481" w:rsidRPr="00086A97">
        <w:rPr>
          <w:lang w:val="en-GB"/>
        </w:rPr>
        <w:t>and that for the MIT-3 scenario the demand for various manufacturing conversion periods had been determined for a period varying from 6 to 18 years for A</w:t>
      </w:r>
      <w:r w:rsidRPr="00086A97">
        <w:rPr>
          <w:lang w:val="en-GB"/>
        </w:rPr>
        <w:t xml:space="preserve">rticle </w:t>
      </w:r>
      <w:r w:rsidR="00610481" w:rsidRPr="00086A97">
        <w:rPr>
          <w:lang w:val="en-GB"/>
        </w:rPr>
        <w:t xml:space="preserve">5 parties. He then showed the integrated total demand values calculated for BAU and </w:t>
      </w:r>
      <w:r w:rsidR="00086A97" w:rsidRPr="00086A97">
        <w:rPr>
          <w:lang w:val="en-GB"/>
        </w:rPr>
        <w:br/>
      </w:r>
      <w:r w:rsidR="00610481" w:rsidRPr="00086A97">
        <w:rPr>
          <w:lang w:val="en-GB"/>
        </w:rPr>
        <w:t xml:space="preserve">MIT-3, </w:t>
      </w:r>
      <w:r w:rsidRPr="00086A97">
        <w:rPr>
          <w:lang w:val="en-GB"/>
        </w:rPr>
        <w:t>MIT</w:t>
      </w:r>
      <w:r w:rsidR="00610481" w:rsidRPr="00086A97">
        <w:rPr>
          <w:lang w:val="en-GB"/>
        </w:rPr>
        <w:t xml:space="preserve">-4 and </w:t>
      </w:r>
      <w:r w:rsidRPr="00086A97">
        <w:rPr>
          <w:lang w:val="en-GB"/>
        </w:rPr>
        <w:t>MIT</w:t>
      </w:r>
      <w:r w:rsidR="00610481" w:rsidRPr="00086A97">
        <w:rPr>
          <w:lang w:val="en-GB"/>
        </w:rPr>
        <w:t>-5 for the period</w:t>
      </w:r>
      <w:r w:rsidRPr="00086A97">
        <w:rPr>
          <w:lang w:val="en-GB"/>
        </w:rPr>
        <w:t>s</w:t>
      </w:r>
      <w:r w:rsidR="00610481" w:rsidRPr="00086A97">
        <w:rPr>
          <w:lang w:val="en-GB"/>
        </w:rPr>
        <w:t xml:space="preserve"> 2020</w:t>
      </w:r>
      <w:r w:rsidRPr="00086A97">
        <w:rPr>
          <w:lang w:val="en-GB"/>
        </w:rPr>
        <w:t>–</w:t>
      </w:r>
      <w:r w:rsidR="00610481" w:rsidRPr="00086A97">
        <w:rPr>
          <w:lang w:val="en-GB"/>
        </w:rPr>
        <w:t>2050 and 2020</w:t>
      </w:r>
      <w:r w:rsidRPr="00086A97">
        <w:rPr>
          <w:lang w:val="en-GB"/>
        </w:rPr>
        <w:t>–</w:t>
      </w:r>
      <w:r w:rsidR="00610481" w:rsidRPr="00086A97">
        <w:rPr>
          <w:lang w:val="en-GB"/>
        </w:rPr>
        <w:t xml:space="preserve">2040. </w:t>
      </w:r>
      <w:r w:rsidR="0009026F" w:rsidRPr="00086A97">
        <w:rPr>
          <w:lang w:val="en-GB"/>
        </w:rPr>
        <w:t xml:space="preserve">The greatest </w:t>
      </w:r>
      <w:r w:rsidR="00610481" w:rsidRPr="00086A97">
        <w:rPr>
          <w:lang w:val="en-GB"/>
        </w:rPr>
        <w:t>saving</w:t>
      </w:r>
      <w:r w:rsidR="0009026F" w:rsidRPr="00086A97">
        <w:rPr>
          <w:lang w:val="en-GB"/>
        </w:rPr>
        <w:t xml:space="preserve"> over the BAU scenario</w:t>
      </w:r>
      <w:r w:rsidR="00610481" w:rsidRPr="00086A97">
        <w:rPr>
          <w:lang w:val="en-GB"/>
        </w:rPr>
        <w:t xml:space="preserve">, </w:t>
      </w:r>
      <w:r w:rsidR="0009026F" w:rsidRPr="00086A97">
        <w:rPr>
          <w:lang w:val="en-GB"/>
        </w:rPr>
        <w:t>o</w:t>
      </w:r>
      <w:r w:rsidR="00610481" w:rsidRPr="00086A97">
        <w:rPr>
          <w:lang w:val="en-GB"/>
        </w:rPr>
        <w:t>n the order of 75</w:t>
      </w:r>
      <w:r w:rsidR="0009026F" w:rsidRPr="00086A97">
        <w:rPr>
          <w:lang w:val="en-GB"/>
        </w:rPr>
        <w:t xml:space="preserve"> per cent</w:t>
      </w:r>
      <w:r w:rsidR="00610481" w:rsidRPr="00086A97">
        <w:rPr>
          <w:lang w:val="en-GB"/>
        </w:rPr>
        <w:t xml:space="preserve">, </w:t>
      </w:r>
      <w:r w:rsidR="0009026F" w:rsidRPr="00086A97">
        <w:rPr>
          <w:lang w:val="en-GB"/>
        </w:rPr>
        <w:t>was seen in</w:t>
      </w:r>
      <w:r w:rsidR="00610481" w:rsidRPr="00086A97">
        <w:rPr>
          <w:lang w:val="en-GB"/>
        </w:rPr>
        <w:t xml:space="preserve"> the MIT-3 scenario for the period 2030</w:t>
      </w:r>
      <w:r w:rsidR="0009026F" w:rsidRPr="00086A97">
        <w:rPr>
          <w:lang w:val="en-GB"/>
        </w:rPr>
        <w:t>–</w:t>
      </w:r>
      <w:r w:rsidR="00610481" w:rsidRPr="00086A97">
        <w:rPr>
          <w:lang w:val="en-GB"/>
        </w:rPr>
        <w:t xml:space="preserve">2050. </w:t>
      </w:r>
      <w:r w:rsidR="00292C61" w:rsidRPr="00086A97">
        <w:rPr>
          <w:lang w:val="en-GB"/>
        </w:rPr>
        <w:t>He</w:t>
      </w:r>
      <w:r w:rsidR="00610481" w:rsidRPr="00086A97">
        <w:rPr>
          <w:lang w:val="en-GB"/>
        </w:rPr>
        <w:t xml:space="preserve"> then showed graphs for various conversion periods and the impact on total demand</w:t>
      </w:r>
      <w:r w:rsidR="00292C61" w:rsidRPr="00086A97">
        <w:rPr>
          <w:lang w:val="en-GB"/>
        </w:rPr>
        <w:t xml:space="preserve"> in manufacturing</w:t>
      </w:r>
      <w:r w:rsidR="00610481" w:rsidRPr="00086A97">
        <w:rPr>
          <w:lang w:val="en-GB"/>
        </w:rPr>
        <w:t xml:space="preserve"> for the MIT-3 scenario. A </w:t>
      </w:r>
      <w:r w:rsidR="00292C61" w:rsidRPr="00086A97">
        <w:rPr>
          <w:lang w:val="en-GB"/>
        </w:rPr>
        <w:t>six</w:t>
      </w:r>
      <w:r w:rsidR="00610481" w:rsidRPr="00086A97">
        <w:rPr>
          <w:lang w:val="en-GB"/>
        </w:rPr>
        <w:t>-year manufacturing conversion period result</w:t>
      </w:r>
      <w:r w:rsidR="00292C61" w:rsidRPr="00086A97">
        <w:rPr>
          <w:lang w:val="en-GB"/>
        </w:rPr>
        <w:t>ed</w:t>
      </w:r>
      <w:r w:rsidR="00610481" w:rsidRPr="00086A97">
        <w:rPr>
          <w:lang w:val="en-GB"/>
        </w:rPr>
        <w:t xml:space="preserve"> in a fast decrease </w:t>
      </w:r>
      <w:r w:rsidR="00292C61" w:rsidRPr="00086A97">
        <w:rPr>
          <w:lang w:val="en-GB"/>
        </w:rPr>
        <w:t>in</w:t>
      </w:r>
      <w:r w:rsidR="00610481" w:rsidRPr="00086A97">
        <w:rPr>
          <w:lang w:val="en-GB"/>
        </w:rPr>
        <w:t xml:space="preserve"> total demand after th</w:t>
      </w:r>
      <w:r w:rsidR="00292C61" w:rsidRPr="00086A97">
        <w:rPr>
          <w:lang w:val="en-GB"/>
        </w:rPr>
        <w:t>e</w:t>
      </w:r>
      <w:r w:rsidR="00610481" w:rsidRPr="00086A97">
        <w:rPr>
          <w:lang w:val="en-GB"/>
        </w:rPr>
        <w:t xml:space="preserve"> </w:t>
      </w:r>
      <w:r w:rsidR="00292C61" w:rsidRPr="00086A97">
        <w:rPr>
          <w:lang w:val="en-GB"/>
        </w:rPr>
        <w:t xml:space="preserve">start of </w:t>
      </w:r>
      <w:r w:rsidR="00610481" w:rsidRPr="00086A97">
        <w:rPr>
          <w:lang w:val="en-GB"/>
        </w:rPr>
        <w:t>conversion</w:t>
      </w:r>
      <w:r w:rsidR="00292C61" w:rsidRPr="00086A97">
        <w:rPr>
          <w:lang w:val="en-GB"/>
        </w:rPr>
        <w:t>;</w:t>
      </w:r>
      <w:r w:rsidR="00610481" w:rsidRPr="00086A97">
        <w:rPr>
          <w:lang w:val="en-GB"/>
        </w:rPr>
        <w:t xml:space="preserve"> a 12-year conversion period result</w:t>
      </w:r>
      <w:r w:rsidR="00292C61" w:rsidRPr="00086A97">
        <w:rPr>
          <w:lang w:val="en-GB"/>
        </w:rPr>
        <w:t>ed</w:t>
      </w:r>
      <w:r w:rsidR="00610481" w:rsidRPr="00086A97">
        <w:rPr>
          <w:lang w:val="en-GB"/>
        </w:rPr>
        <w:t xml:space="preserve"> in a very slow decrease of total demand after th</w:t>
      </w:r>
      <w:r w:rsidR="00292C61" w:rsidRPr="00086A97">
        <w:rPr>
          <w:lang w:val="en-GB"/>
        </w:rPr>
        <w:t>e start of</w:t>
      </w:r>
      <w:r w:rsidR="00610481" w:rsidRPr="00086A97">
        <w:rPr>
          <w:lang w:val="en-GB"/>
        </w:rPr>
        <w:t xml:space="preserve"> conversion, </w:t>
      </w:r>
      <w:r w:rsidR="00292C61" w:rsidRPr="00086A97">
        <w:rPr>
          <w:lang w:val="en-GB"/>
        </w:rPr>
        <w:t xml:space="preserve">and </w:t>
      </w:r>
      <w:r w:rsidR="00610481" w:rsidRPr="00086A97">
        <w:rPr>
          <w:lang w:val="en-GB"/>
        </w:rPr>
        <w:t>an 18-year conversion period result</w:t>
      </w:r>
      <w:r w:rsidR="00292C61" w:rsidRPr="00086A97">
        <w:rPr>
          <w:lang w:val="en-GB"/>
        </w:rPr>
        <w:t>ed</w:t>
      </w:r>
      <w:r w:rsidR="00610481" w:rsidRPr="00086A97">
        <w:rPr>
          <w:lang w:val="en-GB"/>
        </w:rPr>
        <w:t xml:space="preserve"> in </w:t>
      </w:r>
      <w:r w:rsidR="00661509" w:rsidRPr="00086A97">
        <w:rPr>
          <w:lang w:val="en-GB"/>
        </w:rPr>
        <w:t>continued</w:t>
      </w:r>
      <w:r w:rsidR="00610481" w:rsidRPr="00086A97">
        <w:rPr>
          <w:lang w:val="en-GB"/>
        </w:rPr>
        <w:t xml:space="preserve"> high demand during the </w:t>
      </w:r>
      <w:r w:rsidR="00661509" w:rsidRPr="00086A97">
        <w:rPr>
          <w:lang w:val="en-GB"/>
        </w:rPr>
        <w:t xml:space="preserve">first </w:t>
      </w:r>
      <w:r w:rsidR="00610481" w:rsidRPr="00086A97">
        <w:rPr>
          <w:lang w:val="en-GB"/>
        </w:rPr>
        <w:t>12 years after th</w:t>
      </w:r>
      <w:r w:rsidR="00661509" w:rsidRPr="00086A97">
        <w:rPr>
          <w:lang w:val="en-GB"/>
        </w:rPr>
        <w:t>e start of</w:t>
      </w:r>
      <w:r w:rsidR="00610481" w:rsidRPr="00086A97">
        <w:rPr>
          <w:lang w:val="en-GB"/>
        </w:rPr>
        <w:t xml:space="preserve"> conversion, </w:t>
      </w:r>
      <w:r w:rsidR="00661509" w:rsidRPr="00086A97">
        <w:rPr>
          <w:lang w:val="en-GB"/>
        </w:rPr>
        <w:t xml:space="preserve">with </w:t>
      </w:r>
      <w:r w:rsidR="00610481" w:rsidRPr="00086A97">
        <w:rPr>
          <w:lang w:val="en-GB"/>
        </w:rPr>
        <w:t xml:space="preserve">demand </w:t>
      </w:r>
      <w:r w:rsidR="00661509" w:rsidRPr="00086A97">
        <w:rPr>
          <w:lang w:val="en-GB"/>
        </w:rPr>
        <w:t xml:space="preserve">beginning </w:t>
      </w:r>
      <w:r w:rsidR="00610481" w:rsidRPr="00086A97">
        <w:rPr>
          <w:lang w:val="en-GB"/>
        </w:rPr>
        <w:t>to decline</w:t>
      </w:r>
      <w:r w:rsidR="00661509" w:rsidRPr="00086A97">
        <w:rPr>
          <w:lang w:val="en-GB"/>
        </w:rPr>
        <w:t xml:space="preserve"> only at the end of that period</w:t>
      </w:r>
      <w:r w:rsidR="00610481" w:rsidRPr="00086A97">
        <w:rPr>
          <w:lang w:val="en-GB"/>
        </w:rPr>
        <w:t>.</w:t>
      </w:r>
    </w:p>
    <w:p w14:paraId="5992F4C6" w14:textId="7169411F" w:rsidR="00610481" w:rsidRPr="00086A97" w:rsidRDefault="002B4F61" w:rsidP="0044340F">
      <w:pPr>
        <w:pStyle w:val="Normalnumber"/>
        <w:numPr>
          <w:ilvl w:val="0"/>
          <w:numId w:val="41"/>
        </w:numPr>
        <w:ind w:left="1247" w:firstLine="0"/>
        <w:rPr>
          <w:lang w:val="en-GB"/>
        </w:rPr>
      </w:pPr>
      <w:r w:rsidRPr="00086A97">
        <w:rPr>
          <w:lang w:val="en-GB"/>
        </w:rPr>
        <w:t>He</w:t>
      </w:r>
      <w:r w:rsidR="00610481" w:rsidRPr="00086A97">
        <w:rPr>
          <w:lang w:val="en-GB"/>
        </w:rPr>
        <w:t xml:space="preserve"> concluded by saying that the next step </w:t>
      </w:r>
      <w:r w:rsidRPr="00086A97">
        <w:rPr>
          <w:lang w:val="en-GB"/>
        </w:rPr>
        <w:t>i</w:t>
      </w:r>
      <w:r w:rsidR="00610481" w:rsidRPr="00086A97">
        <w:rPr>
          <w:lang w:val="en-GB"/>
        </w:rPr>
        <w:t xml:space="preserve">n the response to </w:t>
      </w:r>
      <w:r w:rsidRPr="00086A97">
        <w:rPr>
          <w:lang w:val="en-GB"/>
        </w:rPr>
        <w:t>d</w:t>
      </w:r>
      <w:r w:rsidR="00610481" w:rsidRPr="00086A97">
        <w:rPr>
          <w:lang w:val="en-GB"/>
        </w:rPr>
        <w:t xml:space="preserve">ecision XXVII/4 would be the preparation of a </w:t>
      </w:r>
      <w:r w:rsidRPr="00086A97">
        <w:rPr>
          <w:lang w:val="en-GB"/>
        </w:rPr>
        <w:t xml:space="preserve">further </w:t>
      </w:r>
      <w:r w:rsidR="00610481" w:rsidRPr="00086A97">
        <w:rPr>
          <w:lang w:val="en-GB"/>
        </w:rPr>
        <w:t xml:space="preserve">updated </w:t>
      </w:r>
      <w:r w:rsidRPr="00086A97">
        <w:rPr>
          <w:lang w:val="en-GB"/>
        </w:rPr>
        <w:t xml:space="preserve">version of the </w:t>
      </w:r>
      <w:r w:rsidR="00610481" w:rsidRPr="00086A97">
        <w:rPr>
          <w:lang w:val="en-GB"/>
        </w:rPr>
        <w:t xml:space="preserve">report for </w:t>
      </w:r>
      <w:r w:rsidRPr="00086A97">
        <w:rPr>
          <w:lang w:val="en-GB"/>
        </w:rPr>
        <w:t>the Twenty-Eighth Meeting of the Parties</w:t>
      </w:r>
      <w:r w:rsidR="00610481" w:rsidRPr="00086A97">
        <w:rPr>
          <w:lang w:val="en-GB"/>
        </w:rPr>
        <w:t xml:space="preserve">, as appropriate, </w:t>
      </w:r>
      <w:r w:rsidRPr="00086A97">
        <w:rPr>
          <w:lang w:val="en-GB"/>
        </w:rPr>
        <w:t xml:space="preserve">taking into account </w:t>
      </w:r>
      <w:r w:rsidR="00610481" w:rsidRPr="00086A97">
        <w:rPr>
          <w:lang w:val="en-GB"/>
        </w:rPr>
        <w:t xml:space="preserve">the discussions during </w:t>
      </w:r>
      <w:r w:rsidRPr="00086A97">
        <w:rPr>
          <w:lang w:val="en-GB"/>
        </w:rPr>
        <w:t>the thirty-eighth meeting of the Open-ended Working Group and any available</w:t>
      </w:r>
      <w:r w:rsidR="00610481" w:rsidRPr="00086A97">
        <w:rPr>
          <w:lang w:val="en-GB"/>
        </w:rPr>
        <w:t xml:space="preserve"> new information.</w:t>
      </w:r>
    </w:p>
    <w:p w14:paraId="24B88F49" w14:textId="4507D8EA" w:rsidR="00610481" w:rsidRPr="00086A97" w:rsidRDefault="00CB7871" w:rsidP="00CB7871">
      <w:pPr>
        <w:pStyle w:val="CH2"/>
        <w:rPr>
          <w:lang w:val="en-GB"/>
        </w:rPr>
      </w:pPr>
      <w:r w:rsidRPr="00086A97">
        <w:rPr>
          <w:lang w:val="en-GB"/>
        </w:rPr>
        <w:tab/>
        <w:t>2.</w:t>
      </w:r>
      <w:r w:rsidRPr="00086A97">
        <w:rPr>
          <w:lang w:val="en-GB"/>
        </w:rPr>
        <w:tab/>
      </w:r>
      <w:r w:rsidR="0021396D" w:rsidRPr="00086A97">
        <w:rPr>
          <w:lang w:val="en-GB"/>
        </w:rPr>
        <w:t>2016 report</w:t>
      </w:r>
      <w:r w:rsidR="00610481" w:rsidRPr="00086A97">
        <w:rPr>
          <w:lang w:val="en-GB"/>
        </w:rPr>
        <w:t xml:space="preserve"> </w:t>
      </w:r>
      <w:r w:rsidR="0021396D" w:rsidRPr="00086A97">
        <w:rPr>
          <w:lang w:val="en-GB"/>
        </w:rPr>
        <w:t>of the Technology and Economic Assessment Panel</w:t>
      </w:r>
    </w:p>
    <w:p w14:paraId="3F2E5FCD" w14:textId="263222A6" w:rsidR="002B0F5D" w:rsidRPr="00086A97" w:rsidRDefault="00610481" w:rsidP="00CB7871">
      <w:pPr>
        <w:pStyle w:val="Normalnumber"/>
        <w:numPr>
          <w:ilvl w:val="0"/>
          <w:numId w:val="41"/>
        </w:numPr>
        <w:ind w:left="1247" w:firstLine="0"/>
        <w:rPr>
          <w:lang w:val="en-GB"/>
        </w:rPr>
      </w:pPr>
      <w:r w:rsidRPr="00E16856">
        <w:rPr>
          <w:lang w:val="en-GB"/>
        </w:rPr>
        <w:t>The presentation</w:t>
      </w:r>
      <w:r w:rsidRPr="00086A97">
        <w:rPr>
          <w:lang w:val="en-GB"/>
        </w:rPr>
        <w:t xml:space="preserve"> o</w:t>
      </w:r>
      <w:r w:rsidR="00A82255" w:rsidRPr="00086A97">
        <w:rPr>
          <w:lang w:val="en-GB"/>
        </w:rPr>
        <w:t>n the</w:t>
      </w:r>
      <w:r w:rsidRPr="00086A97">
        <w:rPr>
          <w:lang w:val="en-GB"/>
        </w:rPr>
        <w:t xml:space="preserve"> 2016 report</w:t>
      </w:r>
      <w:r w:rsidR="00A82255" w:rsidRPr="00086A97">
        <w:rPr>
          <w:lang w:val="en-GB"/>
        </w:rPr>
        <w:t xml:space="preserve"> of the Technology and Economic Assessment Panel</w:t>
      </w:r>
      <w:r w:rsidRPr="00086A97">
        <w:rPr>
          <w:lang w:val="en-GB"/>
        </w:rPr>
        <w:t xml:space="preserve"> was introduced by </w:t>
      </w:r>
      <w:proofErr w:type="spellStart"/>
      <w:r w:rsidRPr="00086A97">
        <w:rPr>
          <w:lang w:val="en-GB"/>
        </w:rPr>
        <w:t>Mr.</w:t>
      </w:r>
      <w:proofErr w:type="spellEnd"/>
      <w:r w:rsidRPr="00086A97">
        <w:rPr>
          <w:lang w:val="en-GB"/>
        </w:rPr>
        <w:t xml:space="preserve"> Ashley Woodcock, </w:t>
      </w:r>
      <w:r w:rsidR="00A82255" w:rsidRPr="00086A97">
        <w:rPr>
          <w:lang w:val="en-GB"/>
        </w:rPr>
        <w:t>C</w:t>
      </w:r>
      <w:r w:rsidRPr="00086A97">
        <w:rPr>
          <w:lang w:val="en-GB"/>
        </w:rPr>
        <w:t>o-</w:t>
      </w:r>
      <w:r w:rsidR="00A82255" w:rsidRPr="00086A97">
        <w:rPr>
          <w:lang w:val="en-GB"/>
        </w:rPr>
        <w:t>C</w:t>
      </w:r>
      <w:r w:rsidRPr="00086A97">
        <w:rPr>
          <w:lang w:val="en-GB"/>
        </w:rPr>
        <w:t xml:space="preserve">hair </w:t>
      </w:r>
      <w:r w:rsidR="00A82255" w:rsidRPr="00086A97">
        <w:rPr>
          <w:lang w:val="en-GB"/>
        </w:rPr>
        <w:t xml:space="preserve">of the Panel </w:t>
      </w:r>
      <w:r w:rsidRPr="00086A97">
        <w:rPr>
          <w:lang w:val="en-GB"/>
        </w:rPr>
        <w:t xml:space="preserve">and </w:t>
      </w:r>
      <w:r w:rsidR="00A82255" w:rsidRPr="00086A97">
        <w:rPr>
          <w:lang w:val="en-GB"/>
        </w:rPr>
        <w:t xml:space="preserve">co-chair of the </w:t>
      </w:r>
      <w:r w:rsidRPr="00086A97">
        <w:rPr>
          <w:lang w:val="en-GB"/>
        </w:rPr>
        <w:t xml:space="preserve">interim Flexible and Rigid Foams Technical Options Committee (FTOC), who outlined the overall plan of presentations to include the progress report of each </w:t>
      </w:r>
      <w:r w:rsidR="00A82255" w:rsidRPr="00086A97">
        <w:rPr>
          <w:lang w:val="en-GB"/>
        </w:rPr>
        <w:t>technical options committee</w:t>
      </w:r>
      <w:r w:rsidRPr="00086A97">
        <w:rPr>
          <w:lang w:val="en-GB"/>
        </w:rPr>
        <w:t xml:space="preserve">, recommendations on </w:t>
      </w:r>
      <w:r w:rsidR="00A82255" w:rsidRPr="00086A97">
        <w:rPr>
          <w:lang w:val="en-GB"/>
        </w:rPr>
        <w:t>c</w:t>
      </w:r>
      <w:r w:rsidRPr="00086A97">
        <w:rPr>
          <w:lang w:val="en-GB"/>
        </w:rPr>
        <w:t>ritical</w:t>
      </w:r>
      <w:r w:rsidR="00A82255" w:rsidRPr="00086A97">
        <w:rPr>
          <w:lang w:val="en-GB"/>
        </w:rPr>
        <w:t>-u</w:t>
      </w:r>
      <w:r w:rsidRPr="00086A97">
        <w:rPr>
          <w:lang w:val="en-GB"/>
        </w:rPr>
        <w:t xml:space="preserve">se </w:t>
      </w:r>
      <w:r w:rsidR="00A82255" w:rsidRPr="00086A97">
        <w:rPr>
          <w:lang w:val="en-GB"/>
        </w:rPr>
        <w:t>e</w:t>
      </w:r>
      <w:r w:rsidRPr="00086A97">
        <w:rPr>
          <w:lang w:val="en-GB"/>
        </w:rPr>
        <w:t xml:space="preserve">xemptions and </w:t>
      </w:r>
      <w:r w:rsidR="00A82255" w:rsidRPr="00086A97">
        <w:rPr>
          <w:lang w:val="en-GB"/>
        </w:rPr>
        <w:t>one</w:t>
      </w:r>
      <w:r w:rsidRPr="00086A97">
        <w:rPr>
          <w:lang w:val="en-GB"/>
        </w:rPr>
        <w:t xml:space="preserve"> </w:t>
      </w:r>
      <w:r w:rsidR="00A82255" w:rsidRPr="00086A97">
        <w:rPr>
          <w:lang w:val="en-GB"/>
        </w:rPr>
        <w:t>e</w:t>
      </w:r>
      <w:r w:rsidRPr="00086A97">
        <w:rPr>
          <w:lang w:val="en-GB"/>
        </w:rPr>
        <w:t>ssential</w:t>
      </w:r>
      <w:r w:rsidR="00A82255" w:rsidRPr="00086A97">
        <w:rPr>
          <w:lang w:val="en-GB"/>
        </w:rPr>
        <w:t>-u</w:t>
      </w:r>
      <w:r w:rsidRPr="00086A97">
        <w:rPr>
          <w:lang w:val="en-GB"/>
        </w:rPr>
        <w:t xml:space="preserve">se </w:t>
      </w:r>
      <w:r w:rsidR="00A82255" w:rsidRPr="00086A97">
        <w:rPr>
          <w:lang w:val="en-GB"/>
        </w:rPr>
        <w:t>e</w:t>
      </w:r>
      <w:r w:rsidRPr="00086A97">
        <w:rPr>
          <w:lang w:val="en-GB"/>
        </w:rPr>
        <w:t>xemption, follow</w:t>
      </w:r>
      <w:r w:rsidR="00A82255" w:rsidRPr="00086A97">
        <w:rPr>
          <w:lang w:val="en-GB"/>
        </w:rPr>
        <w:t>-</w:t>
      </w:r>
      <w:r w:rsidRPr="00086A97">
        <w:rPr>
          <w:lang w:val="en-GB"/>
        </w:rPr>
        <w:t xml:space="preserve">up to </w:t>
      </w:r>
      <w:r w:rsidR="00A82255" w:rsidRPr="00086A97">
        <w:rPr>
          <w:lang w:val="en-GB"/>
        </w:rPr>
        <w:t>d</w:t>
      </w:r>
      <w:r w:rsidRPr="00086A97">
        <w:rPr>
          <w:lang w:val="en-GB"/>
        </w:rPr>
        <w:t>ecision XXVI/7</w:t>
      </w:r>
      <w:r w:rsidR="00A82255" w:rsidRPr="00086A97">
        <w:rPr>
          <w:lang w:val="en-GB"/>
        </w:rPr>
        <w:t>,</w:t>
      </w:r>
      <w:r w:rsidRPr="00086A97">
        <w:rPr>
          <w:lang w:val="en-GB"/>
        </w:rPr>
        <w:t xml:space="preserve"> on </w:t>
      </w:r>
      <w:proofErr w:type="spellStart"/>
      <w:r w:rsidRPr="00086A97">
        <w:rPr>
          <w:lang w:val="en-GB"/>
        </w:rPr>
        <w:t>halons</w:t>
      </w:r>
      <w:proofErr w:type="spellEnd"/>
      <w:r w:rsidRPr="00086A97">
        <w:rPr>
          <w:lang w:val="en-GB"/>
        </w:rPr>
        <w:t xml:space="preserve">, and </w:t>
      </w:r>
      <w:r w:rsidR="00A82255" w:rsidRPr="00086A97">
        <w:rPr>
          <w:lang w:val="en-GB"/>
        </w:rPr>
        <w:t xml:space="preserve">the </w:t>
      </w:r>
      <w:r w:rsidRPr="00086A97">
        <w:rPr>
          <w:lang w:val="en-GB"/>
        </w:rPr>
        <w:t xml:space="preserve">response to </w:t>
      </w:r>
      <w:r w:rsidR="00A82255" w:rsidRPr="00086A97">
        <w:rPr>
          <w:lang w:val="en-GB"/>
        </w:rPr>
        <w:t>d</w:t>
      </w:r>
      <w:r w:rsidRPr="00086A97">
        <w:rPr>
          <w:lang w:val="en-GB"/>
        </w:rPr>
        <w:t>ecision XXVII/5</w:t>
      </w:r>
      <w:r w:rsidR="00A82255" w:rsidRPr="00086A97">
        <w:rPr>
          <w:lang w:val="en-GB"/>
        </w:rPr>
        <w:t>, on</w:t>
      </w:r>
      <w:r w:rsidRPr="00086A97">
        <w:rPr>
          <w:lang w:val="en-GB"/>
        </w:rPr>
        <w:t xml:space="preserve"> </w:t>
      </w:r>
      <w:proofErr w:type="spellStart"/>
      <w:r w:rsidRPr="00086A97">
        <w:rPr>
          <w:lang w:val="en-GB"/>
        </w:rPr>
        <w:t>hydrochlorofluorocarbons</w:t>
      </w:r>
      <w:proofErr w:type="spellEnd"/>
      <w:r w:rsidRPr="00086A97">
        <w:rPr>
          <w:lang w:val="en-GB"/>
        </w:rPr>
        <w:t xml:space="preserve"> (HCFCs). </w:t>
      </w:r>
    </w:p>
    <w:p w14:paraId="3D201EAE" w14:textId="4BEF0046" w:rsidR="00610481" w:rsidRPr="00086A97" w:rsidRDefault="00610481" w:rsidP="00CB7871">
      <w:pPr>
        <w:pStyle w:val="Normalnumber"/>
        <w:numPr>
          <w:ilvl w:val="0"/>
          <w:numId w:val="41"/>
        </w:numPr>
        <w:ind w:left="1247" w:firstLine="0"/>
        <w:rPr>
          <w:lang w:val="en-GB"/>
        </w:rPr>
      </w:pPr>
      <w:r w:rsidRPr="00086A97">
        <w:rPr>
          <w:lang w:val="en-GB"/>
        </w:rPr>
        <w:t xml:space="preserve">He then presented the FTOC </w:t>
      </w:r>
      <w:r w:rsidR="00A82255" w:rsidRPr="00086A97">
        <w:rPr>
          <w:lang w:val="en-GB"/>
        </w:rPr>
        <w:t>p</w:t>
      </w:r>
      <w:r w:rsidRPr="00086A97">
        <w:rPr>
          <w:lang w:val="en-GB"/>
        </w:rPr>
        <w:t xml:space="preserve">rogress </w:t>
      </w:r>
      <w:r w:rsidR="00A82255" w:rsidRPr="00086A97">
        <w:rPr>
          <w:lang w:val="en-GB"/>
        </w:rPr>
        <w:t>r</w:t>
      </w:r>
      <w:r w:rsidRPr="00086A97">
        <w:rPr>
          <w:lang w:val="en-GB"/>
        </w:rPr>
        <w:t>eport. He reported that FTOC was functioning well, with 90</w:t>
      </w:r>
      <w:r w:rsidR="00A82255" w:rsidRPr="00086A97">
        <w:rPr>
          <w:lang w:val="en-GB"/>
        </w:rPr>
        <w:t xml:space="preserve"> per cent</w:t>
      </w:r>
      <w:r w:rsidRPr="00086A97">
        <w:rPr>
          <w:lang w:val="en-GB"/>
        </w:rPr>
        <w:t xml:space="preserve"> attendance of </w:t>
      </w:r>
      <w:r w:rsidR="00A82255" w:rsidRPr="00086A97">
        <w:rPr>
          <w:lang w:val="en-GB"/>
        </w:rPr>
        <w:t xml:space="preserve">its </w:t>
      </w:r>
      <w:r w:rsidRPr="00086A97">
        <w:rPr>
          <w:lang w:val="en-GB"/>
        </w:rPr>
        <w:t xml:space="preserve">members at the FTOC meeting in May </w:t>
      </w:r>
      <w:r w:rsidR="00A82255" w:rsidRPr="00086A97">
        <w:rPr>
          <w:lang w:val="en-GB"/>
        </w:rPr>
        <w:t xml:space="preserve">2016 </w:t>
      </w:r>
      <w:r w:rsidRPr="00086A97">
        <w:rPr>
          <w:lang w:val="en-GB"/>
        </w:rPr>
        <w:t xml:space="preserve">in Montreal and consensus on the </w:t>
      </w:r>
      <w:r w:rsidR="00A82255" w:rsidRPr="00086A97">
        <w:rPr>
          <w:lang w:val="en-GB"/>
        </w:rPr>
        <w:t>p</w:t>
      </w:r>
      <w:r w:rsidRPr="00086A97">
        <w:rPr>
          <w:lang w:val="en-GB"/>
        </w:rPr>
        <w:t xml:space="preserve">rogress </w:t>
      </w:r>
      <w:r w:rsidR="00A82255" w:rsidRPr="00086A97">
        <w:rPr>
          <w:lang w:val="en-GB"/>
        </w:rPr>
        <w:t>r</w:t>
      </w:r>
      <w:r w:rsidRPr="00086A97">
        <w:rPr>
          <w:lang w:val="en-GB"/>
        </w:rPr>
        <w:t xml:space="preserve">eport. Foam demand </w:t>
      </w:r>
      <w:r w:rsidR="00A82255" w:rsidRPr="00086A97">
        <w:rPr>
          <w:lang w:val="en-GB"/>
        </w:rPr>
        <w:t>wa</w:t>
      </w:r>
      <w:r w:rsidRPr="00086A97">
        <w:rPr>
          <w:lang w:val="en-GB"/>
        </w:rPr>
        <w:t>s increasing by 5</w:t>
      </w:r>
      <w:r w:rsidR="00A82255" w:rsidRPr="00086A97">
        <w:rPr>
          <w:lang w:val="en-GB"/>
        </w:rPr>
        <w:t xml:space="preserve"> per </w:t>
      </w:r>
      <w:proofErr w:type="spellStart"/>
      <w:proofErr w:type="gramStart"/>
      <w:r w:rsidR="00A82255" w:rsidRPr="00086A97">
        <w:rPr>
          <w:lang w:val="en-GB"/>
        </w:rPr>
        <w:t>ent</w:t>
      </w:r>
      <w:proofErr w:type="spellEnd"/>
      <w:proofErr w:type="gramEnd"/>
      <w:r w:rsidRPr="00086A97">
        <w:rPr>
          <w:lang w:val="en-GB"/>
        </w:rPr>
        <w:t xml:space="preserve"> each year, to 27 million tonnes in 2019, and products </w:t>
      </w:r>
      <w:r w:rsidR="00A82255" w:rsidRPr="00086A97">
        <w:rPr>
          <w:lang w:val="en-GB"/>
        </w:rPr>
        <w:t>we</w:t>
      </w:r>
      <w:r w:rsidRPr="00086A97">
        <w:rPr>
          <w:lang w:val="en-GB"/>
        </w:rPr>
        <w:t xml:space="preserve">re important for climate and food protection. There </w:t>
      </w:r>
      <w:r w:rsidR="00A82255" w:rsidRPr="00086A97">
        <w:rPr>
          <w:lang w:val="en-GB"/>
        </w:rPr>
        <w:t>we</w:t>
      </w:r>
      <w:r w:rsidRPr="00086A97">
        <w:rPr>
          <w:lang w:val="en-GB"/>
        </w:rPr>
        <w:t xml:space="preserve">re many foam manufacturers who, in turn, </w:t>
      </w:r>
      <w:r w:rsidR="00A82255" w:rsidRPr="00086A97">
        <w:rPr>
          <w:lang w:val="en-GB"/>
        </w:rPr>
        <w:t>we</w:t>
      </w:r>
      <w:r w:rsidRPr="00086A97">
        <w:rPr>
          <w:lang w:val="en-GB"/>
        </w:rPr>
        <w:t xml:space="preserve">re supplied by fewer system houses and even fewer chemical companies producing foam blowing agents. </w:t>
      </w:r>
      <w:r w:rsidR="00A82255" w:rsidRPr="00086A97">
        <w:rPr>
          <w:lang w:val="en-GB"/>
        </w:rPr>
        <w:t>A t</w:t>
      </w:r>
      <w:r w:rsidRPr="00086A97">
        <w:rPr>
          <w:lang w:val="en-GB"/>
        </w:rPr>
        <w:t xml:space="preserve">ransition to new blowing agents led to system reconfiguration at </w:t>
      </w:r>
      <w:r w:rsidR="00A82255" w:rsidRPr="00086A97">
        <w:rPr>
          <w:lang w:val="en-GB"/>
        </w:rPr>
        <w:t>s</w:t>
      </w:r>
      <w:r w:rsidRPr="00086A97">
        <w:rPr>
          <w:lang w:val="en-GB"/>
        </w:rPr>
        <w:t xml:space="preserve">ystem </w:t>
      </w:r>
      <w:r w:rsidR="00A82255" w:rsidRPr="00086A97">
        <w:rPr>
          <w:lang w:val="en-GB"/>
        </w:rPr>
        <w:t>h</w:t>
      </w:r>
      <w:r w:rsidRPr="00086A97">
        <w:rPr>
          <w:lang w:val="en-GB"/>
        </w:rPr>
        <w:t>ouses and c</w:t>
      </w:r>
      <w:r w:rsidR="00A82255" w:rsidRPr="00086A97">
        <w:rPr>
          <w:lang w:val="en-GB"/>
        </w:rPr>
        <w:t>ould</w:t>
      </w:r>
      <w:r w:rsidRPr="00086A97">
        <w:rPr>
          <w:lang w:val="en-GB"/>
        </w:rPr>
        <w:t xml:space="preserve"> pose major challenges to the many foam manufacturers, especially small- and medium-sized enterprises (SMEs) in A</w:t>
      </w:r>
      <w:r w:rsidR="00A82255" w:rsidRPr="00086A97">
        <w:rPr>
          <w:lang w:val="en-GB"/>
        </w:rPr>
        <w:t xml:space="preserve">rticle </w:t>
      </w:r>
      <w:r w:rsidRPr="00086A97">
        <w:rPr>
          <w:lang w:val="en-GB"/>
        </w:rPr>
        <w:t xml:space="preserve">5 parties. </w:t>
      </w:r>
      <w:proofErr w:type="spellStart"/>
      <w:r w:rsidRPr="00086A97">
        <w:rPr>
          <w:lang w:val="en-GB"/>
        </w:rPr>
        <w:t>Mr.</w:t>
      </w:r>
      <w:proofErr w:type="spellEnd"/>
      <w:r w:rsidRPr="00086A97">
        <w:rPr>
          <w:lang w:val="en-GB"/>
        </w:rPr>
        <w:t xml:space="preserve"> Woodcock </w:t>
      </w:r>
      <w:r w:rsidR="00B261F5" w:rsidRPr="00086A97">
        <w:rPr>
          <w:lang w:val="en-GB"/>
        </w:rPr>
        <w:t xml:space="preserve">noted </w:t>
      </w:r>
      <w:r w:rsidRPr="00086A97">
        <w:rPr>
          <w:lang w:val="en-GB"/>
        </w:rPr>
        <w:t xml:space="preserve">an error in the </w:t>
      </w:r>
      <w:r w:rsidR="00B261F5" w:rsidRPr="00086A97">
        <w:rPr>
          <w:lang w:val="en-GB"/>
        </w:rPr>
        <w:t>p</w:t>
      </w:r>
      <w:r w:rsidRPr="00086A97">
        <w:rPr>
          <w:lang w:val="en-GB"/>
        </w:rPr>
        <w:t>rogress report in relation to the phasedown (</w:t>
      </w:r>
      <w:r w:rsidR="00B261F5" w:rsidRPr="00086A97">
        <w:rPr>
          <w:lang w:val="en-GB"/>
        </w:rPr>
        <w:t>rather than</w:t>
      </w:r>
      <w:r w:rsidRPr="00086A97">
        <w:rPr>
          <w:lang w:val="en-GB"/>
        </w:rPr>
        <w:t xml:space="preserve"> phase</w:t>
      </w:r>
      <w:r w:rsidR="00B261F5" w:rsidRPr="00086A97">
        <w:rPr>
          <w:lang w:val="en-GB"/>
        </w:rPr>
        <w:t>-</w:t>
      </w:r>
      <w:r w:rsidRPr="00086A97">
        <w:rPr>
          <w:lang w:val="en-GB"/>
        </w:rPr>
        <w:t xml:space="preserve">out) of HFCs in Australia, and </w:t>
      </w:r>
      <w:r w:rsidR="00B261F5" w:rsidRPr="00086A97">
        <w:rPr>
          <w:lang w:val="en-GB"/>
        </w:rPr>
        <w:t xml:space="preserve">he </w:t>
      </w:r>
      <w:r w:rsidRPr="00086A97">
        <w:rPr>
          <w:lang w:val="en-GB"/>
        </w:rPr>
        <w:t xml:space="preserve">presented the agreed corrected text. He </w:t>
      </w:r>
      <w:r w:rsidR="00B261F5" w:rsidRPr="00086A97">
        <w:rPr>
          <w:lang w:val="en-GB"/>
        </w:rPr>
        <w:t xml:space="preserve">also </w:t>
      </w:r>
      <w:r w:rsidRPr="00086A97">
        <w:rPr>
          <w:lang w:val="en-GB"/>
        </w:rPr>
        <w:t xml:space="preserve">described some of the challenges </w:t>
      </w:r>
      <w:r w:rsidR="00B261F5" w:rsidRPr="00086A97">
        <w:rPr>
          <w:lang w:val="en-GB"/>
        </w:rPr>
        <w:t xml:space="preserve">that could arise </w:t>
      </w:r>
      <w:r w:rsidRPr="00086A97">
        <w:rPr>
          <w:lang w:val="en-GB"/>
        </w:rPr>
        <w:t xml:space="preserve">during </w:t>
      </w:r>
      <w:r w:rsidR="00B261F5" w:rsidRPr="00086A97">
        <w:rPr>
          <w:lang w:val="en-GB"/>
        </w:rPr>
        <w:t xml:space="preserve">a </w:t>
      </w:r>
      <w:r w:rsidRPr="00086A97">
        <w:rPr>
          <w:lang w:val="en-GB"/>
        </w:rPr>
        <w:t>transition to low</w:t>
      </w:r>
      <w:r w:rsidR="00B261F5" w:rsidRPr="00086A97">
        <w:rPr>
          <w:lang w:val="en-GB"/>
        </w:rPr>
        <w:noBreakHyphen/>
      </w:r>
      <w:r w:rsidRPr="00086A97">
        <w:rPr>
          <w:lang w:val="en-GB"/>
        </w:rPr>
        <w:t>GWP alternatives for foam blowing. Long</w:t>
      </w:r>
      <w:r w:rsidR="00B261F5" w:rsidRPr="00086A97">
        <w:rPr>
          <w:lang w:val="en-GB"/>
        </w:rPr>
        <w:t>-</w:t>
      </w:r>
      <w:r w:rsidRPr="00086A97">
        <w:rPr>
          <w:lang w:val="en-GB"/>
        </w:rPr>
        <w:t xml:space="preserve">term thermal performance should be considered, as well as the many different regulations that </w:t>
      </w:r>
      <w:r w:rsidR="00B261F5" w:rsidRPr="00086A97">
        <w:rPr>
          <w:lang w:val="en-GB"/>
        </w:rPr>
        <w:t xml:space="preserve">affect </w:t>
      </w:r>
      <w:r w:rsidRPr="00086A97">
        <w:rPr>
          <w:lang w:val="en-GB"/>
        </w:rPr>
        <w:t>the choice of agent</w:t>
      </w:r>
      <w:r w:rsidR="00B261F5" w:rsidRPr="00086A97">
        <w:rPr>
          <w:lang w:val="en-GB"/>
        </w:rPr>
        <w:t>,</w:t>
      </w:r>
      <w:r w:rsidRPr="00086A97">
        <w:rPr>
          <w:lang w:val="en-GB"/>
        </w:rPr>
        <w:t xml:space="preserve"> including requirements </w:t>
      </w:r>
      <w:r w:rsidR="00B261F5" w:rsidRPr="00086A97">
        <w:rPr>
          <w:lang w:val="en-GB"/>
        </w:rPr>
        <w:t>relating to</w:t>
      </w:r>
      <w:r w:rsidRPr="00086A97">
        <w:rPr>
          <w:lang w:val="en-GB"/>
        </w:rPr>
        <w:t xml:space="preserve"> energy efficiency, fire safety and </w:t>
      </w:r>
      <w:r w:rsidR="00B261F5" w:rsidRPr="00086A97">
        <w:rPr>
          <w:lang w:val="en-GB"/>
        </w:rPr>
        <w:t>volatile organic compounds</w:t>
      </w:r>
      <w:r w:rsidRPr="00086A97">
        <w:rPr>
          <w:lang w:val="en-GB"/>
        </w:rPr>
        <w:t>. Many A</w:t>
      </w:r>
      <w:r w:rsidR="00D40F2D" w:rsidRPr="00086A97">
        <w:rPr>
          <w:lang w:val="en-GB"/>
        </w:rPr>
        <w:t xml:space="preserve">rticle </w:t>
      </w:r>
      <w:r w:rsidRPr="00086A97">
        <w:rPr>
          <w:lang w:val="en-GB"/>
        </w:rPr>
        <w:t xml:space="preserve">5 </w:t>
      </w:r>
      <w:r w:rsidR="00D40F2D" w:rsidRPr="00086A97">
        <w:rPr>
          <w:lang w:val="en-GB"/>
        </w:rPr>
        <w:t xml:space="preserve">party </w:t>
      </w:r>
      <w:r w:rsidRPr="00086A97">
        <w:rPr>
          <w:lang w:val="en-GB"/>
        </w:rPr>
        <w:t>foam manufacturers could leapfrog from HCFC blowing agents to low</w:t>
      </w:r>
      <w:r w:rsidR="00D40F2D" w:rsidRPr="00086A97">
        <w:rPr>
          <w:lang w:val="en-GB"/>
        </w:rPr>
        <w:t>-</w:t>
      </w:r>
      <w:r w:rsidRPr="00086A97">
        <w:rPr>
          <w:lang w:val="en-GB"/>
        </w:rPr>
        <w:t xml:space="preserve">GWP alternatives, but the choice of alternatives </w:t>
      </w:r>
      <w:r w:rsidR="00D40F2D" w:rsidRPr="00086A97">
        <w:rPr>
          <w:lang w:val="en-GB"/>
        </w:rPr>
        <w:t>wa</w:t>
      </w:r>
      <w:r w:rsidRPr="00086A97">
        <w:rPr>
          <w:lang w:val="en-GB"/>
        </w:rPr>
        <w:t>s evolving. Hydrocarbons ha</w:t>
      </w:r>
      <w:r w:rsidR="00D40F2D" w:rsidRPr="00086A97">
        <w:rPr>
          <w:lang w:val="en-GB"/>
        </w:rPr>
        <w:t>d</w:t>
      </w:r>
      <w:r w:rsidRPr="00086A97">
        <w:rPr>
          <w:lang w:val="en-GB"/>
        </w:rPr>
        <w:t xml:space="preserve"> high capital cost for SMEs </w:t>
      </w:r>
      <w:r w:rsidR="00D40F2D" w:rsidRPr="00086A97">
        <w:rPr>
          <w:lang w:val="en-GB"/>
        </w:rPr>
        <w:t xml:space="preserve">related to the need </w:t>
      </w:r>
      <w:r w:rsidRPr="00086A97">
        <w:rPr>
          <w:lang w:val="en-GB"/>
        </w:rPr>
        <w:t xml:space="preserve">to manage fire safety. </w:t>
      </w:r>
      <w:proofErr w:type="spellStart"/>
      <w:r w:rsidR="00BE7D6A" w:rsidRPr="00086A97">
        <w:rPr>
          <w:lang w:val="en-GB"/>
        </w:rPr>
        <w:t>Hydrofluoroolefins</w:t>
      </w:r>
      <w:proofErr w:type="spellEnd"/>
      <w:r w:rsidR="00BE7D6A" w:rsidRPr="00086A97">
        <w:rPr>
          <w:lang w:val="en-GB"/>
        </w:rPr>
        <w:t xml:space="preserve"> </w:t>
      </w:r>
      <w:r w:rsidR="00E16856">
        <w:rPr>
          <w:lang w:val="en-GB"/>
        </w:rPr>
        <w:t xml:space="preserve">(HFOs) </w:t>
      </w:r>
      <w:r w:rsidR="00BE7D6A" w:rsidRPr="00086A97">
        <w:rPr>
          <w:lang w:val="en-GB"/>
        </w:rPr>
        <w:t xml:space="preserve">and </w:t>
      </w:r>
      <w:proofErr w:type="spellStart"/>
      <w:r w:rsidR="00E16856" w:rsidRPr="00086A97">
        <w:rPr>
          <w:lang w:val="en-GB"/>
        </w:rPr>
        <w:t>hydrochlorofluoroo</w:t>
      </w:r>
      <w:r w:rsidR="00E16856">
        <w:rPr>
          <w:lang w:val="en-GB"/>
        </w:rPr>
        <w:t>le</w:t>
      </w:r>
      <w:r w:rsidR="00E16856" w:rsidRPr="00086A97">
        <w:rPr>
          <w:lang w:val="en-GB"/>
        </w:rPr>
        <w:t>fins</w:t>
      </w:r>
      <w:proofErr w:type="spellEnd"/>
      <w:r w:rsidR="00E16856">
        <w:rPr>
          <w:lang w:val="en-GB"/>
        </w:rPr>
        <w:t xml:space="preserve"> (</w:t>
      </w:r>
      <w:r w:rsidR="00E16856" w:rsidRPr="00086A97">
        <w:rPr>
          <w:lang w:val="en-GB"/>
        </w:rPr>
        <w:t>HCFOs</w:t>
      </w:r>
      <w:r w:rsidR="00E16856">
        <w:rPr>
          <w:lang w:val="en-GB"/>
        </w:rPr>
        <w:t>)</w:t>
      </w:r>
      <w:r w:rsidRPr="00086A97">
        <w:rPr>
          <w:lang w:val="en-GB"/>
        </w:rPr>
        <w:t xml:space="preserve"> ha</w:t>
      </w:r>
      <w:r w:rsidR="00BE7D6A" w:rsidRPr="00086A97">
        <w:rPr>
          <w:lang w:val="en-GB"/>
        </w:rPr>
        <w:t>d</w:t>
      </w:r>
      <w:r w:rsidRPr="00086A97">
        <w:rPr>
          <w:lang w:val="en-GB"/>
        </w:rPr>
        <w:t xml:space="preserve"> zero or low flammability but </w:t>
      </w:r>
      <w:r w:rsidR="00BE7D6A" w:rsidRPr="00086A97">
        <w:rPr>
          <w:lang w:val="en-GB"/>
        </w:rPr>
        <w:t>we</w:t>
      </w:r>
      <w:r w:rsidRPr="00086A97">
        <w:rPr>
          <w:lang w:val="en-GB"/>
        </w:rPr>
        <w:t xml:space="preserve">re currently expensive. Methyl </w:t>
      </w:r>
      <w:proofErr w:type="spellStart"/>
      <w:r w:rsidRPr="00086A97">
        <w:rPr>
          <w:lang w:val="en-GB"/>
        </w:rPr>
        <w:t>formate</w:t>
      </w:r>
      <w:proofErr w:type="spellEnd"/>
      <w:r w:rsidR="00BE7D6A" w:rsidRPr="00086A97">
        <w:rPr>
          <w:lang w:val="en-GB"/>
        </w:rPr>
        <w:t xml:space="preserve"> and </w:t>
      </w:r>
      <w:proofErr w:type="spellStart"/>
      <w:r w:rsidRPr="00086A97">
        <w:rPr>
          <w:lang w:val="en-GB"/>
        </w:rPr>
        <w:t>methylal</w:t>
      </w:r>
      <w:proofErr w:type="spellEnd"/>
      <w:r w:rsidRPr="00086A97">
        <w:rPr>
          <w:lang w:val="en-GB"/>
        </w:rPr>
        <w:t xml:space="preserve"> </w:t>
      </w:r>
      <w:r w:rsidR="00BE7D6A" w:rsidRPr="00086A97">
        <w:rPr>
          <w:lang w:val="en-GB"/>
        </w:rPr>
        <w:t>we</w:t>
      </w:r>
      <w:r w:rsidRPr="00086A97">
        <w:rPr>
          <w:lang w:val="en-GB"/>
        </w:rPr>
        <w:t>re flammable</w:t>
      </w:r>
      <w:r w:rsidR="00BE7D6A" w:rsidRPr="00086A97">
        <w:rPr>
          <w:lang w:val="en-GB"/>
        </w:rPr>
        <w:t>,</w:t>
      </w:r>
      <w:r w:rsidRPr="00086A97">
        <w:rPr>
          <w:lang w:val="en-GB"/>
        </w:rPr>
        <w:t xml:space="preserve"> but th</w:t>
      </w:r>
      <w:r w:rsidR="00BE7D6A" w:rsidRPr="00086A97">
        <w:rPr>
          <w:lang w:val="en-GB"/>
        </w:rPr>
        <w:t>at was</w:t>
      </w:r>
      <w:r w:rsidRPr="00086A97">
        <w:rPr>
          <w:lang w:val="en-GB"/>
        </w:rPr>
        <w:t xml:space="preserve"> partially offset by pre-blending with </w:t>
      </w:r>
      <w:proofErr w:type="spellStart"/>
      <w:r w:rsidRPr="00086A97">
        <w:rPr>
          <w:lang w:val="en-GB"/>
        </w:rPr>
        <w:t>polyols</w:t>
      </w:r>
      <w:proofErr w:type="spellEnd"/>
      <w:r w:rsidRPr="00086A97">
        <w:rPr>
          <w:lang w:val="en-GB"/>
        </w:rPr>
        <w:t>. Optimi</w:t>
      </w:r>
      <w:r w:rsidR="00BE7D6A" w:rsidRPr="00086A97">
        <w:rPr>
          <w:lang w:val="en-GB"/>
        </w:rPr>
        <w:t>z</w:t>
      </w:r>
      <w:r w:rsidRPr="00086A97">
        <w:rPr>
          <w:lang w:val="en-GB"/>
        </w:rPr>
        <w:t>ed blends of all blowing agents</w:t>
      </w:r>
      <w:r w:rsidR="00683910" w:rsidRPr="00086A97">
        <w:rPr>
          <w:lang w:val="en-GB"/>
        </w:rPr>
        <w:t>,</w:t>
      </w:r>
      <w:r w:rsidR="00BE7D6A" w:rsidRPr="00086A97">
        <w:rPr>
          <w:lang w:val="en-GB"/>
        </w:rPr>
        <w:t xml:space="preserve"> </w:t>
      </w:r>
      <w:r w:rsidR="007E513C" w:rsidRPr="00086A97">
        <w:rPr>
          <w:lang w:val="en-GB"/>
        </w:rPr>
        <w:t xml:space="preserve">including methyl </w:t>
      </w:r>
      <w:proofErr w:type="spellStart"/>
      <w:r w:rsidR="007E513C" w:rsidRPr="00086A97">
        <w:rPr>
          <w:lang w:val="en-GB"/>
        </w:rPr>
        <w:t>formate</w:t>
      </w:r>
      <w:proofErr w:type="spellEnd"/>
      <w:r w:rsidR="007E513C" w:rsidRPr="00086A97">
        <w:rPr>
          <w:lang w:val="en-GB"/>
        </w:rPr>
        <w:t xml:space="preserve">, </w:t>
      </w:r>
      <w:proofErr w:type="spellStart"/>
      <w:r w:rsidR="007E513C" w:rsidRPr="00086A97">
        <w:rPr>
          <w:lang w:val="en-GB"/>
        </w:rPr>
        <w:t>methylal</w:t>
      </w:r>
      <w:proofErr w:type="spellEnd"/>
      <w:r w:rsidR="007E513C" w:rsidRPr="00086A97">
        <w:rPr>
          <w:lang w:val="en-GB"/>
        </w:rPr>
        <w:t>, HFOs and HCFOs</w:t>
      </w:r>
      <w:r w:rsidR="00683910" w:rsidRPr="00086A97">
        <w:rPr>
          <w:lang w:val="en-GB"/>
        </w:rPr>
        <w:t>,</w:t>
      </w:r>
      <w:r w:rsidR="007E513C" w:rsidRPr="00086A97">
        <w:rPr>
          <w:lang w:val="en-GB"/>
        </w:rPr>
        <w:t xml:space="preserve"> </w:t>
      </w:r>
      <w:r w:rsidRPr="00086A97">
        <w:rPr>
          <w:lang w:val="en-GB"/>
        </w:rPr>
        <w:t>m</w:t>
      </w:r>
      <w:r w:rsidR="002B0F5D" w:rsidRPr="00086A97">
        <w:rPr>
          <w:lang w:val="en-GB"/>
        </w:rPr>
        <w:t>ight</w:t>
      </w:r>
      <w:r w:rsidRPr="00086A97">
        <w:rPr>
          <w:lang w:val="en-GB"/>
        </w:rPr>
        <w:t xml:space="preserve"> provide solutions that minimi</w:t>
      </w:r>
      <w:r w:rsidR="002B0F5D" w:rsidRPr="00086A97">
        <w:rPr>
          <w:lang w:val="en-GB"/>
        </w:rPr>
        <w:t>z</w:t>
      </w:r>
      <w:r w:rsidRPr="00086A97">
        <w:rPr>
          <w:lang w:val="en-GB"/>
        </w:rPr>
        <w:t>e</w:t>
      </w:r>
      <w:r w:rsidR="002B0F5D" w:rsidRPr="00086A97">
        <w:rPr>
          <w:lang w:val="en-GB"/>
        </w:rPr>
        <w:t>d</w:t>
      </w:r>
      <w:r w:rsidRPr="00086A97">
        <w:rPr>
          <w:lang w:val="en-GB"/>
        </w:rPr>
        <w:t xml:space="preserve"> the disadvantages of individual agents. </w:t>
      </w:r>
      <w:r w:rsidR="002B0F5D" w:rsidRPr="00086A97">
        <w:rPr>
          <w:lang w:val="en-GB"/>
        </w:rPr>
        <w:t xml:space="preserve">He </w:t>
      </w:r>
      <w:r w:rsidRPr="00086A97">
        <w:rPr>
          <w:lang w:val="en-GB"/>
        </w:rPr>
        <w:t xml:space="preserve">noted that the RTOC progress report was </w:t>
      </w:r>
      <w:r w:rsidR="002B0F5D" w:rsidRPr="00086A97">
        <w:rPr>
          <w:lang w:val="en-GB"/>
        </w:rPr>
        <w:t xml:space="preserve">being </w:t>
      </w:r>
      <w:r w:rsidRPr="00086A97">
        <w:rPr>
          <w:lang w:val="en-GB"/>
        </w:rPr>
        <w:t xml:space="preserve">deferred so as not to duplicate the information provided in recent </w:t>
      </w:r>
      <w:r w:rsidR="002B0F5D" w:rsidRPr="00086A97">
        <w:rPr>
          <w:lang w:val="en-GB"/>
        </w:rPr>
        <w:t>t</w:t>
      </w:r>
      <w:r w:rsidRPr="00086A97">
        <w:rPr>
          <w:lang w:val="en-GB"/>
        </w:rPr>
        <w:t xml:space="preserve">ask </w:t>
      </w:r>
      <w:r w:rsidR="001C2F80" w:rsidRPr="00086A97">
        <w:rPr>
          <w:lang w:val="en-GB"/>
        </w:rPr>
        <w:t>force</w:t>
      </w:r>
      <w:r w:rsidRPr="00086A97">
        <w:rPr>
          <w:lang w:val="en-GB"/>
        </w:rPr>
        <w:t xml:space="preserve"> </w:t>
      </w:r>
      <w:r w:rsidR="002B0F5D" w:rsidRPr="00086A97">
        <w:rPr>
          <w:lang w:val="en-GB"/>
        </w:rPr>
        <w:t>r</w:t>
      </w:r>
      <w:r w:rsidRPr="00086A97">
        <w:rPr>
          <w:lang w:val="en-GB"/>
        </w:rPr>
        <w:t>eports, in particular</w:t>
      </w:r>
      <w:r w:rsidR="002B0F5D" w:rsidRPr="00086A97">
        <w:rPr>
          <w:lang w:val="en-GB"/>
        </w:rPr>
        <w:t xml:space="preserve"> that of </w:t>
      </w:r>
      <w:r w:rsidRPr="00086A97">
        <w:rPr>
          <w:lang w:val="en-GB"/>
        </w:rPr>
        <w:t xml:space="preserve">the </w:t>
      </w:r>
      <w:r w:rsidR="002B0F5D" w:rsidRPr="00086A97">
        <w:rPr>
          <w:lang w:val="en-GB"/>
        </w:rPr>
        <w:t>d</w:t>
      </w:r>
      <w:r w:rsidRPr="00086A97">
        <w:rPr>
          <w:lang w:val="en-GB"/>
        </w:rPr>
        <w:t xml:space="preserve">ecision XXVII/4 </w:t>
      </w:r>
      <w:r w:rsidR="002B0F5D" w:rsidRPr="00086A97">
        <w:rPr>
          <w:lang w:val="en-GB"/>
        </w:rPr>
        <w:t>t</w:t>
      </w:r>
      <w:r w:rsidRPr="00086A97">
        <w:rPr>
          <w:lang w:val="en-GB"/>
        </w:rPr>
        <w:t xml:space="preserve">ask </w:t>
      </w:r>
      <w:r w:rsidR="002B0F5D" w:rsidRPr="00086A97">
        <w:rPr>
          <w:lang w:val="en-GB"/>
        </w:rPr>
        <w:t>f</w:t>
      </w:r>
      <w:r w:rsidRPr="00086A97">
        <w:rPr>
          <w:lang w:val="en-GB"/>
        </w:rPr>
        <w:t xml:space="preserve">orce for </w:t>
      </w:r>
      <w:r w:rsidR="002B0F5D" w:rsidRPr="00086A97">
        <w:rPr>
          <w:lang w:val="en-GB"/>
        </w:rPr>
        <w:t>the thirty</w:t>
      </w:r>
      <w:r w:rsidR="00532564" w:rsidRPr="00086A97">
        <w:rPr>
          <w:lang w:val="en-GB"/>
        </w:rPr>
        <w:noBreakHyphen/>
      </w:r>
      <w:r w:rsidR="002B0F5D" w:rsidRPr="00086A97">
        <w:rPr>
          <w:lang w:val="en-GB"/>
        </w:rPr>
        <w:t>eighth meeting of the Open-ended Working Group</w:t>
      </w:r>
      <w:r w:rsidRPr="00086A97">
        <w:rPr>
          <w:lang w:val="en-GB"/>
        </w:rPr>
        <w:t>.</w:t>
      </w:r>
    </w:p>
    <w:p w14:paraId="53BBE28B" w14:textId="63770100" w:rsidR="00610481" w:rsidRPr="00086A97" w:rsidRDefault="00067295"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Sergey </w:t>
      </w:r>
      <w:proofErr w:type="spellStart"/>
      <w:r w:rsidRPr="00086A97">
        <w:rPr>
          <w:lang w:val="en-GB"/>
        </w:rPr>
        <w:t>Kopylov</w:t>
      </w:r>
      <w:proofErr w:type="spellEnd"/>
      <w:r w:rsidRPr="00086A97">
        <w:rPr>
          <w:lang w:val="en-GB"/>
        </w:rPr>
        <w:t xml:space="preserve">, co-chair of the </w:t>
      </w:r>
      <w:proofErr w:type="spellStart"/>
      <w:r w:rsidR="00610481" w:rsidRPr="00086A97">
        <w:rPr>
          <w:lang w:val="en-GB"/>
        </w:rPr>
        <w:t>Halons</w:t>
      </w:r>
      <w:proofErr w:type="spellEnd"/>
      <w:r w:rsidR="00610481" w:rsidRPr="00086A97">
        <w:rPr>
          <w:lang w:val="en-GB"/>
        </w:rPr>
        <w:t xml:space="preserve"> Technical Options Committee (HTOC)</w:t>
      </w:r>
      <w:r w:rsidRPr="00086A97">
        <w:rPr>
          <w:lang w:val="en-GB"/>
        </w:rPr>
        <w:t>,</w:t>
      </w:r>
      <w:r w:rsidR="00610481" w:rsidRPr="00086A97">
        <w:rPr>
          <w:lang w:val="en-GB"/>
        </w:rPr>
        <w:t xml:space="preserve"> </w:t>
      </w:r>
      <w:r w:rsidRPr="00086A97">
        <w:rPr>
          <w:lang w:val="en-GB"/>
        </w:rPr>
        <w:t xml:space="preserve">made a </w:t>
      </w:r>
      <w:r w:rsidR="00610481" w:rsidRPr="00086A97">
        <w:rPr>
          <w:lang w:val="en-GB"/>
        </w:rPr>
        <w:t>present</w:t>
      </w:r>
      <w:r w:rsidRPr="00086A97">
        <w:rPr>
          <w:lang w:val="en-GB"/>
        </w:rPr>
        <w:t>ation on</w:t>
      </w:r>
      <w:r w:rsidR="00610481" w:rsidRPr="00086A97">
        <w:rPr>
          <w:lang w:val="en-GB"/>
        </w:rPr>
        <w:t xml:space="preserve"> the HTOC progress report consisting of an update on alternatives, an update on the military and aviation sector and </w:t>
      </w:r>
      <w:r w:rsidRPr="00086A97">
        <w:rPr>
          <w:lang w:val="en-GB"/>
        </w:rPr>
        <w:t xml:space="preserve">information on the </w:t>
      </w:r>
      <w:r w:rsidR="00610481" w:rsidRPr="00086A97">
        <w:rPr>
          <w:lang w:val="en-GB"/>
        </w:rPr>
        <w:t>follow</w:t>
      </w:r>
      <w:r w:rsidRPr="00086A97">
        <w:rPr>
          <w:lang w:val="en-GB"/>
        </w:rPr>
        <w:t>-</w:t>
      </w:r>
      <w:r w:rsidR="00610481" w:rsidRPr="00086A97">
        <w:rPr>
          <w:lang w:val="en-GB"/>
        </w:rPr>
        <w:t xml:space="preserve">up to </w:t>
      </w:r>
      <w:r w:rsidRPr="00086A97">
        <w:rPr>
          <w:lang w:val="en-GB"/>
        </w:rPr>
        <w:t>d</w:t>
      </w:r>
      <w:r w:rsidR="00610481" w:rsidRPr="00086A97">
        <w:rPr>
          <w:lang w:val="en-GB"/>
        </w:rPr>
        <w:t xml:space="preserve">ecision XXVI/7. With regard to alternatives for </w:t>
      </w:r>
      <w:proofErr w:type="spellStart"/>
      <w:r w:rsidR="00610481" w:rsidRPr="00086A97">
        <w:rPr>
          <w:lang w:val="en-GB"/>
        </w:rPr>
        <w:t>halons</w:t>
      </w:r>
      <w:proofErr w:type="spellEnd"/>
      <w:r w:rsidR="00610481" w:rsidRPr="00086A97">
        <w:rPr>
          <w:lang w:val="en-GB"/>
        </w:rPr>
        <w:t xml:space="preserve">, </w:t>
      </w:r>
      <w:r w:rsidR="003318DE" w:rsidRPr="00086A97">
        <w:rPr>
          <w:lang w:val="en-GB"/>
        </w:rPr>
        <w:t>he</w:t>
      </w:r>
      <w:r w:rsidR="00610481" w:rsidRPr="00086A97">
        <w:rPr>
          <w:lang w:val="en-GB"/>
        </w:rPr>
        <w:t xml:space="preserve"> noted that in addition to 3,3,3-trifluoro-2-bromo-propene (2-BTP) there </w:t>
      </w:r>
      <w:r w:rsidR="003318DE" w:rsidRPr="00086A97">
        <w:rPr>
          <w:lang w:val="en-GB"/>
        </w:rPr>
        <w:t>we</w:t>
      </w:r>
      <w:r w:rsidR="00610481" w:rsidRPr="00086A97">
        <w:rPr>
          <w:lang w:val="en-GB"/>
        </w:rPr>
        <w:t xml:space="preserve">re five new agents </w:t>
      </w:r>
      <w:r w:rsidR="003318DE" w:rsidRPr="00086A97">
        <w:rPr>
          <w:lang w:val="en-GB"/>
        </w:rPr>
        <w:t>being developed</w:t>
      </w:r>
      <w:r w:rsidR="00610481" w:rsidRPr="00086A97">
        <w:rPr>
          <w:lang w:val="en-GB"/>
        </w:rPr>
        <w:t xml:space="preserve">: three for streaming applications to replace </w:t>
      </w:r>
      <w:proofErr w:type="spellStart"/>
      <w:r w:rsidR="00610481" w:rsidRPr="00086A97">
        <w:rPr>
          <w:lang w:val="en-GB"/>
        </w:rPr>
        <w:t>halon</w:t>
      </w:r>
      <w:proofErr w:type="spellEnd"/>
      <w:r w:rsidR="00610481" w:rsidRPr="00086A97">
        <w:rPr>
          <w:lang w:val="en-GB"/>
        </w:rPr>
        <w:t xml:space="preserve"> 1211 and two for flooding applications to replace </w:t>
      </w:r>
      <w:proofErr w:type="spellStart"/>
      <w:r w:rsidR="00610481" w:rsidRPr="00086A97">
        <w:rPr>
          <w:lang w:val="en-GB"/>
        </w:rPr>
        <w:t>halon</w:t>
      </w:r>
      <w:proofErr w:type="spellEnd"/>
      <w:r w:rsidR="00610481" w:rsidRPr="00086A97">
        <w:rPr>
          <w:lang w:val="en-GB"/>
        </w:rPr>
        <w:t xml:space="preserve"> 1301. Th</w:t>
      </w:r>
      <w:r w:rsidR="003318DE" w:rsidRPr="00086A97">
        <w:rPr>
          <w:lang w:val="en-GB"/>
        </w:rPr>
        <w:t>o</w:t>
      </w:r>
      <w:r w:rsidR="00610481" w:rsidRPr="00086A97">
        <w:rPr>
          <w:lang w:val="en-GB"/>
        </w:rPr>
        <w:t xml:space="preserve">se agents </w:t>
      </w:r>
      <w:r w:rsidR="003318DE" w:rsidRPr="00086A97">
        <w:rPr>
          <w:lang w:val="en-GB"/>
        </w:rPr>
        <w:t>we</w:t>
      </w:r>
      <w:r w:rsidR="00610481" w:rsidRPr="00086A97">
        <w:rPr>
          <w:lang w:val="en-GB"/>
        </w:rPr>
        <w:t>re at different stages of development</w:t>
      </w:r>
      <w:r w:rsidR="003318DE" w:rsidRPr="00086A97">
        <w:rPr>
          <w:lang w:val="en-GB"/>
        </w:rPr>
        <w:t>,</w:t>
      </w:r>
      <w:r w:rsidR="00610481" w:rsidRPr="00086A97">
        <w:rPr>
          <w:lang w:val="en-GB"/>
        </w:rPr>
        <w:t xml:space="preserve"> with some only available in laboratory quantities. One agent, HCFO-</w:t>
      </w:r>
      <w:proofErr w:type="gramStart"/>
      <w:r w:rsidR="00610481" w:rsidRPr="00086A97">
        <w:rPr>
          <w:lang w:val="en-GB"/>
        </w:rPr>
        <w:t>1233zd(</w:t>
      </w:r>
      <w:proofErr w:type="gramEnd"/>
      <w:r w:rsidR="00610481" w:rsidRPr="00086A97">
        <w:rPr>
          <w:lang w:val="en-GB"/>
        </w:rPr>
        <w:t xml:space="preserve">E), </w:t>
      </w:r>
      <w:r w:rsidR="003318DE" w:rsidRPr="00086A97">
        <w:rPr>
          <w:lang w:val="en-GB"/>
        </w:rPr>
        <w:t>wa</w:t>
      </w:r>
      <w:r w:rsidR="00610481" w:rsidRPr="00086A97">
        <w:rPr>
          <w:lang w:val="en-GB"/>
        </w:rPr>
        <w:t>s already in production as a foam blowing agent, solvent and refrigerant and ha</w:t>
      </w:r>
      <w:r w:rsidR="003318DE" w:rsidRPr="00086A97">
        <w:rPr>
          <w:lang w:val="en-GB"/>
        </w:rPr>
        <w:t>d</w:t>
      </w:r>
      <w:r w:rsidR="00610481" w:rsidRPr="00086A97">
        <w:rPr>
          <w:lang w:val="en-GB"/>
        </w:rPr>
        <w:t xml:space="preserve"> been submitted </w:t>
      </w:r>
      <w:r w:rsidR="003318DE" w:rsidRPr="00086A97">
        <w:rPr>
          <w:lang w:val="en-GB"/>
        </w:rPr>
        <w:t xml:space="preserve">through </w:t>
      </w:r>
      <w:r w:rsidR="00610481" w:rsidRPr="00086A97">
        <w:rPr>
          <w:lang w:val="en-GB"/>
        </w:rPr>
        <w:t>the U</w:t>
      </w:r>
      <w:r w:rsidR="003318DE" w:rsidRPr="00086A97">
        <w:rPr>
          <w:lang w:val="en-GB"/>
        </w:rPr>
        <w:t xml:space="preserve">nited </w:t>
      </w:r>
      <w:r w:rsidR="00610481" w:rsidRPr="00086A97">
        <w:rPr>
          <w:lang w:val="en-GB"/>
        </w:rPr>
        <w:t>S</w:t>
      </w:r>
      <w:r w:rsidR="003318DE" w:rsidRPr="00086A97">
        <w:rPr>
          <w:lang w:val="en-GB"/>
        </w:rPr>
        <w:t>tates</w:t>
      </w:r>
      <w:r w:rsidR="00610481" w:rsidRPr="00086A97">
        <w:rPr>
          <w:lang w:val="en-GB"/>
        </w:rPr>
        <w:t xml:space="preserve"> Environmental Protection Agency’s Significant New Alternatives Policy (SNAP) program</w:t>
      </w:r>
      <w:r w:rsidR="003318DE" w:rsidRPr="00086A97">
        <w:rPr>
          <w:lang w:val="en-GB"/>
        </w:rPr>
        <w:t>me</w:t>
      </w:r>
      <w:r w:rsidR="00610481" w:rsidRPr="00086A97">
        <w:rPr>
          <w:lang w:val="en-GB"/>
        </w:rPr>
        <w:t xml:space="preserve"> as a total flooding fire extinguishing agent. </w:t>
      </w:r>
      <w:r w:rsidR="003318DE" w:rsidRPr="00086A97">
        <w:rPr>
          <w:lang w:val="en-GB"/>
        </w:rPr>
        <w:t>I</w:t>
      </w:r>
      <w:r w:rsidR="00610481" w:rsidRPr="00086A97">
        <w:rPr>
          <w:lang w:val="en-GB"/>
        </w:rPr>
        <w:t xml:space="preserve">t </w:t>
      </w:r>
      <w:r w:rsidR="003318DE" w:rsidRPr="00086A97">
        <w:rPr>
          <w:lang w:val="en-GB"/>
        </w:rPr>
        <w:t>wa</w:t>
      </w:r>
      <w:r w:rsidR="00610481" w:rsidRPr="00086A97">
        <w:rPr>
          <w:lang w:val="en-GB"/>
        </w:rPr>
        <w:t>s possible</w:t>
      </w:r>
      <w:r w:rsidR="003318DE" w:rsidRPr="00086A97">
        <w:rPr>
          <w:lang w:val="en-GB"/>
        </w:rPr>
        <w:t>, therefore,</w:t>
      </w:r>
      <w:r w:rsidR="00610481" w:rsidRPr="00086A97">
        <w:rPr>
          <w:lang w:val="en-GB"/>
        </w:rPr>
        <w:t xml:space="preserve"> that one more extinguishing agent w</w:t>
      </w:r>
      <w:r w:rsidR="003318DE" w:rsidRPr="00086A97">
        <w:rPr>
          <w:lang w:val="en-GB"/>
        </w:rPr>
        <w:t>ould</w:t>
      </w:r>
      <w:r w:rsidR="00610481" w:rsidRPr="00086A97">
        <w:rPr>
          <w:lang w:val="en-GB"/>
        </w:rPr>
        <w:t xml:space="preserve"> be available in the near future. </w:t>
      </w:r>
      <w:r w:rsidR="003318DE" w:rsidRPr="00086A97">
        <w:rPr>
          <w:lang w:val="en-GB"/>
        </w:rPr>
        <w:t>Regarding</w:t>
      </w:r>
      <w:r w:rsidR="00610481" w:rsidRPr="00086A97">
        <w:rPr>
          <w:lang w:val="en-GB"/>
        </w:rPr>
        <w:t xml:space="preserve"> the military sector, </w:t>
      </w:r>
      <w:r w:rsidR="003318DE" w:rsidRPr="00086A97">
        <w:rPr>
          <w:lang w:val="en-GB"/>
        </w:rPr>
        <w:t>he reported</w:t>
      </w:r>
      <w:r w:rsidR="00610481" w:rsidRPr="00086A97">
        <w:rPr>
          <w:lang w:val="en-GB"/>
        </w:rPr>
        <w:t xml:space="preserve"> that the U</w:t>
      </w:r>
      <w:r w:rsidR="003318DE" w:rsidRPr="00086A97">
        <w:rPr>
          <w:lang w:val="en-GB"/>
        </w:rPr>
        <w:t xml:space="preserve">nited </w:t>
      </w:r>
      <w:r w:rsidR="00610481" w:rsidRPr="00086A97">
        <w:rPr>
          <w:lang w:val="en-GB"/>
        </w:rPr>
        <w:t>S</w:t>
      </w:r>
      <w:r w:rsidR="003318DE" w:rsidRPr="00086A97">
        <w:rPr>
          <w:lang w:val="en-GB"/>
        </w:rPr>
        <w:t>tates</w:t>
      </w:r>
      <w:r w:rsidR="00610481" w:rsidRPr="00086A97">
        <w:rPr>
          <w:lang w:val="en-GB"/>
        </w:rPr>
        <w:t xml:space="preserve"> Army </w:t>
      </w:r>
      <w:r w:rsidR="003318DE" w:rsidRPr="00086A97">
        <w:rPr>
          <w:lang w:val="en-GB"/>
        </w:rPr>
        <w:t xml:space="preserve">had </w:t>
      </w:r>
      <w:r w:rsidR="00610481" w:rsidRPr="00086A97">
        <w:rPr>
          <w:lang w:val="en-GB"/>
        </w:rPr>
        <w:t>hosted a two-day military fire protection workshop in October 2015</w:t>
      </w:r>
      <w:r w:rsidR="003318DE" w:rsidRPr="00086A97">
        <w:rPr>
          <w:lang w:val="en-GB"/>
        </w:rPr>
        <w:t>, while</w:t>
      </w:r>
      <w:r w:rsidR="00610481" w:rsidRPr="00086A97">
        <w:rPr>
          <w:lang w:val="en-GB"/>
        </w:rPr>
        <w:t xml:space="preserve"> another workshop </w:t>
      </w:r>
      <w:r w:rsidR="003318DE" w:rsidRPr="00086A97">
        <w:rPr>
          <w:lang w:val="en-GB"/>
        </w:rPr>
        <w:t>wa</w:t>
      </w:r>
      <w:r w:rsidR="00610481" w:rsidRPr="00086A97">
        <w:rPr>
          <w:lang w:val="en-GB"/>
        </w:rPr>
        <w:t xml:space="preserve">s being planned for 2017. The </w:t>
      </w:r>
      <w:r w:rsidR="003318DE" w:rsidRPr="00086A97">
        <w:rPr>
          <w:lang w:val="en-GB"/>
        </w:rPr>
        <w:t xml:space="preserve">2015 </w:t>
      </w:r>
      <w:r w:rsidR="00610481" w:rsidRPr="00086A97">
        <w:rPr>
          <w:lang w:val="en-GB"/>
        </w:rPr>
        <w:t xml:space="preserve">event </w:t>
      </w:r>
      <w:r w:rsidR="003318DE" w:rsidRPr="00086A97">
        <w:rPr>
          <w:lang w:val="en-GB"/>
        </w:rPr>
        <w:t xml:space="preserve">had been </w:t>
      </w:r>
      <w:r w:rsidR="00610481" w:rsidRPr="00086A97">
        <w:rPr>
          <w:lang w:val="en-GB"/>
        </w:rPr>
        <w:t xml:space="preserve">attended by </w:t>
      </w:r>
      <w:r w:rsidR="003318DE" w:rsidRPr="00086A97">
        <w:rPr>
          <w:lang w:val="en-GB"/>
        </w:rPr>
        <w:t xml:space="preserve">participants from </w:t>
      </w:r>
      <w:r w:rsidR="00610481" w:rsidRPr="00086A97">
        <w:rPr>
          <w:lang w:val="en-GB"/>
        </w:rPr>
        <w:t>other U</w:t>
      </w:r>
      <w:r w:rsidR="003318DE" w:rsidRPr="00086A97">
        <w:rPr>
          <w:lang w:val="en-GB"/>
        </w:rPr>
        <w:t xml:space="preserve">nited </w:t>
      </w:r>
      <w:r w:rsidR="00610481" w:rsidRPr="00086A97">
        <w:rPr>
          <w:lang w:val="en-GB"/>
        </w:rPr>
        <w:t>S</w:t>
      </w:r>
      <w:r w:rsidR="003318DE" w:rsidRPr="00086A97">
        <w:rPr>
          <w:lang w:val="en-GB"/>
        </w:rPr>
        <w:t>tates</w:t>
      </w:r>
      <w:r w:rsidR="00610481" w:rsidRPr="00086A97">
        <w:rPr>
          <w:lang w:val="en-GB"/>
        </w:rPr>
        <w:t xml:space="preserve"> military services, industry, academia and allied military partners. The participants discussed such issues of mutual concern as </w:t>
      </w:r>
      <w:proofErr w:type="spellStart"/>
      <w:r w:rsidR="00610481" w:rsidRPr="00086A97">
        <w:rPr>
          <w:lang w:val="en-GB"/>
        </w:rPr>
        <w:t>halon</w:t>
      </w:r>
      <w:proofErr w:type="spellEnd"/>
      <w:r w:rsidR="00610481" w:rsidRPr="00086A97">
        <w:rPr>
          <w:lang w:val="en-GB"/>
        </w:rPr>
        <w:t xml:space="preserve"> and HFC fire extinguishing agent replacements and emerging threats such as lithium ion batteries. The event allowed </w:t>
      </w:r>
      <w:r w:rsidR="003318DE" w:rsidRPr="00086A97">
        <w:rPr>
          <w:lang w:val="en-GB"/>
        </w:rPr>
        <w:t xml:space="preserve">a </w:t>
      </w:r>
      <w:r w:rsidR="00610481" w:rsidRPr="00086A97">
        <w:rPr>
          <w:lang w:val="en-GB"/>
        </w:rPr>
        <w:t xml:space="preserve">good exchange of information, and HTOC </w:t>
      </w:r>
      <w:r w:rsidR="000101AF" w:rsidRPr="00086A97">
        <w:rPr>
          <w:lang w:val="en-GB"/>
        </w:rPr>
        <w:t xml:space="preserve">was </w:t>
      </w:r>
      <w:r w:rsidR="00610481" w:rsidRPr="00086A97">
        <w:rPr>
          <w:lang w:val="en-GB"/>
        </w:rPr>
        <w:t>provid</w:t>
      </w:r>
      <w:r w:rsidR="000101AF" w:rsidRPr="00086A97">
        <w:rPr>
          <w:lang w:val="en-GB"/>
        </w:rPr>
        <w:t>ing</w:t>
      </w:r>
      <w:r w:rsidR="00610481" w:rsidRPr="00086A97">
        <w:rPr>
          <w:lang w:val="en-GB"/>
        </w:rPr>
        <w:t xml:space="preserve"> information </w:t>
      </w:r>
      <w:r w:rsidR="003318DE" w:rsidRPr="00086A97">
        <w:rPr>
          <w:lang w:val="en-GB"/>
        </w:rPr>
        <w:t xml:space="preserve">on </w:t>
      </w:r>
      <w:r w:rsidR="00AD2E8C" w:rsidRPr="00086A97">
        <w:rPr>
          <w:lang w:val="en-GB"/>
        </w:rPr>
        <w:t xml:space="preserve">it </w:t>
      </w:r>
      <w:r w:rsidR="00610481" w:rsidRPr="00086A97">
        <w:rPr>
          <w:lang w:val="en-GB"/>
        </w:rPr>
        <w:t xml:space="preserve">to parties </w:t>
      </w:r>
      <w:r w:rsidR="003318DE" w:rsidRPr="00086A97">
        <w:rPr>
          <w:lang w:val="en-GB"/>
        </w:rPr>
        <w:t xml:space="preserve">to the Montreal Protocol </w:t>
      </w:r>
      <w:r w:rsidR="00610481" w:rsidRPr="00086A97">
        <w:rPr>
          <w:lang w:val="en-GB"/>
        </w:rPr>
        <w:t xml:space="preserve">to encourage the </w:t>
      </w:r>
      <w:r w:rsidR="00AD2E8C" w:rsidRPr="00086A97">
        <w:rPr>
          <w:lang w:val="en-GB"/>
        </w:rPr>
        <w:t xml:space="preserve">participation of their </w:t>
      </w:r>
      <w:r w:rsidR="00610481" w:rsidRPr="00086A97">
        <w:rPr>
          <w:lang w:val="en-GB"/>
        </w:rPr>
        <w:t xml:space="preserve">militaries in future </w:t>
      </w:r>
      <w:r w:rsidR="003318DE" w:rsidRPr="00086A97">
        <w:rPr>
          <w:lang w:val="en-GB"/>
        </w:rPr>
        <w:t xml:space="preserve">similar </w:t>
      </w:r>
      <w:r w:rsidR="00610481" w:rsidRPr="00086A97">
        <w:rPr>
          <w:lang w:val="en-GB"/>
        </w:rPr>
        <w:t>collaborations.</w:t>
      </w:r>
    </w:p>
    <w:p w14:paraId="09C76E90" w14:textId="717E66B6" w:rsidR="00610481" w:rsidRPr="00086A97" w:rsidRDefault="00D363C2" w:rsidP="00CB7871">
      <w:pPr>
        <w:pStyle w:val="Normalnumber"/>
        <w:numPr>
          <w:ilvl w:val="0"/>
          <w:numId w:val="41"/>
        </w:numPr>
        <w:ind w:left="1247" w:firstLine="0"/>
        <w:rPr>
          <w:lang w:val="en-GB"/>
        </w:rPr>
      </w:pPr>
      <w:r w:rsidRPr="00086A97">
        <w:rPr>
          <w:lang w:val="en-GB"/>
        </w:rPr>
        <w:t>He</w:t>
      </w:r>
      <w:r w:rsidR="00610481" w:rsidRPr="00086A97">
        <w:rPr>
          <w:lang w:val="en-GB"/>
        </w:rPr>
        <w:t xml:space="preserve"> reported that HTOC also continue</w:t>
      </w:r>
      <w:r w:rsidRPr="00086A97">
        <w:rPr>
          <w:lang w:val="en-GB"/>
        </w:rPr>
        <w:t>d</w:t>
      </w:r>
      <w:r w:rsidR="00610481" w:rsidRPr="00086A97">
        <w:rPr>
          <w:lang w:val="en-GB"/>
        </w:rPr>
        <w:t xml:space="preserve"> to work with the International Civil Aviation Organization (ICAO) on the phase-out of </w:t>
      </w:r>
      <w:proofErr w:type="spellStart"/>
      <w:r w:rsidR="00610481" w:rsidRPr="00086A97">
        <w:rPr>
          <w:lang w:val="en-GB"/>
        </w:rPr>
        <w:t>halons</w:t>
      </w:r>
      <w:proofErr w:type="spellEnd"/>
      <w:r w:rsidR="00610481" w:rsidRPr="00086A97">
        <w:rPr>
          <w:lang w:val="en-GB"/>
        </w:rPr>
        <w:t xml:space="preserve"> in civil aviation. The Committee expect</w:t>
      </w:r>
      <w:r w:rsidRPr="00086A97">
        <w:rPr>
          <w:lang w:val="en-GB"/>
        </w:rPr>
        <w:t>ed</w:t>
      </w:r>
      <w:r w:rsidR="00610481" w:rsidRPr="00086A97">
        <w:rPr>
          <w:lang w:val="en-GB"/>
        </w:rPr>
        <w:t xml:space="preserve"> that ICAO </w:t>
      </w:r>
      <w:r w:rsidRPr="00086A97">
        <w:rPr>
          <w:lang w:val="en-GB"/>
        </w:rPr>
        <w:t xml:space="preserve">would </w:t>
      </w:r>
      <w:r w:rsidR="00610481" w:rsidRPr="00086A97">
        <w:rPr>
          <w:lang w:val="en-GB"/>
        </w:rPr>
        <w:t xml:space="preserve">approve 2024 as the date when </w:t>
      </w:r>
      <w:proofErr w:type="spellStart"/>
      <w:r w:rsidRPr="00086A97">
        <w:rPr>
          <w:lang w:val="en-GB"/>
        </w:rPr>
        <w:t>halons</w:t>
      </w:r>
      <w:proofErr w:type="spellEnd"/>
      <w:r w:rsidRPr="00086A97">
        <w:rPr>
          <w:lang w:val="en-GB"/>
        </w:rPr>
        <w:t xml:space="preserve"> could no longer be used in </w:t>
      </w:r>
      <w:r w:rsidR="00610481" w:rsidRPr="00086A97">
        <w:rPr>
          <w:lang w:val="en-GB"/>
        </w:rPr>
        <w:t xml:space="preserve">cargo bays of newly designed aircraft. It </w:t>
      </w:r>
      <w:r w:rsidRPr="00086A97">
        <w:rPr>
          <w:lang w:val="en-GB"/>
        </w:rPr>
        <w:t>wa</w:t>
      </w:r>
      <w:r w:rsidR="00610481" w:rsidRPr="00086A97">
        <w:rPr>
          <w:lang w:val="en-GB"/>
        </w:rPr>
        <w:t xml:space="preserve">s also important that 2-BTP obtain regulatory approval in </w:t>
      </w:r>
      <w:r w:rsidRPr="00086A97">
        <w:rPr>
          <w:lang w:val="en-GB"/>
        </w:rPr>
        <w:t xml:space="preserve">the </w:t>
      </w:r>
      <w:r w:rsidR="00610481" w:rsidRPr="00086A97">
        <w:rPr>
          <w:lang w:val="en-GB"/>
        </w:rPr>
        <w:t>U</w:t>
      </w:r>
      <w:r w:rsidRPr="00086A97">
        <w:rPr>
          <w:lang w:val="en-GB"/>
        </w:rPr>
        <w:t xml:space="preserve">nited </w:t>
      </w:r>
      <w:r w:rsidR="00610481" w:rsidRPr="00086A97">
        <w:rPr>
          <w:lang w:val="en-GB"/>
        </w:rPr>
        <w:t>S</w:t>
      </w:r>
      <w:r w:rsidRPr="00086A97">
        <w:rPr>
          <w:lang w:val="en-GB"/>
        </w:rPr>
        <w:t>tates</w:t>
      </w:r>
      <w:r w:rsidR="00610481" w:rsidRPr="00086A97">
        <w:rPr>
          <w:lang w:val="en-GB"/>
        </w:rPr>
        <w:t xml:space="preserve"> for import in portable extinguishers and engine nacelles for aircraft. As to European Aviation Safety Agency rulemaking, adoption of </w:t>
      </w:r>
      <w:r w:rsidRPr="00086A97">
        <w:rPr>
          <w:lang w:val="en-GB"/>
        </w:rPr>
        <w:t xml:space="preserve">a </w:t>
      </w:r>
      <w:r w:rsidR="00610481" w:rsidRPr="00086A97">
        <w:rPr>
          <w:lang w:val="en-GB"/>
        </w:rPr>
        <w:t xml:space="preserve">final </w:t>
      </w:r>
      <w:r w:rsidRPr="00086A97">
        <w:rPr>
          <w:lang w:val="en-GB"/>
        </w:rPr>
        <w:t>r</w:t>
      </w:r>
      <w:r w:rsidR="00610481" w:rsidRPr="00086A97">
        <w:rPr>
          <w:lang w:val="en-GB"/>
        </w:rPr>
        <w:t xml:space="preserve">egulation </w:t>
      </w:r>
      <w:r w:rsidRPr="00086A97">
        <w:rPr>
          <w:lang w:val="en-GB"/>
        </w:rPr>
        <w:t xml:space="preserve">governing </w:t>
      </w:r>
      <w:proofErr w:type="spellStart"/>
      <w:r w:rsidRPr="00086A97">
        <w:rPr>
          <w:lang w:val="en-GB"/>
        </w:rPr>
        <w:t>halon</w:t>
      </w:r>
      <w:proofErr w:type="spellEnd"/>
      <w:r w:rsidRPr="00086A97">
        <w:rPr>
          <w:lang w:val="en-GB"/>
        </w:rPr>
        <w:t xml:space="preserve"> use in aviation wa</w:t>
      </w:r>
      <w:r w:rsidR="00610481" w:rsidRPr="00086A97">
        <w:rPr>
          <w:lang w:val="en-GB"/>
        </w:rPr>
        <w:t xml:space="preserve">s expected in 2017. The applicable dates anticipated </w:t>
      </w:r>
      <w:r w:rsidR="004E698D" w:rsidRPr="00086A97">
        <w:rPr>
          <w:lang w:val="en-GB"/>
        </w:rPr>
        <w:t xml:space="preserve">dates </w:t>
      </w:r>
      <w:r w:rsidRPr="00086A97">
        <w:rPr>
          <w:lang w:val="en-GB"/>
        </w:rPr>
        <w:t>we</w:t>
      </w:r>
      <w:r w:rsidR="00610481" w:rsidRPr="00086A97">
        <w:rPr>
          <w:lang w:val="en-GB"/>
        </w:rPr>
        <w:t xml:space="preserve">re one year after entry for lavatory systems (replacement of </w:t>
      </w:r>
      <w:proofErr w:type="spellStart"/>
      <w:r w:rsidR="00610481" w:rsidRPr="00086A97">
        <w:rPr>
          <w:lang w:val="en-GB"/>
        </w:rPr>
        <w:t>halon</w:t>
      </w:r>
      <w:proofErr w:type="spellEnd"/>
      <w:r w:rsidR="00610481" w:rsidRPr="00086A97">
        <w:rPr>
          <w:lang w:val="en-GB"/>
        </w:rPr>
        <w:t xml:space="preserve"> 1301)</w:t>
      </w:r>
      <w:r w:rsidRPr="00086A97">
        <w:rPr>
          <w:lang w:val="en-GB"/>
        </w:rPr>
        <w:t xml:space="preserve"> and</w:t>
      </w:r>
      <w:r w:rsidR="00610481" w:rsidRPr="00086A97">
        <w:rPr>
          <w:lang w:val="en-GB"/>
        </w:rPr>
        <w:t xml:space="preserve"> 31 December 2018 for portable extinguishers (replacement of </w:t>
      </w:r>
      <w:proofErr w:type="spellStart"/>
      <w:r w:rsidR="00610481" w:rsidRPr="00086A97">
        <w:rPr>
          <w:lang w:val="en-GB"/>
        </w:rPr>
        <w:t>halon</w:t>
      </w:r>
      <w:proofErr w:type="spellEnd"/>
      <w:r w:rsidR="00610481" w:rsidRPr="00086A97">
        <w:rPr>
          <w:lang w:val="en-GB"/>
        </w:rPr>
        <w:t xml:space="preserve"> 1211).</w:t>
      </w:r>
    </w:p>
    <w:p w14:paraId="09531BCA" w14:textId="4218C69E" w:rsidR="00610481" w:rsidRPr="00086A97" w:rsidRDefault="00610481" w:rsidP="00CB7871">
      <w:pPr>
        <w:pStyle w:val="Normalnumber"/>
        <w:numPr>
          <w:ilvl w:val="0"/>
          <w:numId w:val="41"/>
        </w:numPr>
        <w:ind w:left="1247" w:firstLine="0"/>
        <w:rPr>
          <w:lang w:val="en-GB"/>
        </w:rPr>
      </w:pPr>
      <w:r w:rsidRPr="00086A97">
        <w:rPr>
          <w:lang w:val="en-GB"/>
        </w:rPr>
        <w:t xml:space="preserve">He </w:t>
      </w:r>
      <w:r w:rsidR="004E698D" w:rsidRPr="00086A97">
        <w:rPr>
          <w:lang w:val="en-GB"/>
        </w:rPr>
        <w:t xml:space="preserve">also </w:t>
      </w:r>
      <w:r w:rsidRPr="00086A97">
        <w:rPr>
          <w:lang w:val="en-GB"/>
        </w:rPr>
        <w:t xml:space="preserve">provided information on </w:t>
      </w:r>
      <w:r w:rsidR="004E698D" w:rsidRPr="00086A97">
        <w:rPr>
          <w:lang w:val="en-GB"/>
        </w:rPr>
        <w:t xml:space="preserve">the </w:t>
      </w:r>
      <w:r w:rsidRPr="00086A97">
        <w:rPr>
          <w:lang w:val="en-GB"/>
        </w:rPr>
        <w:t>follow</w:t>
      </w:r>
      <w:r w:rsidR="004E698D" w:rsidRPr="00086A97">
        <w:rPr>
          <w:lang w:val="en-GB"/>
        </w:rPr>
        <w:t>-</w:t>
      </w:r>
      <w:r w:rsidRPr="00086A97">
        <w:rPr>
          <w:lang w:val="en-GB"/>
        </w:rPr>
        <w:t xml:space="preserve">up to </w:t>
      </w:r>
      <w:r w:rsidR="004E698D" w:rsidRPr="00086A97">
        <w:rPr>
          <w:lang w:val="en-GB"/>
        </w:rPr>
        <w:t>d</w:t>
      </w:r>
      <w:r w:rsidRPr="00086A97">
        <w:rPr>
          <w:lang w:val="en-GB"/>
        </w:rPr>
        <w:t xml:space="preserve">ecision XXVI/7. </w:t>
      </w:r>
      <w:r w:rsidR="004E698D" w:rsidRPr="00086A97">
        <w:rPr>
          <w:lang w:val="en-GB"/>
        </w:rPr>
        <w:t>In accordance with the decision t</w:t>
      </w:r>
      <w:r w:rsidRPr="00086A97">
        <w:rPr>
          <w:lang w:val="en-GB"/>
        </w:rPr>
        <w:t xml:space="preserve">he Ozone Secretariat </w:t>
      </w:r>
      <w:r w:rsidR="004E698D" w:rsidRPr="00086A97">
        <w:rPr>
          <w:lang w:val="en-GB"/>
        </w:rPr>
        <w:t xml:space="preserve">had </w:t>
      </w:r>
      <w:r w:rsidRPr="00086A97">
        <w:rPr>
          <w:lang w:val="en-GB"/>
        </w:rPr>
        <w:t xml:space="preserve">received </w:t>
      </w:r>
      <w:r w:rsidR="00630E16" w:rsidRPr="00086A97">
        <w:rPr>
          <w:lang w:val="en-GB"/>
        </w:rPr>
        <w:t>information</w:t>
      </w:r>
      <w:r w:rsidRPr="00086A97">
        <w:rPr>
          <w:lang w:val="en-GB"/>
        </w:rPr>
        <w:t xml:space="preserve"> from </w:t>
      </w:r>
      <w:r w:rsidR="00630E16" w:rsidRPr="00086A97">
        <w:rPr>
          <w:lang w:val="en-GB"/>
        </w:rPr>
        <w:t xml:space="preserve">four parties: </w:t>
      </w:r>
      <w:r w:rsidRPr="00086A97">
        <w:rPr>
          <w:lang w:val="en-GB"/>
        </w:rPr>
        <w:t>Australia, Canada, the E</w:t>
      </w:r>
      <w:r w:rsidR="004E698D" w:rsidRPr="00086A97">
        <w:rPr>
          <w:lang w:val="en-GB"/>
        </w:rPr>
        <w:t xml:space="preserve">uropean </w:t>
      </w:r>
      <w:r w:rsidRPr="00086A97">
        <w:rPr>
          <w:lang w:val="en-GB"/>
        </w:rPr>
        <w:t>U</w:t>
      </w:r>
      <w:r w:rsidR="004E698D" w:rsidRPr="00086A97">
        <w:rPr>
          <w:lang w:val="en-GB"/>
        </w:rPr>
        <w:t>nion</w:t>
      </w:r>
      <w:r w:rsidRPr="00086A97">
        <w:rPr>
          <w:lang w:val="en-GB"/>
        </w:rPr>
        <w:t xml:space="preserve"> and the U</w:t>
      </w:r>
      <w:r w:rsidR="004E698D" w:rsidRPr="00086A97">
        <w:rPr>
          <w:lang w:val="en-GB"/>
        </w:rPr>
        <w:t xml:space="preserve">nited </w:t>
      </w:r>
      <w:r w:rsidRPr="00086A97">
        <w:rPr>
          <w:lang w:val="en-GB"/>
        </w:rPr>
        <w:t>S</w:t>
      </w:r>
      <w:r w:rsidR="004E698D" w:rsidRPr="00086A97">
        <w:rPr>
          <w:lang w:val="en-GB"/>
        </w:rPr>
        <w:t>tates</w:t>
      </w:r>
      <w:r w:rsidRPr="00086A97">
        <w:rPr>
          <w:lang w:val="en-GB"/>
        </w:rPr>
        <w:t xml:space="preserve">. </w:t>
      </w:r>
      <w:r w:rsidR="004E698D" w:rsidRPr="00086A97">
        <w:rPr>
          <w:lang w:val="en-GB"/>
        </w:rPr>
        <w:t>He</w:t>
      </w:r>
      <w:r w:rsidRPr="00086A97">
        <w:rPr>
          <w:lang w:val="en-GB"/>
        </w:rPr>
        <w:t xml:space="preserve"> summarized the key messages from the responses</w:t>
      </w:r>
      <w:r w:rsidR="004E698D" w:rsidRPr="00086A97">
        <w:rPr>
          <w:lang w:val="en-GB"/>
        </w:rPr>
        <w:t>,</w:t>
      </w:r>
      <w:r w:rsidRPr="00086A97">
        <w:rPr>
          <w:lang w:val="en-GB"/>
        </w:rPr>
        <w:t xml:space="preserve"> which were very informative and </w:t>
      </w:r>
      <w:r w:rsidR="004E698D" w:rsidRPr="00086A97">
        <w:rPr>
          <w:lang w:val="en-GB"/>
        </w:rPr>
        <w:t>expressed</w:t>
      </w:r>
      <w:r w:rsidR="007D1499" w:rsidRPr="00086A97">
        <w:rPr>
          <w:lang w:val="en-GB"/>
        </w:rPr>
        <w:t xml:space="preserve"> </w:t>
      </w:r>
      <w:r w:rsidRPr="00086A97">
        <w:rPr>
          <w:lang w:val="en-GB"/>
        </w:rPr>
        <w:t xml:space="preserve">concern that supplies of recycled </w:t>
      </w:r>
      <w:proofErr w:type="spellStart"/>
      <w:r w:rsidRPr="00086A97">
        <w:rPr>
          <w:lang w:val="en-GB"/>
        </w:rPr>
        <w:t>halons</w:t>
      </w:r>
      <w:proofErr w:type="spellEnd"/>
      <w:r w:rsidRPr="00086A97">
        <w:rPr>
          <w:lang w:val="en-GB"/>
        </w:rPr>
        <w:t xml:space="preserve"> m</w:t>
      </w:r>
      <w:r w:rsidR="004E698D" w:rsidRPr="00086A97">
        <w:rPr>
          <w:lang w:val="en-GB"/>
        </w:rPr>
        <w:t>ight</w:t>
      </w:r>
      <w:r w:rsidRPr="00086A97">
        <w:rPr>
          <w:lang w:val="en-GB"/>
        </w:rPr>
        <w:t xml:space="preserve"> </w:t>
      </w:r>
      <w:r w:rsidR="00084D08" w:rsidRPr="00086A97">
        <w:rPr>
          <w:lang w:val="en-GB"/>
        </w:rPr>
        <w:t xml:space="preserve">be </w:t>
      </w:r>
      <w:r w:rsidRPr="00086A97">
        <w:rPr>
          <w:lang w:val="en-GB"/>
        </w:rPr>
        <w:t>insufficient to meet future civil aviation needs</w:t>
      </w:r>
      <w:r w:rsidR="006F6D3D" w:rsidRPr="00086A97">
        <w:rPr>
          <w:lang w:val="en-GB"/>
        </w:rPr>
        <w:t>.</w:t>
      </w:r>
    </w:p>
    <w:p w14:paraId="2F55973D" w14:textId="7C19F89D" w:rsidR="00610481" w:rsidRPr="00086A97" w:rsidRDefault="007737CF" w:rsidP="00CB7871">
      <w:pPr>
        <w:pStyle w:val="Normalnumber"/>
        <w:numPr>
          <w:ilvl w:val="0"/>
          <w:numId w:val="41"/>
        </w:numPr>
        <w:ind w:left="1247" w:firstLine="0"/>
        <w:rPr>
          <w:lang w:val="en-GB"/>
        </w:rPr>
      </w:pPr>
      <w:proofErr w:type="spellStart"/>
      <w:r w:rsidRPr="00086A97">
        <w:rPr>
          <w:lang w:val="en-GB"/>
        </w:rPr>
        <w:t>Ms.</w:t>
      </w:r>
      <w:proofErr w:type="spellEnd"/>
      <w:r w:rsidRPr="00086A97">
        <w:rPr>
          <w:lang w:val="en-GB"/>
        </w:rPr>
        <w:t xml:space="preserve"> Marta </w:t>
      </w:r>
      <w:proofErr w:type="spellStart"/>
      <w:r w:rsidRPr="00086A97">
        <w:rPr>
          <w:lang w:val="en-GB"/>
        </w:rPr>
        <w:t>Pizano</w:t>
      </w:r>
      <w:proofErr w:type="spellEnd"/>
      <w:r w:rsidRPr="00086A97">
        <w:rPr>
          <w:lang w:val="en-GB"/>
        </w:rPr>
        <w:t xml:space="preserve">, co-chair of the </w:t>
      </w:r>
      <w:r w:rsidR="00610481" w:rsidRPr="002E1B3A">
        <w:rPr>
          <w:lang w:val="en-GB"/>
        </w:rPr>
        <w:t>Methyl Bromide</w:t>
      </w:r>
      <w:r w:rsidR="00610481" w:rsidRPr="00086A97">
        <w:rPr>
          <w:lang w:val="en-GB"/>
        </w:rPr>
        <w:t xml:space="preserve"> Technical Options Committee</w:t>
      </w:r>
      <w:r w:rsidRPr="00086A97">
        <w:rPr>
          <w:lang w:val="en-GB"/>
        </w:rPr>
        <w:t>,</w:t>
      </w:r>
      <w:r w:rsidR="00610481" w:rsidRPr="00086A97">
        <w:rPr>
          <w:lang w:val="en-GB"/>
        </w:rPr>
        <w:t xml:space="preserve"> </w:t>
      </w:r>
      <w:r w:rsidRPr="00086A97">
        <w:rPr>
          <w:lang w:val="en-GB"/>
        </w:rPr>
        <w:t xml:space="preserve">began the presentation on </w:t>
      </w:r>
      <w:r w:rsidR="00610481" w:rsidRPr="00086A97">
        <w:rPr>
          <w:lang w:val="en-GB"/>
        </w:rPr>
        <w:t>th</w:t>
      </w:r>
      <w:r w:rsidRPr="00086A97">
        <w:rPr>
          <w:lang w:val="en-GB"/>
        </w:rPr>
        <w:t>at committee’s p</w:t>
      </w:r>
      <w:r w:rsidR="00610481" w:rsidRPr="00086A97">
        <w:rPr>
          <w:lang w:val="en-GB"/>
        </w:rPr>
        <w:t xml:space="preserve">rogress </w:t>
      </w:r>
      <w:r w:rsidRPr="00086A97">
        <w:rPr>
          <w:lang w:val="en-GB"/>
        </w:rPr>
        <w:t>r</w:t>
      </w:r>
      <w:r w:rsidR="00610481" w:rsidRPr="00086A97">
        <w:rPr>
          <w:lang w:val="en-GB"/>
        </w:rPr>
        <w:t xml:space="preserve">eport by recalling that controlled uses of methyl bromide </w:t>
      </w:r>
      <w:r w:rsidRPr="00086A97">
        <w:rPr>
          <w:lang w:val="en-GB"/>
        </w:rPr>
        <w:t>by all parties we</w:t>
      </w:r>
      <w:r w:rsidR="00610481" w:rsidRPr="00086A97">
        <w:rPr>
          <w:lang w:val="en-GB"/>
        </w:rPr>
        <w:t xml:space="preserve">re </w:t>
      </w:r>
      <w:r w:rsidRPr="00086A97">
        <w:rPr>
          <w:lang w:val="en-GB"/>
        </w:rPr>
        <w:t>currently</w:t>
      </w:r>
      <w:r w:rsidR="00610481" w:rsidRPr="00086A97">
        <w:rPr>
          <w:lang w:val="en-GB"/>
        </w:rPr>
        <w:t xml:space="preserve"> only allowed </w:t>
      </w:r>
      <w:r w:rsidRPr="00086A97">
        <w:rPr>
          <w:lang w:val="en-GB"/>
        </w:rPr>
        <w:t xml:space="preserve">in accordance with </w:t>
      </w:r>
      <w:r w:rsidR="00610481" w:rsidRPr="00086A97">
        <w:rPr>
          <w:lang w:val="en-GB"/>
        </w:rPr>
        <w:t>critical</w:t>
      </w:r>
      <w:r w:rsidRPr="00086A97">
        <w:rPr>
          <w:lang w:val="en-GB"/>
        </w:rPr>
        <w:t>-</w:t>
      </w:r>
      <w:r w:rsidR="00610481" w:rsidRPr="00086A97">
        <w:rPr>
          <w:lang w:val="en-GB"/>
        </w:rPr>
        <w:t>use exemptions. For th</w:t>
      </w:r>
      <w:r w:rsidRPr="00086A97">
        <w:rPr>
          <w:lang w:val="en-GB"/>
        </w:rPr>
        <w:t>at</w:t>
      </w:r>
      <w:r w:rsidR="00610481" w:rsidRPr="00086A97">
        <w:rPr>
          <w:lang w:val="en-GB"/>
        </w:rPr>
        <w:t xml:space="preserve"> reason, over 90</w:t>
      </w:r>
      <w:r w:rsidRPr="00086A97">
        <w:rPr>
          <w:lang w:val="en-GB"/>
        </w:rPr>
        <w:t xml:space="preserve"> per </w:t>
      </w:r>
      <w:r w:rsidR="001C2F80" w:rsidRPr="00086A97">
        <w:rPr>
          <w:lang w:val="en-GB"/>
        </w:rPr>
        <w:t>cent of</w:t>
      </w:r>
      <w:r w:rsidR="00610481" w:rsidRPr="00086A97">
        <w:rPr>
          <w:lang w:val="en-GB"/>
        </w:rPr>
        <w:t xml:space="preserve"> </w:t>
      </w:r>
      <w:r w:rsidRPr="00086A97">
        <w:rPr>
          <w:lang w:val="en-GB"/>
        </w:rPr>
        <w:t>methyl bromide</w:t>
      </w:r>
      <w:r w:rsidR="00610481" w:rsidRPr="00086A97">
        <w:rPr>
          <w:lang w:val="en-GB"/>
        </w:rPr>
        <w:t xml:space="preserve"> </w:t>
      </w:r>
      <w:r w:rsidRPr="00086A97">
        <w:rPr>
          <w:lang w:val="en-GB"/>
        </w:rPr>
        <w:t xml:space="preserve">was currently used </w:t>
      </w:r>
      <w:r w:rsidR="00610481" w:rsidRPr="00086A97">
        <w:rPr>
          <w:lang w:val="en-GB"/>
        </w:rPr>
        <w:t>for quarantine and pre-shipment (QPS)</w:t>
      </w:r>
      <w:r w:rsidRPr="00086A97">
        <w:rPr>
          <w:lang w:val="en-GB"/>
        </w:rPr>
        <w:t>,</w:t>
      </w:r>
      <w:r w:rsidR="00610481" w:rsidRPr="00086A97">
        <w:rPr>
          <w:lang w:val="en-GB"/>
        </w:rPr>
        <w:t xml:space="preserve"> which </w:t>
      </w:r>
      <w:r w:rsidRPr="00086A97">
        <w:rPr>
          <w:lang w:val="en-GB"/>
        </w:rPr>
        <w:t>wa</w:t>
      </w:r>
      <w:r w:rsidR="00610481" w:rsidRPr="00086A97">
        <w:rPr>
          <w:lang w:val="en-GB"/>
        </w:rPr>
        <w:t xml:space="preserve">s an exempted use. </w:t>
      </w:r>
      <w:r w:rsidRPr="00086A97">
        <w:rPr>
          <w:lang w:val="en-GB"/>
        </w:rPr>
        <w:t>C</w:t>
      </w:r>
      <w:r w:rsidR="00610481" w:rsidRPr="00086A97">
        <w:rPr>
          <w:lang w:val="en-GB"/>
        </w:rPr>
        <w:t xml:space="preserve">onsumption </w:t>
      </w:r>
      <w:r w:rsidRPr="00086A97">
        <w:rPr>
          <w:lang w:val="en-GB"/>
        </w:rPr>
        <w:t xml:space="preserve">for QPS </w:t>
      </w:r>
      <w:r w:rsidR="00610481" w:rsidRPr="00086A97">
        <w:rPr>
          <w:lang w:val="en-GB"/>
        </w:rPr>
        <w:t>ha</w:t>
      </w:r>
      <w:r w:rsidRPr="00086A97">
        <w:rPr>
          <w:lang w:val="en-GB"/>
        </w:rPr>
        <w:t>d</w:t>
      </w:r>
      <w:r w:rsidR="00610481" w:rsidRPr="00086A97">
        <w:rPr>
          <w:lang w:val="en-GB"/>
        </w:rPr>
        <w:t xml:space="preserve"> remained relatively stable at 11,000 metric tonnes per year but </w:t>
      </w:r>
      <w:r w:rsidRPr="00086A97">
        <w:rPr>
          <w:lang w:val="en-GB"/>
        </w:rPr>
        <w:t xml:space="preserve">was increasing </w:t>
      </w:r>
      <w:r w:rsidR="00610481" w:rsidRPr="00086A97">
        <w:rPr>
          <w:lang w:val="en-GB"/>
        </w:rPr>
        <w:t>in A</w:t>
      </w:r>
      <w:r w:rsidRPr="00086A97">
        <w:rPr>
          <w:lang w:val="en-GB"/>
        </w:rPr>
        <w:t xml:space="preserve">rticle </w:t>
      </w:r>
      <w:r w:rsidR="00610481" w:rsidRPr="00086A97">
        <w:rPr>
          <w:lang w:val="en-GB"/>
        </w:rPr>
        <w:t xml:space="preserve">5 </w:t>
      </w:r>
      <w:r w:rsidRPr="00086A97">
        <w:rPr>
          <w:lang w:val="en-GB"/>
        </w:rPr>
        <w:t>p</w:t>
      </w:r>
      <w:r w:rsidR="00610481" w:rsidRPr="00086A97">
        <w:rPr>
          <w:lang w:val="en-GB"/>
        </w:rPr>
        <w:t>arties and decreas</w:t>
      </w:r>
      <w:r w:rsidRPr="00086A97">
        <w:rPr>
          <w:lang w:val="en-GB"/>
        </w:rPr>
        <w:t>ing</w:t>
      </w:r>
      <w:r w:rsidR="00610481" w:rsidRPr="00086A97">
        <w:rPr>
          <w:lang w:val="en-GB"/>
        </w:rPr>
        <w:t xml:space="preserve"> in non-A</w:t>
      </w:r>
      <w:r w:rsidRPr="00086A97">
        <w:rPr>
          <w:lang w:val="en-GB"/>
        </w:rPr>
        <w:t xml:space="preserve">rticle </w:t>
      </w:r>
      <w:r w:rsidR="00610481" w:rsidRPr="00086A97">
        <w:rPr>
          <w:lang w:val="en-GB"/>
        </w:rPr>
        <w:t>5</w:t>
      </w:r>
      <w:r w:rsidRPr="00086A97">
        <w:rPr>
          <w:lang w:val="en-GB"/>
        </w:rPr>
        <w:t xml:space="preserve"> partie</w:t>
      </w:r>
      <w:r w:rsidR="00610481" w:rsidRPr="00086A97">
        <w:rPr>
          <w:lang w:val="en-GB"/>
        </w:rPr>
        <w:t xml:space="preserve">s. She </w:t>
      </w:r>
      <w:r w:rsidR="008C15C5" w:rsidRPr="00086A97">
        <w:rPr>
          <w:lang w:val="en-GB"/>
        </w:rPr>
        <w:t xml:space="preserve">also </w:t>
      </w:r>
      <w:r w:rsidR="00610481" w:rsidRPr="00086A97">
        <w:rPr>
          <w:lang w:val="en-GB"/>
        </w:rPr>
        <w:t xml:space="preserve">indicated that some major challenges </w:t>
      </w:r>
      <w:r w:rsidR="008C15C5" w:rsidRPr="00086A97">
        <w:rPr>
          <w:lang w:val="en-GB"/>
        </w:rPr>
        <w:t xml:space="preserve">persisted in respect of controlled uses, </w:t>
      </w:r>
      <w:r w:rsidR="00610481" w:rsidRPr="00086A97">
        <w:rPr>
          <w:lang w:val="en-GB"/>
        </w:rPr>
        <w:t xml:space="preserve">including illegal trade </w:t>
      </w:r>
      <w:r w:rsidR="00E16856">
        <w:rPr>
          <w:lang w:val="en-GB"/>
        </w:rPr>
        <w:t>of</w:t>
      </w:r>
      <w:r w:rsidR="00E16856" w:rsidRPr="00086A97">
        <w:rPr>
          <w:lang w:val="en-GB"/>
        </w:rPr>
        <w:t xml:space="preserve"> </w:t>
      </w:r>
      <w:r w:rsidR="008C15C5" w:rsidRPr="00086A97">
        <w:rPr>
          <w:lang w:val="en-GB"/>
        </w:rPr>
        <w:t>methyl bromide</w:t>
      </w:r>
      <w:r w:rsidR="00610481" w:rsidRPr="00086A97">
        <w:rPr>
          <w:lang w:val="en-GB"/>
        </w:rPr>
        <w:t xml:space="preserve">, </w:t>
      </w:r>
      <w:r w:rsidR="008C15C5" w:rsidRPr="00086A97">
        <w:rPr>
          <w:lang w:val="en-GB"/>
        </w:rPr>
        <w:t xml:space="preserve">a </w:t>
      </w:r>
      <w:r w:rsidR="00610481" w:rsidRPr="00086A97">
        <w:rPr>
          <w:lang w:val="en-GB"/>
        </w:rPr>
        <w:t>lack of reporting of stocks and some non-reported uses.</w:t>
      </w:r>
    </w:p>
    <w:p w14:paraId="372520ED" w14:textId="0B6395A6" w:rsidR="00610481" w:rsidRPr="00086A97" w:rsidRDefault="00610481" w:rsidP="00CB7871">
      <w:pPr>
        <w:pStyle w:val="Normalnumber"/>
        <w:numPr>
          <w:ilvl w:val="0"/>
          <w:numId w:val="41"/>
        </w:numPr>
        <w:ind w:left="1247" w:firstLine="0"/>
        <w:rPr>
          <w:lang w:val="en-GB"/>
        </w:rPr>
      </w:pPr>
      <w:r w:rsidRPr="00086A97">
        <w:rPr>
          <w:lang w:val="en-GB"/>
        </w:rPr>
        <w:t xml:space="preserve">New developments with </w:t>
      </w:r>
      <w:r w:rsidR="008C15C5" w:rsidRPr="00086A97">
        <w:rPr>
          <w:lang w:val="en-GB"/>
        </w:rPr>
        <w:t xml:space="preserve">regard </w:t>
      </w:r>
      <w:r w:rsidRPr="00086A97">
        <w:rPr>
          <w:lang w:val="en-GB"/>
        </w:rPr>
        <w:t xml:space="preserve">to </w:t>
      </w:r>
      <w:r w:rsidR="008C15C5" w:rsidRPr="00086A97">
        <w:rPr>
          <w:lang w:val="en-GB"/>
        </w:rPr>
        <w:t xml:space="preserve">methyl bromide </w:t>
      </w:r>
      <w:r w:rsidRPr="00086A97">
        <w:rPr>
          <w:lang w:val="en-GB"/>
        </w:rPr>
        <w:t xml:space="preserve">alternatives </w:t>
      </w:r>
      <w:r w:rsidR="008C15C5" w:rsidRPr="00086A97">
        <w:rPr>
          <w:lang w:val="en-GB"/>
        </w:rPr>
        <w:t>for</w:t>
      </w:r>
      <w:r w:rsidRPr="00086A97">
        <w:rPr>
          <w:lang w:val="en-GB"/>
        </w:rPr>
        <w:t xml:space="preserve"> QPS uses include</w:t>
      </w:r>
      <w:r w:rsidR="008C15C5" w:rsidRPr="00086A97">
        <w:rPr>
          <w:lang w:val="en-GB"/>
        </w:rPr>
        <w:t>d</w:t>
      </w:r>
      <w:r w:rsidRPr="00086A97">
        <w:rPr>
          <w:lang w:val="en-GB"/>
        </w:rPr>
        <w:t xml:space="preserve"> controlled atmospheres for grain and ethane </w:t>
      </w:r>
      <w:proofErr w:type="spellStart"/>
      <w:r w:rsidRPr="00086A97">
        <w:rPr>
          <w:lang w:val="en-GB"/>
        </w:rPr>
        <w:t>dinitrile</w:t>
      </w:r>
      <w:proofErr w:type="spellEnd"/>
      <w:r w:rsidRPr="00086A97">
        <w:rPr>
          <w:lang w:val="en-GB"/>
        </w:rPr>
        <w:t xml:space="preserve"> (EDN) for logs</w:t>
      </w:r>
      <w:r w:rsidR="008C15C5" w:rsidRPr="00086A97">
        <w:rPr>
          <w:lang w:val="en-GB"/>
        </w:rPr>
        <w:t>; that was significant because the use of methyl bromide to protect grain and logs</w:t>
      </w:r>
      <w:r w:rsidRPr="00086A97">
        <w:rPr>
          <w:lang w:val="en-GB"/>
        </w:rPr>
        <w:t xml:space="preserve"> </w:t>
      </w:r>
      <w:r w:rsidR="008C15C5" w:rsidRPr="00086A97">
        <w:rPr>
          <w:lang w:val="en-GB"/>
        </w:rPr>
        <w:t>was</w:t>
      </w:r>
      <w:r w:rsidRPr="00086A97">
        <w:rPr>
          <w:lang w:val="en-GB"/>
        </w:rPr>
        <w:t xml:space="preserve"> among the largest </w:t>
      </w:r>
      <w:r w:rsidR="008C15C5" w:rsidRPr="00086A97">
        <w:rPr>
          <w:lang w:val="en-GB"/>
        </w:rPr>
        <w:t xml:space="preserve">current </w:t>
      </w:r>
      <w:r w:rsidRPr="00086A97">
        <w:rPr>
          <w:lang w:val="en-GB"/>
        </w:rPr>
        <w:t xml:space="preserve">uses of </w:t>
      </w:r>
      <w:r w:rsidR="008C15C5" w:rsidRPr="00086A97">
        <w:rPr>
          <w:lang w:val="en-GB"/>
        </w:rPr>
        <w:t xml:space="preserve">methyl bromide </w:t>
      </w:r>
      <w:r w:rsidRPr="00086A97">
        <w:rPr>
          <w:lang w:val="en-GB"/>
        </w:rPr>
        <w:t>for QPS purposes. In addition, New Zealand ha</w:t>
      </w:r>
      <w:r w:rsidR="008C15C5" w:rsidRPr="00086A97">
        <w:rPr>
          <w:lang w:val="en-GB"/>
        </w:rPr>
        <w:t>d</w:t>
      </w:r>
      <w:r w:rsidRPr="00086A97">
        <w:rPr>
          <w:lang w:val="en-GB"/>
        </w:rPr>
        <w:t xml:space="preserve"> passed legislation </w:t>
      </w:r>
      <w:r w:rsidR="008C15C5" w:rsidRPr="00086A97">
        <w:rPr>
          <w:lang w:val="en-GB"/>
        </w:rPr>
        <w:t>providing that a</w:t>
      </w:r>
      <w:r w:rsidR="00AF5107" w:rsidRPr="00086A97">
        <w:rPr>
          <w:lang w:val="en-GB"/>
        </w:rPr>
        <w:t>s</w:t>
      </w:r>
      <w:r w:rsidR="008C15C5" w:rsidRPr="00086A97">
        <w:rPr>
          <w:lang w:val="en-GB"/>
        </w:rPr>
        <w:t xml:space="preserve"> of 2020 all methyl bromide</w:t>
      </w:r>
      <w:r w:rsidRPr="00086A97">
        <w:rPr>
          <w:lang w:val="en-GB"/>
        </w:rPr>
        <w:t xml:space="preserve"> fumigations </w:t>
      </w:r>
      <w:r w:rsidR="008C15C5" w:rsidRPr="00086A97">
        <w:rPr>
          <w:lang w:val="en-GB"/>
        </w:rPr>
        <w:t>for QPS purposes would</w:t>
      </w:r>
      <w:r w:rsidRPr="00086A97">
        <w:rPr>
          <w:lang w:val="en-GB"/>
        </w:rPr>
        <w:t xml:space="preserve"> need to be </w:t>
      </w:r>
      <w:r w:rsidR="008C15C5" w:rsidRPr="00086A97">
        <w:rPr>
          <w:lang w:val="en-GB"/>
        </w:rPr>
        <w:t>undertaken</w:t>
      </w:r>
      <w:r w:rsidRPr="00086A97">
        <w:rPr>
          <w:lang w:val="en-GB"/>
        </w:rPr>
        <w:t xml:space="preserve"> with recapture equipment. </w:t>
      </w:r>
      <w:r w:rsidR="008C15C5" w:rsidRPr="00086A97">
        <w:rPr>
          <w:lang w:val="en-GB"/>
        </w:rPr>
        <w:t>She</w:t>
      </w:r>
      <w:r w:rsidRPr="00086A97">
        <w:rPr>
          <w:lang w:val="en-GB"/>
        </w:rPr>
        <w:t xml:space="preserve"> further addressed reports from the International Plant Protection Convention (IPPC) indicating </w:t>
      </w:r>
      <w:r w:rsidR="008C15C5" w:rsidRPr="00086A97">
        <w:rPr>
          <w:lang w:val="en-GB"/>
        </w:rPr>
        <w:t xml:space="preserve">that </w:t>
      </w:r>
      <w:r w:rsidRPr="00086A97">
        <w:rPr>
          <w:lang w:val="en-GB"/>
        </w:rPr>
        <w:t xml:space="preserve">consideration </w:t>
      </w:r>
      <w:r w:rsidR="008C15C5" w:rsidRPr="00086A97">
        <w:rPr>
          <w:lang w:val="en-GB"/>
        </w:rPr>
        <w:t xml:space="preserve">would be given to </w:t>
      </w:r>
      <w:r w:rsidR="00AF5107" w:rsidRPr="00086A97">
        <w:rPr>
          <w:lang w:val="en-GB"/>
        </w:rPr>
        <w:t xml:space="preserve">the </w:t>
      </w:r>
      <w:r w:rsidR="008C15C5" w:rsidRPr="00086A97">
        <w:rPr>
          <w:lang w:val="en-GB"/>
        </w:rPr>
        <w:t xml:space="preserve">revision </w:t>
      </w:r>
      <w:r w:rsidR="00AF5107" w:rsidRPr="00086A97">
        <w:rPr>
          <w:lang w:val="en-GB"/>
        </w:rPr>
        <w:t xml:space="preserve">of </w:t>
      </w:r>
      <w:r w:rsidR="000F4240" w:rsidRPr="00086A97">
        <w:rPr>
          <w:lang w:val="en-GB"/>
        </w:rPr>
        <w:t>International Sta</w:t>
      </w:r>
      <w:r w:rsidR="00B33001" w:rsidRPr="00086A97">
        <w:rPr>
          <w:lang w:val="en-GB"/>
        </w:rPr>
        <w:t xml:space="preserve">ndard for </w:t>
      </w:r>
      <w:proofErr w:type="spellStart"/>
      <w:r w:rsidR="00B33001" w:rsidRPr="00086A97">
        <w:rPr>
          <w:lang w:val="en-GB"/>
        </w:rPr>
        <w:t>Phytosanitary</w:t>
      </w:r>
      <w:proofErr w:type="spellEnd"/>
      <w:r w:rsidR="00B33001" w:rsidRPr="00086A97">
        <w:rPr>
          <w:lang w:val="en-GB"/>
        </w:rPr>
        <w:t xml:space="preserve"> Measure</w:t>
      </w:r>
      <w:r w:rsidR="00C851F7">
        <w:rPr>
          <w:lang w:val="en-GB"/>
        </w:rPr>
        <w:t>s</w:t>
      </w:r>
      <w:r w:rsidR="000F4240" w:rsidRPr="00086A97">
        <w:rPr>
          <w:lang w:val="en-GB"/>
        </w:rPr>
        <w:t xml:space="preserve"> No. 15 (</w:t>
      </w:r>
      <w:r w:rsidR="008C15C5" w:rsidRPr="00086A97">
        <w:rPr>
          <w:lang w:val="en-GB"/>
        </w:rPr>
        <w:t>ISPM-15</w:t>
      </w:r>
      <w:r w:rsidR="000F4240" w:rsidRPr="00086A97">
        <w:rPr>
          <w:lang w:val="en-GB"/>
        </w:rPr>
        <w:t>)</w:t>
      </w:r>
      <w:r w:rsidR="008C15C5" w:rsidRPr="00086A97">
        <w:rPr>
          <w:lang w:val="en-GB"/>
        </w:rPr>
        <w:t xml:space="preserve"> to allow for </w:t>
      </w:r>
      <w:r w:rsidRPr="00086A97">
        <w:rPr>
          <w:lang w:val="en-GB"/>
        </w:rPr>
        <w:t xml:space="preserve">quarantine treatments </w:t>
      </w:r>
      <w:r w:rsidR="008C15C5" w:rsidRPr="00086A97">
        <w:rPr>
          <w:lang w:val="en-GB"/>
        </w:rPr>
        <w:t xml:space="preserve">utilizing </w:t>
      </w:r>
      <w:proofErr w:type="spellStart"/>
      <w:r w:rsidRPr="00086A97">
        <w:rPr>
          <w:lang w:val="en-GB"/>
        </w:rPr>
        <w:t>sulfuryl</w:t>
      </w:r>
      <w:proofErr w:type="spellEnd"/>
      <w:r w:rsidRPr="00086A97">
        <w:rPr>
          <w:lang w:val="en-GB"/>
        </w:rPr>
        <w:t xml:space="preserve"> fluoride and modified atmospheres.</w:t>
      </w:r>
    </w:p>
    <w:p w14:paraId="3D28EAE7" w14:textId="29CFEDF4" w:rsidR="00610481" w:rsidRPr="00086A97" w:rsidRDefault="00610481" w:rsidP="00CB7871">
      <w:pPr>
        <w:pStyle w:val="Normalnumber"/>
        <w:numPr>
          <w:ilvl w:val="0"/>
          <w:numId w:val="41"/>
        </w:numPr>
        <w:ind w:left="1247" w:firstLine="0"/>
        <w:rPr>
          <w:lang w:val="en-GB"/>
        </w:rPr>
      </w:pPr>
      <w:r w:rsidRPr="00086A97">
        <w:rPr>
          <w:lang w:val="en-GB"/>
        </w:rPr>
        <w:t xml:space="preserve">In finalizing her presentation </w:t>
      </w:r>
      <w:r w:rsidR="00B33001" w:rsidRPr="00086A97">
        <w:rPr>
          <w:lang w:val="en-GB"/>
        </w:rPr>
        <w:t>she</w:t>
      </w:r>
      <w:r w:rsidRPr="00086A97">
        <w:rPr>
          <w:lang w:val="en-GB"/>
        </w:rPr>
        <w:t xml:space="preserve"> mentioned that remaining challenges regarding </w:t>
      </w:r>
      <w:r w:rsidR="00B33001" w:rsidRPr="00086A97">
        <w:rPr>
          <w:lang w:val="en-GB"/>
        </w:rPr>
        <w:t>methyl bromide</w:t>
      </w:r>
      <w:r w:rsidRPr="00086A97">
        <w:rPr>
          <w:lang w:val="en-GB"/>
        </w:rPr>
        <w:t xml:space="preserve"> include</w:t>
      </w:r>
      <w:r w:rsidR="00B33001" w:rsidRPr="00086A97">
        <w:rPr>
          <w:lang w:val="en-GB"/>
        </w:rPr>
        <w:t>d</w:t>
      </w:r>
      <w:r w:rsidRPr="00086A97">
        <w:rPr>
          <w:lang w:val="en-GB"/>
        </w:rPr>
        <w:t xml:space="preserve"> alternatives for nurseries given the high level of health required for plant propagation materials and the w</w:t>
      </w:r>
      <w:r w:rsidR="00B33001" w:rsidRPr="00086A97">
        <w:rPr>
          <w:lang w:val="en-GB"/>
        </w:rPr>
        <w:t>a</w:t>
      </w:r>
      <w:r w:rsidRPr="00086A97">
        <w:rPr>
          <w:lang w:val="en-GB"/>
        </w:rPr>
        <w:t>y in which pests and diseases m</w:t>
      </w:r>
      <w:r w:rsidR="00B33001" w:rsidRPr="00086A97">
        <w:rPr>
          <w:lang w:val="en-GB"/>
        </w:rPr>
        <w:t>ight</w:t>
      </w:r>
      <w:r w:rsidRPr="00086A97">
        <w:rPr>
          <w:lang w:val="en-GB"/>
        </w:rPr>
        <w:t xml:space="preserve"> be classified differently </w:t>
      </w:r>
      <w:r w:rsidR="00B33001" w:rsidRPr="00086A97">
        <w:rPr>
          <w:lang w:val="en-GB"/>
        </w:rPr>
        <w:t>from party to party</w:t>
      </w:r>
      <w:r w:rsidRPr="00086A97">
        <w:rPr>
          <w:lang w:val="en-GB"/>
        </w:rPr>
        <w:t xml:space="preserve"> (i.e.</w:t>
      </w:r>
      <w:r w:rsidR="00B33001" w:rsidRPr="00086A97">
        <w:rPr>
          <w:lang w:val="en-GB"/>
        </w:rPr>
        <w:t>,</w:t>
      </w:r>
      <w:r w:rsidRPr="00086A97">
        <w:rPr>
          <w:lang w:val="en-GB"/>
        </w:rPr>
        <w:t xml:space="preserve"> as QPS </w:t>
      </w:r>
      <w:r w:rsidR="00B33001" w:rsidRPr="00086A97">
        <w:rPr>
          <w:lang w:val="en-GB"/>
        </w:rPr>
        <w:t xml:space="preserve">uses </w:t>
      </w:r>
      <w:r w:rsidRPr="00086A97">
        <w:rPr>
          <w:lang w:val="en-GB"/>
        </w:rPr>
        <w:t>v</w:t>
      </w:r>
      <w:r w:rsidR="00B33001" w:rsidRPr="00086A97">
        <w:rPr>
          <w:lang w:val="en-GB"/>
        </w:rPr>
        <w:t>ersus</w:t>
      </w:r>
      <w:r w:rsidRPr="00086A97">
        <w:rPr>
          <w:lang w:val="en-GB"/>
        </w:rPr>
        <w:t xml:space="preserve"> controlled uses for which a </w:t>
      </w:r>
      <w:r w:rsidR="00B33001" w:rsidRPr="00086A97">
        <w:rPr>
          <w:lang w:val="en-GB"/>
        </w:rPr>
        <w:t>critical-use exemption was</w:t>
      </w:r>
      <w:r w:rsidRPr="00086A97">
        <w:rPr>
          <w:lang w:val="en-GB"/>
        </w:rPr>
        <w:t xml:space="preserve"> required). An increase in some diseases (e.g.</w:t>
      </w:r>
      <w:r w:rsidR="00AC164A" w:rsidRPr="00086A97">
        <w:rPr>
          <w:lang w:val="en-GB"/>
        </w:rPr>
        <w:t>,</w:t>
      </w:r>
      <w:r w:rsidRPr="00086A97">
        <w:rPr>
          <w:lang w:val="en-GB"/>
        </w:rPr>
        <w:t xml:space="preserve"> </w:t>
      </w:r>
      <w:proofErr w:type="spellStart"/>
      <w:r w:rsidRPr="00086A97">
        <w:rPr>
          <w:i/>
          <w:lang w:val="en-GB"/>
        </w:rPr>
        <w:t>Macrophomina</w:t>
      </w:r>
      <w:proofErr w:type="spellEnd"/>
      <w:r w:rsidRPr="00086A97">
        <w:rPr>
          <w:lang w:val="en-GB"/>
        </w:rPr>
        <w:t xml:space="preserve"> rot of strawberry fruit) stemming from the use of alternatives </w:t>
      </w:r>
      <w:r w:rsidR="00B33001" w:rsidRPr="00086A97">
        <w:rPr>
          <w:lang w:val="en-GB"/>
        </w:rPr>
        <w:t>wa</w:t>
      </w:r>
      <w:r w:rsidRPr="00086A97">
        <w:rPr>
          <w:lang w:val="en-GB"/>
        </w:rPr>
        <w:t>s also challenging.</w:t>
      </w:r>
    </w:p>
    <w:p w14:paraId="574A1544" w14:textId="1D7C8FD3" w:rsidR="00610481" w:rsidRPr="00086A97" w:rsidRDefault="00610481"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Ian Porter, on behalf of the two other co-</w:t>
      </w:r>
      <w:r w:rsidR="00C851F7">
        <w:rPr>
          <w:lang w:val="en-GB"/>
        </w:rPr>
        <w:t>c</w:t>
      </w:r>
      <w:r w:rsidRPr="00086A97">
        <w:rPr>
          <w:lang w:val="en-GB"/>
        </w:rPr>
        <w:t>hairs of the Methyl Bromide Technical Options Committee</w:t>
      </w:r>
      <w:r w:rsidR="00C851F7">
        <w:rPr>
          <w:lang w:val="en-GB"/>
        </w:rPr>
        <w:t>,</w:t>
      </w:r>
      <w:r w:rsidRPr="00086A97">
        <w:rPr>
          <w:lang w:val="en-GB"/>
        </w:rPr>
        <w:t xml:space="preserve"> </w:t>
      </w:r>
      <w:proofErr w:type="spellStart"/>
      <w:r w:rsidRPr="00086A97">
        <w:rPr>
          <w:lang w:val="en-GB"/>
        </w:rPr>
        <w:t>Mr.</w:t>
      </w:r>
      <w:proofErr w:type="spellEnd"/>
      <w:r w:rsidRPr="00086A97">
        <w:rPr>
          <w:lang w:val="en-GB"/>
        </w:rPr>
        <w:t xml:space="preserve"> Mohammed </w:t>
      </w:r>
      <w:proofErr w:type="spellStart"/>
      <w:r w:rsidRPr="00086A97">
        <w:rPr>
          <w:lang w:val="en-GB"/>
        </w:rPr>
        <w:t>Besri</w:t>
      </w:r>
      <w:proofErr w:type="spellEnd"/>
      <w:r w:rsidRPr="00086A97">
        <w:rPr>
          <w:lang w:val="en-GB"/>
        </w:rPr>
        <w:t xml:space="preserve"> and </w:t>
      </w:r>
      <w:proofErr w:type="spellStart"/>
      <w:r w:rsidRPr="00086A97">
        <w:rPr>
          <w:lang w:val="en-GB"/>
        </w:rPr>
        <w:t>Ms.</w:t>
      </w:r>
      <w:proofErr w:type="spellEnd"/>
      <w:r w:rsidRPr="00086A97">
        <w:rPr>
          <w:lang w:val="en-GB"/>
        </w:rPr>
        <w:t xml:space="preserve"> </w:t>
      </w:r>
      <w:proofErr w:type="spellStart"/>
      <w:r w:rsidRPr="00086A97">
        <w:rPr>
          <w:lang w:val="en-GB"/>
        </w:rPr>
        <w:t>Pizano</w:t>
      </w:r>
      <w:proofErr w:type="spellEnd"/>
      <w:r w:rsidRPr="00086A97">
        <w:rPr>
          <w:lang w:val="en-GB"/>
        </w:rPr>
        <w:t xml:space="preserve">, </w:t>
      </w:r>
      <w:r w:rsidR="008F1107" w:rsidRPr="00086A97">
        <w:rPr>
          <w:lang w:val="en-GB"/>
        </w:rPr>
        <w:t>began</w:t>
      </w:r>
      <w:r w:rsidRPr="00086A97">
        <w:rPr>
          <w:lang w:val="en-GB"/>
        </w:rPr>
        <w:t xml:space="preserve"> the presentation o</w:t>
      </w:r>
      <w:r w:rsidR="008F1107" w:rsidRPr="00086A97">
        <w:rPr>
          <w:lang w:val="en-GB"/>
        </w:rPr>
        <w:t>n</w:t>
      </w:r>
      <w:r w:rsidRPr="00086A97">
        <w:rPr>
          <w:lang w:val="en-GB"/>
        </w:rPr>
        <w:t xml:space="preserve"> the </w:t>
      </w:r>
      <w:r w:rsidR="008F1107" w:rsidRPr="00086A97">
        <w:rPr>
          <w:lang w:val="en-GB"/>
        </w:rPr>
        <w:t>Committee’s</w:t>
      </w:r>
      <w:r w:rsidRPr="00086A97">
        <w:rPr>
          <w:lang w:val="en-GB"/>
        </w:rPr>
        <w:t xml:space="preserve"> interim </w:t>
      </w:r>
      <w:r w:rsidRPr="0044340F">
        <w:rPr>
          <w:lang w:val="en-GB"/>
        </w:rPr>
        <w:t>recommendations for 2017</w:t>
      </w:r>
      <w:r w:rsidR="008F1107" w:rsidRPr="0044340F">
        <w:rPr>
          <w:lang w:val="en-GB"/>
        </w:rPr>
        <w:t xml:space="preserve"> </w:t>
      </w:r>
      <w:r w:rsidRPr="0044340F">
        <w:rPr>
          <w:lang w:val="en-GB"/>
        </w:rPr>
        <w:t xml:space="preserve">and 2018 critical-use exemptions by providing an overview of the trends </w:t>
      </w:r>
      <w:r w:rsidR="008F1107" w:rsidRPr="0044340F">
        <w:rPr>
          <w:lang w:val="en-GB"/>
        </w:rPr>
        <w:t xml:space="preserve">in </w:t>
      </w:r>
      <w:r w:rsidRPr="0044340F">
        <w:rPr>
          <w:lang w:val="en-GB"/>
        </w:rPr>
        <w:t xml:space="preserve">and outcomes for the critical-use nominations for 2017 and 2018. He reported that </w:t>
      </w:r>
      <w:r w:rsidR="008F1107" w:rsidRPr="0044340F">
        <w:rPr>
          <w:lang w:val="en-GB"/>
        </w:rPr>
        <w:t>c</w:t>
      </w:r>
      <w:r w:rsidRPr="0044340F">
        <w:rPr>
          <w:lang w:val="en-GB"/>
        </w:rPr>
        <w:t>ritical</w:t>
      </w:r>
      <w:r w:rsidR="008F1107" w:rsidRPr="0044340F">
        <w:rPr>
          <w:lang w:val="en-GB"/>
        </w:rPr>
        <w:t>-u</w:t>
      </w:r>
      <w:r w:rsidRPr="0044340F">
        <w:rPr>
          <w:lang w:val="en-GB"/>
        </w:rPr>
        <w:t>se</w:t>
      </w:r>
      <w:r w:rsidR="008F1107" w:rsidRPr="0044340F">
        <w:rPr>
          <w:lang w:val="en-GB"/>
        </w:rPr>
        <w:t xml:space="preserve"> exemption</w:t>
      </w:r>
      <w:r w:rsidRPr="0044340F">
        <w:rPr>
          <w:lang w:val="en-GB"/>
        </w:rPr>
        <w:t xml:space="preserve"> requests for </w:t>
      </w:r>
      <w:r w:rsidR="008F1107" w:rsidRPr="0044340F">
        <w:rPr>
          <w:lang w:val="en-GB"/>
        </w:rPr>
        <w:t>methyl bromide</w:t>
      </w:r>
      <w:r w:rsidRPr="0044340F">
        <w:rPr>
          <w:lang w:val="en-GB"/>
        </w:rPr>
        <w:t xml:space="preserve"> from non-A</w:t>
      </w:r>
      <w:r w:rsidR="008F1107" w:rsidRPr="0044340F">
        <w:rPr>
          <w:lang w:val="en-GB"/>
        </w:rPr>
        <w:t>rticle</w:t>
      </w:r>
      <w:r w:rsidRPr="0044340F">
        <w:rPr>
          <w:lang w:val="en-GB"/>
        </w:rPr>
        <w:t xml:space="preserve">5 </w:t>
      </w:r>
      <w:r w:rsidR="008F1107" w:rsidRPr="0044340F">
        <w:rPr>
          <w:lang w:val="en-GB"/>
        </w:rPr>
        <w:t>p</w:t>
      </w:r>
      <w:r w:rsidRPr="0044340F">
        <w:rPr>
          <w:lang w:val="en-GB"/>
        </w:rPr>
        <w:t>arties had fallen from 146 nominations for 18,700 tonnes in 2005 to</w:t>
      </w:r>
      <w:r w:rsidRPr="00086A97">
        <w:rPr>
          <w:lang w:val="en-GB"/>
        </w:rPr>
        <w:t xml:space="preserve"> two nominations</w:t>
      </w:r>
      <w:r w:rsidR="008F1107" w:rsidRPr="00086A97">
        <w:rPr>
          <w:lang w:val="en-GB"/>
        </w:rPr>
        <w:t>,</w:t>
      </w:r>
      <w:r w:rsidRPr="00086A97">
        <w:rPr>
          <w:lang w:val="en-GB"/>
        </w:rPr>
        <w:t xml:space="preserve"> from Canada and Australia</w:t>
      </w:r>
      <w:r w:rsidR="008F1107" w:rsidRPr="00086A97">
        <w:rPr>
          <w:lang w:val="en-GB"/>
        </w:rPr>
        <w:t>, for</w:t>
      </w:r>
      <w:r w:rsidRPr="00086A97">
        <w:rPr>
          <w:lang w:val="en-GB"/>
        </w:rPr>
        <w:t xml:space="preserve"> 34 tonnes in 2018. </w:t>
      </w:r>
      <w:r w:rsidR="008F1107" w:rsidRPr="00086A97">
        <w:rPr>
          <w:lang w:val="en-GB"/>
        </w:rPr>
        <w:t>I</w:t>
      </w:r>
      <w:r w:rsidRPr="00086A97">
        <w:rPr>
          <w:lang w:val="en-GB"/>
        </w:rPr>
        <w:t>n A</w:t>
      </w:r>
      <w:r w:rsidR="008F1107" w:rsidRPr="00086A97">
        <w:rPr>
          <w:lang w:val="en-GB"/>
        </w:rPr>
        <w:t xml:space="preserve">rticle </w:t>
      </w:r>
      <w:r w:rsidRPr="00086A97">
        <w:rPr>
          <w:lang w:val="en-GB"/>
        </w:rPr>
        <w:t>5 parties the total amount</w:t>
      </w:r>
      <w:r w:rsidR="008F1107" w:rsidRPr="00086A97">
        <w:rPr>
          <w:lang w:val="en-GB"/>
        </w:rPr>
        <w:t xml:space="preserve"> of methyl bromide nominated for critical</w:t>
      </w:r>
      <w:r w:rsidR="00C851F7">
        <w:rPr>
          <w:lang w:val="en-GB"/>
        </w:rPr>
        <w:noBreakHyphen/>
      </w:r>
      <w:r w:rsidR="008F1107" w:rsidRPr="00086A97">
        <w:rPr>
          <w:lang w:val="en-GB"/>
        </w:rPr>
        <w:t>use exemption</w:t>
      </w:r>
      <w:r w:rsidRPr="00086A97">
        <w:rPr>
          <w:lang w:val="en-GB"/>
        </w:rPr>
        <w:t>s ha</w:t>
      </w:r>
      <w:r w:rsidR="008F1107" w:rsidRPr="00086A97">
        <w:rPr>
          <w:lang w:val="en-GB"/>
        </w:rPr>
        <w:t>d</w:t>
      </w:r>
      <w:r w:rsidRPr="00086A97">
        <w:rPr>
          <w:lang w:val="en-GB"/>
        </w:rPr>
        <w:t xml:space="preserve"> fallen from 530 tonnes </w:t>
      </w:r>
      <w:r w:rsidR="008F1107" w:rsidRPr="00086A97">
        <w:rPr>
          <w:lang w:val="en-GB"/>
        </w:rPr>
        <w:t xml:space="preserve">in 2015 </w:t>
      </w:r>
      <w:r w:rsidRPr="00086A97">
        <w:rPr>
          <w:lang w:val="en-GB"/>
        </w:rPr>
        <w:t>to 300 tonnes</w:t>
      </w:r>
      <w:r w:rsidR="007E513C" w:rsidRPr="00086A97">
        <w:rPr>
          <w:lang w:val="en-GB"/>
        </w:rPr>
        <w:t xml:space="preserve"> for</w:t>
      </w:r>
      <w:r w:rsidR="008F1107" w:rsidRPr="00086A97">
        <w:rPr>
          <w:lang w:val="en-GB"/>
        </w:rPr>
        <w:t xml:space="preserve"> 2017</w:t>
      </w:r>
      <w:r w:rsidR="00BD3792" w:rsidRPr="00086A97">
        <w:rPr>
          <w:lang w:val="en-GB"/>
        </w:rPr>
        <w:t xml:space="preserve">, </w:t>
      </w:r>
      <w:r w:rsidRPr="00086A97">
        <w:rPr>
          <w:lang w:val="en-GB"/>
        </w:rPr>
        <w:t>with Mexico not submitting a nomination in th</w:t>
      </w:r>
      <w:r w:rsidR="00237251" w:rsidRPr="00086A97">
        <w:rPr>
          <w:lang w:val="en-GB"/>
        </w:rPr>
        <w:t>e current</w:t>
      </w:r>
      <w:r w:rsidRPr="00086A97">
        <w:rPr>
          <w:lang w:val="en-GB"/>
        </w:rPr>
        <w:t xml:space="preserve"> round. A</w:t>
      </w:r>
      <w:r w:rsidR="00237251" w:rsidRPr="00086A97">
        <w:rPr>
          <w:lang w:val="en-GB"/>
        </w:rPr>
        <w:t xml:space="preserve">rticle </w:t>
      </w:r>
      <w:r w:rsidRPr="00086A97">
        <w:rPr>
          <w:lang w:val="en-GB"/>
        </w:rPr>
        <w:t xml:space="preserve">5 parties </w:t>
      </w:r>
      <w:r w:rsidR="00237251" w:rsidRPr="00086A97">
        <w:rPr>
          <w:lang w:val="en-GB"/>
        </w:rPr>
        <w:t xml:space="preserve">that had </w:t>
      </w:r>
      <w:r w:rsidRPr="00086A97">
        <w:rPr>
          <w:lang w:val="en-GB"/>
        </w:rPr>
        <w:t>submitted nominations in th</w:t>
      </w:r>
      <w:r w:rsidR="00237251" w:rsidRPr="00086A97">
        <w:rPr>
          <w:lang w:val="en-GB"/>
        </w:rPr>
        <w:t>e current</w:t>
      </w:r>
      <w:r w:rsidRPr="00086A97">
        <w:rPr>
          <w:lang w:val="en-GB"/>
        </w:rPr>
        <w:t xml:space="preserve"> round were Argentina, China and South Africa. </w:t>
      </w:r>
    </w:p>
    <w:p w14:paraId="480E9279" w14:textId="7025927A" w:rsidR="00610481" w:rsidRPr="00444F92" w:rsidRDefault="00AA4FEA" w:rsidP="00CB7871">
      <w:pPr>
        <w:pStyle w:val="Normalnumber"/>
        <w:numPr>
          <w:ilvl w:val="0"/>
          <w:numId w:val="41"/>
        </w:numPr>
        <w:ind w:left="1247" w:firstLine="0"/>
        <w:rPr>
          <w:lang w:val="en-GB"/>
        </w:rPr>
      </w:pPr>
      <w:r w:rsidRPr="00086A97">
        <w:rPr>
          <w:lang w:val="en-GB"/>
        </w:rPr>
        <w:t>He</w:t>
      </w:r>
      <w:r w:rsidR="00610481" w:rsidRPr="00086A97">
        <w:rPr>
          <w:lang w:val="en-GB"/>
        </w:rPr>
        <w:t xml:space="preserve"> noted that total reported stocks from all </w:t>
      </w:r>
      <w:r w:rsidRPr="00086A97">
        <w:rPr>
          <w:lang w:val="en-GB"/>
        </w:rPr>
        <w:t>p</w:t>
      </w:r>
      <w:r w:rsidR="00610481" w:rsidRPr="00086A97">
        <w:rPr>
          <w:lang w:val="en-GB"/>
        </w:rPr>
        <w:t xml:space="preserve">arties </w:t>
      </w:r>
      <w:r w:rsidRPr="00086A97">
        <w:rPr>
          <w:lang w:val="en-GB"/>
        </w:rPr>
        <w:t>amounted to</w:t>
      </w:r>
      <w:r w:rsidR="00610481" w:rsidRPr="00086A97">
        <w:rPr>
          <w:lang w:val="en-GB"/>
        </w:rPr>
        <w:t xml:space="preserve"> 140 tonnes. Th</w:t>
      </w:r>
      <w:r w:rsidRPr="00086A97">
        <w:rPr>
          <w:lang w:val="en-GB"/>
        </w:rPr>
        <w:t xml:space="preserve">at marked </w:t>
      </w:r>
      <w:r w:rsidR="00610481" w:rsidRPr="00086A97">
        <w:rPr>
          <w:lang w:val="en-GB"/>
        </w:rPr>
        <w:t xml:space="preserve">the first round </w:t>
      </w:r>
      <w:r w:rsidRPr="00086A97">
        <w:rPr>
          <w:lang w:val="en-GB"/>
        </w:rPr>
        <w:t xml:space="preserve">of nominations in which </w:t>
      </w:r>
      <w:r w:rsidR="00610481" w:rsidRPr="00086A97">
        <w:rPr>
          <w:lang w:val="en-GB"/>
        </w:rPr>
        <w:t>A</w:t>
      </w:r>
      <w:r w:rsidRPr="00086A97">
        <w:rPr>
          <w:lang w:val="en-GB"/>
        </w:rPr>
        <w:t xml:space="preserve">rticle </w:t>
      </w:r>
      <w:r w:rsidR="00610481" w:rsidRPr="00086A97">
        <w:rPr>
          <w:lang w:val="en-GB"/>
        </w:rPr>
        <w:t>5 parties had reported stocks</w:t>
      </w:r>
      <w:r w:rsidRPr="00086A97">
        <w:rPr>
          <w:lang w:val="en-GB"/>
        </w:rPr>
        <w:t xml:space="preserve">; in addition, </w:t>
      </w:r>
      <w:r w:rsidR="00610481" w:rsidRPr="00086A97">
        <w:rPr>
          <w:lang w:val="en-GB"/>
        </w:rPr>
        <w:t>one A</w:t>
      </w:r>
      <w:r w:rsidRPr="00086A97">
        <w:rPr>
          <w:lang w:val="en-GB"/>
        </w:rPr>
        <w:t xml:space="preserve">rticle </w:t>
      </w:r>
      <w:r w:rsidR="00610481" w:rsidRPr="00086A97">
        <w:rPr>
          <w:lang w:val="en-GB"/>
        </w:rPr>
        <w:t xml:space="preserve">5 party submitting </w:t>
      </w:r>
      <w:r w:rsidRPr="00086A97">
        <w:rPr>
          <w:lang w:val="en-GB"/>
        </w:rPr>
        <w:t xml:space="preserve">a critical-use nomination </w:t>
      </w:r>
      <w:r w:rsidR="00610481" w:rsidRPr="00086A97">
        <w:rPr>
          <w:lang w:val="en-GB"/>
        </w:rPr>
        <w:t>had not reported</w:t>
      </w:r>
      <w:r w:rsidRPr="00086A97">
        <w:rPr>
          <w:lang w:val="en-GB"/>
        </w:rPr>
        <w:t xml:space="preserve"> and the </w:t>
      </w:r>
      <w:r w:rsidR="00610481" w:rsidRPr="00086A97">
        <w:rPr>
          <w:lang w:val="en-GB"/>
        </w:rPr>
        <w:t xml:space="preserve">rest </w:t>
      </w:r>
      <w:r w:rsidRPr="00086A97">
        <w:rPr>
          <w:lang w:val="en-GB"/>
        </w:rPr>
        <w:t xml:space="preserve">had </w:t>
      </w:r>
      <w:r w:rsidR="00610481" w:rsidRPr="00086A97">
        <w:rPr>
          <w:lang w:val="en-GB"/>
        </w:rPr>
        <w:t>report</w:t>
      </w:r>
      <w:r w:rsidRPr="00086A97">
        <w:rPr>
          <w:lang w:val="en-GB"/>
        </w:rPr>
        <w:t>ed having no stocks</w:t>
      </w:r>
      <w:r w:rsidR="00610481" w:rsidRPr="00086A97">
        <w:rPr>
          <w:lang w:val="en-GB"/>
        </w:rPr>
        <w:t xml:space="preserve">. He added that, as usual, </w:t>
      </w:r>
      <w:r w:rsidRPr="00086A97">
        <w:rPr>
          <w:lang w:val="en-GB"/>
        </w:rPr>
        <w:t>the Committee’s critical</w:t>
      </w:r>
      <w:r w:rsidRPr="00086A97">
        <w:rPr>
          <w:lang w:val="en-GB"/>
        </w:rPr>
        <w:noBreakHyphen/>
        <w:t xml:space="preserve">use exemption </w:t>
      </w:r>
      <w:r w:rsidR="00610481" w:rsidRPr="00086A97">
        <w:rPr>
          <w:lang w:val="en-GB"/>
        </w:rPr>
        <w:t>recommendations ha</w:t>
      </w:r>
      <w:r w:rsidRPr="00086A97">
        <w:rPr>
          <w:lang w:val="en-GB"/>
        </w:rPr>
        <w:t>d</w:t>
      </w:r>
      <w:r w:rsidR="00610481" w:rsidRPr="00086A97">
        <w:rPr>
          <w:lang w:val="en-GB"/>
        </w:rPr>
        <w:t xml:space="preserve"> not been adjusted to account for stocks. He then provided an overview of the final recommendations for </w:t>
      </w:r>
      <w:r w:rsidRPr="00086A97">
        <w:rPr>
          <w:lang w:val="en-GB"/>
        </w:rPr>
        <w:t>critical</w:t>
      </w:r>
      <w:r w:rsidRPr="00086A97">
        <w:rPr>
          <w:lang w:val="en-GB"/>
        </w:rPr>
        <w:noBreakHyphen/>
        <w:t>use exemptions</w:t>
      </w:r>
      <w:r w:rsidRPr="00086A97" w:rsidDel="00AA4FEA">
        <w:rPr>
          <w:lang w:val="en-GB"/>
        </w:rPr>
        <w:t xml:space="preserve"> </w:t>
      </w:r>
      <w:r w:rsidR="00610481" w:rsidRPr="00086A97">
        <w:rPr>
          <w:lang w:val="en-GB"/>
        </w:rPr>
        <w:t xml:space="preserve">for six nominations for </w:t>
      </w:r>
      <w:proofErr w:type="spellStart"/>
      <w:r w:rsidR="00610481" w:rsidRPr="00086A97">
        <w:rPr>
          <w:lang w:val="en-GB"/>
        </w:rPr>
        <w:t>preplant</w:t>
      </w:r>
      <w:proofErr w:type="spellEnd"/>
      <w:r w:rsidR="00610481" w:rsidRPr="00086A97">
        <w:rPr>
          <w:lang w:val="en-GB"/>
        </w:rPr>
        <w:t xml:space="preserve"> use (soil fumigation). Th</w:t>
      </w:r>
      <w:r w:rsidRPr="00086A97">
        <w:rPr>
          <w:lang w:val="en-GB"/>
        </w:rPr>
        <w:t>o</w:t>
      </w:r>
      <w:r w:rsidR="00610481" w:rsidRPr="00086A97">
        <w:rPr>
          <w:lang w:val="en-GB"/>
        </w:rPr>
        <w:t>se came from two non-A</w:t>
      </w:r>
      <w:r w:rsidRPr="00086A97">
        <w:rPr>
          <w:lang w:val="en-GB"/>
        </w:rPr>
        <w:t xml:space="preserve">rticle </w:t>
      </w:r>
      <w:r w:rsidR="00610481" w:rsidRPr="00086A97">
        <w:rPr>
          <w:lang w:val="en-GB"/>
        </w:rPr>
        <w:t>5 parties (Canada and Australia) and three A</w:t>
      </w:r>
      <w:r w:rsidRPr="00086A97">
        <w:rPr>
          <w:lang w:val="en-GB"/>
        </w:rPr>
        <w:t xml:space="preserve">rticle </w:t>
      </w:r>
      <w:r w:rsidR="00610481" w:rsidRPr="00086A97">
        <w:rPr>
          <w:lang w:val="en-GB"/>
        </w:rPr>
        <w:t>5 parties (Argentina, China</w:t>
      </w:r>
      <w:r w:rsidRPr="00086A97">
        <w:rPr>
          <w:lang w:val="en-GB"/>
        </w:rPr>
        <w:t xml:space="preserve"> and South Africa</w:t>
      </w:r>
      <w:r w:rsidR="00610481" w:rsidRPr="00086A97">
        <w:rPr>
          <w:lang w:val="en-GB"/>
        </w:rPr>
        <w:t>). For Australian strawberry runners in 2018, the interim recommendation was to reduce the nominated amount by 15</w:t>
      </w:r>
      <w:r w:rsidRPr="00086A97">
        <w:rPr>
          <w:lang w:val="en-GB"/>
        </w:rPr>
        <w:t xml:space="preserve"> per cent,</w:t>
      </w:r>
      <w:r w:rsidR="00610481" w:rsidRPr="00086A97">
        <w:rPr>
          <w:lang w:val="en-GB"/>
        </w:rPr>
        <w:t xml:space="preserve"> from 29.76 tonnes to 25.766 tonnes</w:t>
      </w:r>
      <w:r w:rsidRPr="00086A97">
        <w:rPr>
          <w:lang w:val="en-GB"/>
        </w:rPr>
        <w:t>,</w:t>
      </w:r>
      <w:r w:rsidR="00610481" w:rsidRPr="00086A97">
        <w:rPr>
          <w:lang w:val="en-GB"/>
        </w:rPr>
        <w:t xml:space="preserve"> based on a small reduction (0.03 tonnes) for treatment of substrates and the rest </w:t>
      </w:r>
      <w:r w:rsidRPr="00086A97">
        <w:rPr>
          <w:lang w:val="en-GB"/>
        </w:rPr>
        <w:t>on</w:t>
      </w:r>
      <w:r w:rsidR="00610481" w:rsidRPr="00086A97">
        <w:rPr>
          <w:lang w:val="en-GB"/>
        </w:rPr>
        <w:t xml:space="preserve"> fumigating with available alternatives (i.e., 1</w:t>
      </w:r>
      <w:proofErr w:type="gramStart"/>
      <w:r w:rsidR="00610481" w:rsidRPr="00086A97">
        <w:rPr>
          <w:lang w:val="en-GB"/>
        </w:rPr>
        <w:t>,3</w:t>
      </w:r>
      <w:proofErr w:type="gramEnd"/>
      <w:r w:rsidR="00610481" w:rsidRPr="00086A97">
        <w:rPr>
          <w:lang w:val="en-GB"/>
        </w:rPr>
        <w:t xml:space="preserve">-D/Pic) earlier in </w:t>
      </w:r>
      <w:r w:rsidRPr="00086A97">
        <w:rPr>
          <w:lang w:val="en-GB"/>
        </w:rPr>
        <w:t xml:space="preserve">the </w:t>
      </w:r>
      <w:r w:rsidR="00610481" w:rsidRPr="00086A97">
        <w:rPr>
          <w:lang w:val="en-GB"/>
        </w:rPr>
        <w:t xml:space="preserve">cropping cycle when the soil </w:t>
      </w:r>
      <w:r w:rsidRPr="00086A97">
        <w:rPr>
          <w:lang w:val="en-GB"/>
        </w:rPr>
        <w:t>wa</w:t>
      </w:r>
      <w:r w:rsidR="00610481" w:rsidRPr="00086A97">
        <w:rPr>
          <w:lang w:val="en-GB"/>
        </w:rPr>
        <w:t>s warmer and problems associated with cold soil conditions d</w:t>
      </w:r>
      <w:r w:rsidRPr="00086A97">
        <w:rPr>
          <w:lang w:val="en-GB"/>
        </w:rPr>
        <w:t>id</w:t>
      </w:r>
      <w:r w:rsidR="00610481" w:rsidRPr="00086A97">
        <w:rPr>
          <w:lang w:val="en-GB"/>
        </w:rPr>
        <w:t xml:space="preserve"> not arise</w:t>
      </w:r>
      <w:r w:rsidR="00610481" w:rsidRPr="00444F92">
        <w:rPr>
          <w:lang w:val="en-GB"/>
        </w:rPr>
        <w:t xml:space="preserve">. </w:t>
      </w:r>
      <w:r w:rsidRPr="00370087">
        <w:rPr>
          <w:lang w:val="en-GB"/>
        </w:rPr>
        <w:t>T</w:t>
      </w:r>
      <w:r w:rsidR="00610481" w:rsidRPr="00370087">
        <w:rPr>
          <w:lang w:val="en-GB"/>
        </w:rPr>
        <w:t>he current research program</w:t>
      </w:r>
      <w:r w:rsidRPr="00370087">
        <w:rPr>
          <w:lang w:val="en-GB"/>
        </w:rPr>
        <w:t>me might</w:t>
      </w:r>
      <w:r w:rsidR="00610481" w:rsidRPr="00370087">
        <w:rPr>
          <w:lang w:val="en-GB"/>
        </w:rPr>
        <w:t xml:space="preserve"> be updated to </w:t>
      </w:r>
      <w:r w:rsidRPr="00370087">
        <w:rPr>
          <w:lang w:val="en-GB"/>
        </w:rPr>
        <w:t>the current meeting of the Open-ended Working Group</w:t>
      </w:r>
      <w:r w:rsidR="00610481" w:rsidRPr="00370087">
        <w:rPr>
          <w:lang w:val="en-GB"/>
        </w:rPr>
        <w:t xml:space="preserve"> </w:t>
      </w:r>
      <w:r w:rsidR="00BD4EE0">
        <w:rPr>
          <w:lang w:val="en-GB"/>
        </w:rPr>
        <w:t>in accordance with</w:t>
      </w:r>
      <w:r w:rsidR="00610481" w:rsidRPr="00370087">
        <w:rPr>
          <w:lang w:val="en-GB"/>
        </w:rPr>
        <w:t xml:space="preserve"> </w:t>
      </w:r>
      <w:r w:rsidRPr="00370087">
        <w:rPr>
          <w:lang w:val="en-GB"/>
        </w:rPr>
        <w:t>decision</w:t>
      </w:r>
      <w:r w:rsidR="00610481" w:rsidRPr="00370087">
        <w:rPr>
          <w:lang w:val="en-GB"/>
        </w:rPr>
        <w:t xml:space="preserve"> XXV/4</w:t>
      </w:r>
      <w:r w:rsidR="00610481" w:rsidRPr="00444F92">
        <w:rPr>
          <w:lang w:val="en-GB"/>
        </w:rPr>
        <w:t>.</w:t>
      </w:r>
    </w:p>
    <w:p w14:paraId="5136FCCC" w14:textId="2A0C053E" w:rsidR="00610481" w:rsidRPr="00086A97" w:rsidRDefault="00610481" w:rsidP="00CB7871">
      <w:pPr>
        <w:pStyle w:val="Normalnumber"/>
        <w:numPr>
          <w:ilvl w:val="0"/>
          <w:numId w:val="41"/>
        </w:numPr>
        <w:ind w:left="1247" w:firstLine="0"/>
        <w:rPr>
          <w:lang w:val="en-GB"/>
        </w:rPr>
      </w:pPr>
      <w:r w:rsidRPr="00086A97">
        <w:rPr>
          <w:lang w:val="en-GB"/>
        </w:rPr>
        <w:t xml:space="preserve">For Canadian strawberry runners, </w:t>
      </w:r>
      <w:r w:rsidR="009E2679" w:rsidRPr="00086A97">
        <w:rPr>
          <w:lang w:val="en-GB"/>
        </w:rPr>
        <w:t xml:space="preserve">the Committee considered that it was unable to assess </w:t>
      </w:r>
      <w:r w:rsidRPr="00086A97">
        <w:rPr>
          <w:lang w:val="en-GB"/>
        </w:rPr>
        <w:t xml:space="preserve">the nomination for 2017 of 5.261 tonnes </w:t>
      </w:r>
      <w:r w:rsidR="009E2679" w:rsidRPr="00086A97">
        <w:rPr>
          <w:lang w:val="en-GB"/>
        </w:rPr>
        <w:t>because it judged</w:t>
      </w:r>
      <w:r w:rsidRPr="00086A97">
        <w:rPr>
          <w:lang w:val="en-GB"/>
        </w:rPr>
        <w:t xml:space="preserve"> the research program</w:t>
      </w:r>
      <w:r w:rsidR="009E2679" w:rsidRPr="00086A97">
        <w:rPr>
          <w:lang w:val="en-GB"/>
        </w:rPr>
        <w:t>me</w:t>
      </w:r>
      <w:r w:rsidRPr="00086A97">
        <w:rPr>
          <w:lang w:val="en-GB"/>
        </w:rPr>
        <w:t xml:space="preserve"> to support the nomination to be inadequate and that the chloropicrin groundwater issue was still unclear</w:t>
      </w:r>
      <w:r w:rsidR="009E2679" w:rsidRPr="00086A97">
        <w:rPr>
          <w:lang w:val="en-GB"/>
        </w:rPr>
        <w:t>;</w:t>
      </w:r>
      <w:r w:rsidRPr="00086A97">
        <w:rPr>
          <w:lang w:val="en-GB"/>
        </w:rPr>
        <w:t xml:space="preserve"> it was expected</w:t>
      </w:r>
      <w:r w:rsidR="009E2679" w:rsidRPr="00086A97">
        <w:rPr>
          <w:lang w:val="en-GB"/>
        </w:rPr>
        <w:t>, however,</w:t>
      </w:r>
      <w:r w:rsidRPr="00086A97">
        <w:rPr>
          <w:lang w:val="en-GB"/>
        </w:rPr>
        <w:t xml:space="preserve"> that the Party m</w:t>
      </w:r>
      <w:r w:rsidR="009E2679" w:rsidRPr="00086A97">
        <w:rPr>
          <w:lang w:val="en-GB"/>
        </w:rPr>
        <w:t>ight</w:t>
      </w:r>
      <w:r w:rsidRPr="00086A97">
        <w:rPr>
          <w:lang w:val="en-GB"/>
        </w:rPr>
        <w:t xml:space="preserve"> provide </w:t>
      </w:r>
      <w:r w:rsidR="009E2679" w:rsidRPr="00086A97">
        <w:rPr>
          <w:lang w:val="en-GB"/>
        </w:rPr>
        <w:t xml:space="preserve">a </w:t>
      </w:r>
      <w:r w:rsidRPr="00086A97">
        <w:rPr>
          <w:lang w:val="en-GB"/>
        </w:rPr>
        <w:t xml:space="preserve">further update </w:t>
      </w:r>
      <w:r w:rsidR="009E2679" w:rsidRPr="00086A97">
        <w:rPr>
          <w:lang w:val="en-GB"/>
        </w:rPr>
        <w:t xml:space="preserve">during the current </w:t>
      </w:r>
      <w:r w:rsidRPr="00086A97">
        <w:rPr>
          <w:lang w:val="en-GB"/>
        </w:rPr>
        <w:t xml:space="preserve">meeting as required under </w:t>
      </w:r>
      <w:r w:rsidR="009E2679" w:rsidRPr="001418C0">
        <w:rPr>
          <w:lang w:val="en-GB"/>
        </w:rPr>
        <w:t>decision</w:t>
      </w:r>
      <w:r w:rsidRPr="001418C0">
        <w:rPr>
          <w:lang w:val="en-GB"/>
        </w:rPr>
        <w:t xml:space="preserve"> XXV/4</w:t>
      </w:r>
      <w:r w:rsidRPr="00086A97">
        <w:rPr>
          <w:lang w:val="en-GB"/>
        </w:rPr>
        <w:t>. After the interim assessment, Canada had provided information</w:t>
      </w:r>
      <w:r w:rsidR="009E2679" w:rsidRPr="00086A97">
        <w:rPr>
          <w:lang w:val="en-GB"/>
        </w:rPr>
        <w:t xml:space="preserve"> indicating</w:t>
      </w:r>
      <w:r w:rsidRPr="00086A97">
        <w:rPr>
          <w:lang w:val="en-GB"/>
        </w:rPr>
        <w:t xml:space="preserve"> that a detailed, funded research program</w:t>
      </w:r>
      <w:r w:rsidR="009E2679" w:rsidRPr="00086A97">
        <w:rPr>
          <w:lang w:val="en-GB"/>
        </w:rPr>
        <w:t>me</w:t>
      </w:r>
      <w:r w:rsidRPr="00086A97">
        <w:rPr>
          <w:lang w:val="en-GB"/>
        </w:rPr>
        <w:t xml:space="preserve"> </w:t>
      </w:r>
      <w:r w:rsidR="009E2679" w:rsidRPr="00086A97">
        <w:rPr>
          <w:lang w:val="en-GB"/>
        </w:rPr>
        <w:t>was</w:t>
      </w:r>
      <w:r w:rsidRPr="00086A97">
        <w:rPr>
          <w:lang w:val="en-GB"/>
        </w:rPr>
        <w:t xml:space="preserve"> planned for </w:t>
      </w:r>
      <w:r w:rsidR="009E2679" w:rsidRPr="00086A97">
        <w:rPr>
          <w:lang w:val="en-GB"/>
        </w:rPr>
        <w:t>its</w:t>
      </w:r>
      <w:r w:rsidRPr="00086A97">
        <w:rPr>
          <w:lang w:val="en-GB"/>
        </w:rPr>
        <w:t xml:space="preserve"> remaining </w:t>
      </w:r>
      <w:r w:rsidR="009E2679" w:rsidRPr="00086A97">
        <w:rPr>
          <w:lang w:val="en-GB"/>
        </w:rPr>
        <w:t>critical</w:t>
      </w:r>
      <w:r w:rsidRPr="00086A97">
        <w:rPr>
          <w:lang w:val="en-GB"/>
        </w:rPr>
        <w:t xml:space="preserve"> use. For the Argentina strawberry fruit nomination of 45.3 tonnes, </w:t>
      </w:r>
      <w:r w:rsidR="009E2679" w:rsidRPr="00086A97">
        <w:rPr>
          <w:lang w:val="en-GB"/>
        </w:rPr>
        <w:t>the Committee</w:t>
      </w:r>
      <w:r w:rsidRPr="00086A97">
        <w:rPr>
          <w:lang w:val="en-GB"/>
        </w:rPr>
        <w:t xml:space="preserve"> accepted that there were limitations </w:t>
      </w:r>
      <w:r w:rsidR="009E2679" w:rsidRPr="00086A97">
        <w:rPr>
          <w:lang w:val="en-GB"/>
        </w:rPr>
        <w:t xml:space="preserve">on </w:t>
      </w:r>
      <w:r w:rsidRPr="00086A97">
        <w:rPr>
          <w:lang w:val="en-GB"/>
        </w:rPr>
        <w:t xml:space="preserve">the effectiveness of alternatives in cool regions </w:t>
      </w:r>
      <w:r w:rsidR="009E2679" w:rsidRPr="00086A97">
        <w:rPr>
          <w:lang w:val="en-GB"/>
        </w:rPr>
        <w:t>but</w:t>
      </w:r>
      <w:r w:rsidRPr="00086A97">
        <w:rPr>
          <w:lang w:val="en-GB"/>
        </w:rPr>
        <w:t xml:space="preserve"> recommended a reduced amount of 35.71 tonnes based on uptake of barrier films with </w:t>
      </w:r>
      <w:r w:rsidR="009E2679" w:rsidRPr="00086A97">
        <w:rPr>
          <w:lang w:val="en-GB"/>
        </w:rPr>
        <w:t>methyl bromide</w:t>
      </w:r>
      <w:r w:rsidRPr="00086A97">
        <w:rPr>
          <w:lang w:val="en-GB"/>
        </w:rPr>
        <w:t xml:space="preserve"> over a two</w:t>
      </w:r>
      <w:r w:rsidR="009E2679" w:rsidRPr="00086A97">
        <w:rPr>
          <w:lang w:val="en-GB"/>
        </w:rPr>
        <w:t>-</w:t>
      </w:r>
      <w:r w:rsidRPr="00086A97">
        <w:rPr>
          <w:lang w:val="en-GB"/>
        </w:rPr>
        <w:t xml:space="preserve">year period and </w:t>
      </w:r>
      <w:r w:rsidR="009E2679" w:rsidRPr="00086A97">
        <w:rPr>
          <w:lang w:val="en-GB"/>
        </w:rPr>
        <w:t xml:space="preserve">the </w:t>
      </w:r>
      <w:r w:rsidRPr="00086A97">
        <w:rPr>
          <w:lang w:val="en-GB"/>
        </w:rPr>
        <w:t xml:space="preserve">adoption of available alternatives (i.e., 1,3-D/Pic). For the tomato nomination of 75 tonnes, </w:t>
      </w:r>
      <w:r w:rsidR="009E2679" w:rsidRPr="00086A97">
        <w:rPr>
          <w:lang w:val="en-GB"/>
        </w:rPr>
        <w:t>the Committee</w:t>
      </w:r>
      <w:r w:rsidRPr="00086A97">
        <w:rPr>
          <w:lang w:val="en-GB"/>
        </w:rPr>
        <w:t xml:space="preserve"> accepted that there were </w:t>
      </w:r>
      <w:r w:rsidR="009E2679" w:rsidRPr="00086A97">
        <w:rPr>
          <w:lang w:val="en-GB"/>
        </w:rPr>
        <w:t xml:space="preserve">currently </w:t>
      </w:r>
      <w:r w:rsidRPr="00086A97">
        <w:rPr>
          <w:lang w:val="en-GB"/>
        </w:rPr>
        <w:t xml:space="preserve">no alternatives for the </w:t>
      </w:r>
      <w:proofErr w:type="spellStart"/>
      <w:r w:rsidRPr="00086A97">
        <w:rPr>
          <w:lang w:val="en-GB"/>
        </w:rPr>
        <w:t>Nacobbus</w:t>
      </w:r>
      <w:proofErr w:type="spellEnd"/>
      <w:r w:rsidRPr="00086A97">
        <w:rPr>
          <w:lang w:val="en-GB"/>
        </w:rPr>
        <w:t xml:space="preserve"> nematode. The interim recommendation had been based on the uptake of barrier films with </w:t>
      </w:r>
      <w:r w:rsidR="009E2679" w:rsidRPr="00086A97">
        <w:rPr>
          <w:lang w:val="en-GB"/>
        </w:rPr>
        <w:t>methyl bromide</w:t>
      </w:r>
      <w:r w:rsidRPr="00086A97">
        <w:rPr>
          <w:lang w:val="en-GB"/>
        </w:rPr>
        <w:t xml:space="preserve"> over a two-year period. For the two China nominations (open field and protected ginger), the interim recommendations were reduced 13</w:t>
      </w:r>
      <w:r w:rsidR="009E2679" w:rsidRPr="00086A97">
        <w:rPr>
          <w:lang w:val="en-GB"/>
        </w:rPr>
        <w:t xml:space="preserve"> per cent</w:t>
      </w:r>
      <w:r w:rsidRPr="00086A97">
        <w:rPr>
          <w:lang w:val="en-GB"/>
        </w:rPr>
        <w:t xml:space="preserve"> to account for </w:t>
      </w:r>
      <w:r w:rsidR="009E2679" w:rsidRPr="00086A97">
        <w:rPr>
          <w:lang w:val="en-GB"/>
        </w:rPr>
        <w:t xml:space="preserve">the </w:t>
      </w:r>
      <w:r w:rsidRPr="00086A97">
        <w:rPr>
          <w:lang w:val="en-GB"/>
        </w:rPr>
        <w:t xml:space="preserve">uptake of barrier films with </w:t>
      </w:r>
      <w:r w:rsidR="009E2679" w:rsidRPr="00086A97">
        <w:rPr>
          <w:lang w:val="en-GB"/>
        </w:rPr>
        <w:t>methyl bromide</w:t>
      </w:r>
      <w:r w:rsidRPr="00086A97">
        <w:rPr>
          <w:lang w:val="en-GB"/>
        </w:rPr>
        <w:t xml:space="preserve"> over a </w:t>
      </w:r>
      <w:r w:rsidR="00086A97" w:rsidRPr="00086A97">
        <w:rPr>
          <w:lang w:val="en-GB"/>
        </w:rPr>
        <w:br/>
      </w:r>
      <w:r w:rsidRPr="00086A97">
        <w:rPr>
          <w:lang w:val="en-GB"/>
        </w:rPr>
        <w:t>two-year period.</w:t>
      </w:r>
    </w:p>
    <w:p w14:paraId="4FCB4C03" w14:textId="3CEB97D9" w:rsidR="00610481" w:rsidRPr="00086A97" w:rsidRDefault="00610481"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w:t>
      </w:r>
      <w:proofErr w:type="spellStart"/>
      <w:r w:rsidRPr="00086A97">
        <w:rPr>
          <w:lang w:val="en-GB"/>
        </w:rPr>
        <w:t>Besri</w:t>
      </w:r>
      <w:proofErr w:type="spellEnd"/>
      <w:r w:rsidRPr="00086A97">
        <w:rPr>
          <w:lang w:val="en-GB"/>
        </w:rPr>
        <w:t xml:space="preserve"> then finalized the presentation by presenting the </w:t>
      </w:r>
      <w:r w:rsidR="00D97A56" w:rsidRPr="00086A97">
        <w:rPr>
          <w:lang w:val="en-GB"/>
        </w:rPr>
        <w:t xml:space="preserve">critical-use exemption </w:t>
      </w:r>
      <w:r w:rsidR="00606B2A" w:rsidRPr="00086A97">
        <w:rPr>
          <w:lang w:val="en-GB"/>
        </w:rPr>
        <w:t>nominat</w:t>
      </w:r>
      <w:r w:rsidR="00606B2A">
        <w:rPr>
          <w:lang w:val="en-GB"/>
        </w:rPr>
        <w:t>ion</w:t>
      </w:r>
      <w:r w:rsidR="00606B2A" w:rsidRPr="00086A97">
        <w:rPr>
          <w:lang w:val="en-GB"/>
        </w:rPr>
        <w:t xml:space="preserve"> </w:t>
      </w:r>
      <w:r w:rsidR="00D97A56" w:rsidRPr="00086A97">
        <w:rPr>
          <w:lang w:val="en-GB"/>
        </w:rPr>
        <w:t>for</w:t>
      </w:r>
      <w:r w:rsidRPr="00086A97">
        <w:rPr>
          <w:lang w:val="en-GB"/>
        </w:rPr>
        <w:t xml:space="preserve"> </w:t>
      </w:r>
      <w:r w:rsidR="00D97A56" w:rsidRPr="00086A97">
        <w:rPr>
          <w:lang w:val="en-GB"/>
        </w:rPr>
        <w:t>methyl bromide</w:t>
      </w:r>
      <w:r w:rsidRPr="00086A97">
        <w:rPr>
          <w:lang w:val="en-GB"/>
        </w:rPr>
        <w:t xml:space="preserve"> use in commodities and structures submitted by </w:t>
      </w:r>
      <w:r w:rsidR="00D97A56" w:rsidRPr="00086A97">
        <w:rPr>
          <w:lang w:val="en-GB"/>
        </w:rPr>
        <w:t>South Africa</w:t>
      </w:r>
      <w:r w:rsidRPr="00086A97">
        <w:rPr>
          <w:lang w:val="en-GB"/>
        </w:rPr>
        <w:t xml:space="preserve">. The interim recommendations reduced the nominated amounts in the two key sectors </w:t>
      </w:r>
      <w:r w:rsidR="0073777B" w:rsidRPr="00086A97">
        <w:rPr>
          <w:lang w:val="en-GB"/>
        </w:rPr>
        <w:t xml:space="preserve">named in </w:t>
      </w:r>
      <w:r w:rsidRPr="00086A97">
        <w:rPr>
          <w:lang w:val="en-GB"/>
        </w:rPr>
        <w:t xml:space="preserve">the nomination, mills and dwellings. For mills, the nominated amount of 13 tonnes was reduced based on a fumigant dosage rate of 20 g/m³ and a maximum </w:t>
      </w:r>
      <w:proofErr w:type="gramStart"/>
      <w:r w:rsidRPr="00086A97">
        <w:rPr>
          <w:lang w:val="en-GB"/>
        </w:rPr>
        <w:t>of one fumigation</w:t>
      </w:r>
      <w:proofErr w:type="gramEnd"/>
      <w:r w:rsidRPr="00086A97">
        <w:rPr>
          <w:lang w:val="en-GB"/>
        </w:rPr>
        <w:t xml:space="preserve"> per year and as a transitional measure to allow time for </w:t>
      </w:r>
      <w:r w:rsidR="0073777B" w:rsidRPr="00086A97">
        <w:rPr>
          <w:lang w:val="en-GB"/>
        </w:rPr>
        <w:t xml:space="preserve">the </w:t>
      </w:r>
      <w:r w:rsidRPr="00086A97">
        <w:rPr>
          <w:lang w:val="en-GB"/>
        </w:rPr>
        <w:t>adoption</w:t>
      </w:r>
      <w:r w:rsidR="0073777B" w:rsidRPr="00086A97">
        <w:rPr>
          <w:lang w:val="en-GB"/>
        </w:rPr>
        <w:t xml:space="preserve"> and </w:t>
      </w:r>
      <w:r w:rsidRPr="00086A97">
        <w:rPr>
          <w:lang w:val="en-GB"/>
        </w:rPr>
        <w:t>optimi</w:t>
      </w:r>
      <w:r w:rsidR="0073777B" w:rsidRPr="00086A97">
        <w:rPr>
          <w:lang w:val="en-GB"/>
        </w:rPr>
        <w:t>z</w:t>
      </w:r>
      <w:r w:rsidRPr="00086A97">
        <w:rPr>
          <w:lang w:val="en-GB"/>
        </w:rPr>
        <w:t xml:space="preserve">ation of alternatives. The reduction for dwellings (houses) was based on a rate adjustment to conform to </w:t>
      </w:r>
      <w:r w:rsidR="0073777B" w:rsidRPr="00086A97">
        <w:rPr>
          <w:lang w:val="en-GB"/>
        </w:rPr>
        <w:t xml:space="preserve">the Committee’s </w:t>
      </w:r>
      <w:r w:rsidRPr="00086A97">
        <w:rPr>
          <w:lang w:val="en-GB"/>
        </w:rPr>
        <w:t xml:space="preserve">standard presumptions. In finalizing the presentation, he summarized the highlights as follows: </w:t>
      </w:r>
      <w:r w:rsidR="00382128" w:rsidRPr="00086A97">
        <w:rPr>
          <w:lang w:val="en-GB"/>
        </w:rPr>
        <w:t xml:space="preserve">the United States had </w:t>
      </w:r>
      <w:r w:rsidRPr="00086A97">
        <w:rPr>
          <w:lang w:val="en-GB"/>
        </w:rPr>
        <w:t>not submit</w:t>
      </w:r>
      <w:r w:rsidR="00382128" w:rsidRPr="00086A97">
        <w:rPr>
          <w:lang w:val="en-GB"/>
        </w:rPr>
        <w:t>ted</w:t>
      </w:r>
      <w:r w:rsidRPr="00086A97">
        <w:rPr>
          <w:lang w:val="en-GB"/>
        </w:rPr>
        <w:t xml:space="preserve"> a </w:t>
      </w:r>
      <w:r w:rsidR="00382128" w:rsidRPr="00086A97">
        <w:rPr>
          <w:lang w:val="en-GB"/>
        </w:rPr>
        <w:t>critical-use nomination</w:t>
      </w:r>
      <w:r w:rsidRPr="00086A97">
        <w:rPr>
          <w:lang w:val="en-GB"/>
        </w:rPr>
        <w:t xml:space="preserve"> in </w:t>
      </w:r>
      <w:r w:rsidR="00382128" w:rsidRPr="00086A97">
        <w:rPr>
          <w:lang w:val="en-GB"/>
        </w:rPr>
        <w:t>the current</w:t>
      </w:r>
      <w:r w:rsidRPr="00086A97">
        <w:rPr>
          <w:lang w:val="en-GB"/>
        </w:rPr>
        <w:t xml:space="preserve"> round; Mexico </w:t>
      </w:r>
      <w:r w:rsidR="00382128" w:rsidRPr="00086A97">
        <w:rPr>
          <w:lang w:val="en-GB"/>
        </w:rPr>
        <w:t>had</w:t>
      </w:r>
      <w:r w:rsidRPr="00086A97">
        <w:rPr>
          <w:lang w:val="en-GB"/>
        </w:rPr>
        <w:t xml:space="preserve"> not submit</w:t>
      </w:r>
      <w:r w:rsidR="00382128" w:rsidRPr="00086A97">
        <w:rPr>
          <w:lang w:val="en-GB"/>
        </w:rPr>
        <w:t>ted</w:t>
      </w:r>
      <w:r w:rsidRPr="00086A97">
        <w:rPr>
          <w:lang w:val="en-GB"/>
        </w:rPr>
        <w:t xml:space="preserve"> a</w:t>
      </w:r>
      <w:r w:rsidR="00382128" w:rsidRPr="00086A97">
        <w:rPr>
          <w:lang w:val="en-GB"/>
        </w:rPr>
        <w:t xml:space="preserve"> nomination in the current round and </w:t>
      </w:r>
      <w:r w:rsidRPr="00086A97">
        <w:rPr>
          <w:lang w:val="en-GB"/>
        </w:rPr>
        <w:t>informally indicate</w:t>
      </w:r>
      <w:r w:rsidR="00382128" w:rsidRPr="00086A97">
        <w:rPr>
          <w:lang w:val="en-GB"/>
        </w:rPr>
        <w:t>d that</w:t>
      </w:r>
      <w:r w:rsidRPr="00086A97">
        <w:rPr>
          <w:lang w:val="en-GB"/>
        </w:rPr>
        <w:t xml:space="preserve"> stocks </w:t>
      </w:r>
      <w:r w:rsidR="00382128" w:rsidRPr="00086A97">
        <w:rPr>
          <w:lang w:val="en-GB"/>
        </w:rPr>
        <w:t>we</w:t>
      </w:r>
      <w:r w:rsidRPr="00086A97">
        <w:rPr>
          <w:lang w:val="en-GB"/>
        </w:rPr>
        <w:t>re available;</w:t>
      </w:r>
      <w:r w:rsidR="00382128" w:rsidRPr="00086A97">
        <w:rPr>
          <w:lang w:val="en-GB"/>
        </w:rPr>
        <w:t xml:space="preserve"> and</w:t>
      </w:r>
      <w:r w:rsidRPr="00086A97">
        <w:rPr>
          <w:lang w:val="en-GB"/>
        </w:rPr>
        <w:t xml:space="preserve"> China ha</w:t>
      </w:r>
      <w:r w:rsidR="00382128" w:rsidRPr="00086A97">
        <w:rPr>
          <w:lang w:val="en-GB"/>
        </w:rPr>
        <w:t>d</w:t>
      </w:r>
      <w:r w:rsidRPr="00086A97">
        <w:rPr>
          <w:lang w:val="en-GB"/>
        </w:rPr>
        <w:t xml:space="preserve"> indicated </w:t>
      </w:r>
      <w:r w:rsidR="00382128" w:rsidRPr="00086A97">
        <w:rPr>
          <w:lang w:val="en-GB"/>
        </w:rPr>
        <w:t>its</w:t>
      </w:r>
      <w:r w:rsidRPr="00086A97">
        <w:rPr>
          <w:lang w:val="en-GB"/>
        </w:rPr>
        <w:t xml:space="preserve"> intent</w:t>
      </w:r>
      <w:r w:rsidR="00382128" w:rsidRPr="00086A97">
        <w:rPr>
          <w:lang w:val="en-GB"/>
        </w:rPr>
        <w:t>ion to make</w:t>
      </w:r>
      <w:r w:rsidRPr="00086A97">
        <w:rPr>
          <w:lang w:val="en-GB"/>
        </w:rPr>
        <w:t xml:space="preserve"> 2018 the last year </w:t>
      </w:r>
      <w:r w:rsidR="00382128" w:rsidRPr="00086A97">
        <w:rPr>
          <w:lang w:val="en-GB"/>
        </w:rPr>
        <w:t>for which it would submit critical-use nominations</w:t>
      </w:r>
      <w:r w:rsidRPr="00086A97">
        <w:rPr>
          <w:lang w:val="en-GB"/>
        </w:rPr>
        <w:t xml:space="preserve">. Not all </w:t>
      </w:r>
      <w:r w:rsidR="00382128" w:rsidRPr="00086A97">
        <w:rPr>
          <w:lang w:val="en-GB"/>
        </w:rPr>
        <w:t>p</w:t>
      </w:r>
      <w:r w:rsidRPr="00086A97">
        <w:rPr>
          <w:lang w:val="en-GB"/>
        </w:rPr>
        <w:t>arties provided accounting framework</w:t>
      </w:r>
      <w:r w:rsidR="00382128" w:rsidRPr="00086A97">
        <w:rPr>
          <w:lang w:val="en-GB"/>
        </w:rPr>
        <w:t>s</w:t>
      </w:r>
      <w:r w:rsidRPr="00086A97">
        <w:rPr>
          <w:lang w:val="en-GB"/>
        </w:rPr>
        <w:t xml:space="preserve"> as required under </w:t>
      </w:r>
      <w:r w:rsidR="00444F92">
        <w:rPr>
          <w:lang w:val="en-GB"/>
        </w:rPr>
        <w:t xml:space="preserve">paragraph 9 (f) of </w:t>
      </w:r>
      <w:r w:rsidR="00382128" w:rsidRPr="00086A97">
        <w:rPr>
          <w:lang w:val="en-GB"/>
        </w:rPr>
        <w:t>d</w:t>
      </w:r>
      <w:r w:rsidRPr="00086A97">
        <w:rPr>
          <w:lang w:val="en-GB"/>
        </w:rPr>
        <w:t>ec</w:t>
      </w:r>
      <w:r w:rsidR="00382128" w:rsidRPr="00086A97">
        <w:rPr>
          <w:lang w:val="en-GB"/>
        </w:rPr>
        <w:t>ision</w:t>
      </w:r>
      <w:r w:rsidRPr="00086A97">
        <w:rPr>
          <w:lang w:val="en-GB"/>
        </w:rPr>
        <w:t xml:space="preserve"> Ex. </w:t>
      </w:r>
      <w:r w:rsidR="0034640F">
        <w:rPr>
          <w:lang w:val="en-GB"/>
        </w:rPr>
        <w:t>I</w:t>
      </w:r>
      <w:r w:rsidRPr="00086A97">
        <w:rPr>
          <w:lang w:val="en-GB"/>
        </w:rPr>
        <w:t>/4</w:t>
      </w:r>
      <w:r w:rsidR="00382128" w:rsidRPr="00086A97">
        <w:rPr>
          <w:lang w:val="en-GB"/>
        </w:rPr>
        <w:t>, which was</w:t>
      </w:r>
      <w:r w:rsidRPr="00086A97">
        <w:rPr>
          <w:lang w:val="en-GB"/>
        </w:rPr>
        <w:t xml:space="preserve"> important because accurate reporting of stocks </w:t>
      </w:r>
      <w:r w:rsidR="00382128" w:rsidRPr="00086A97">
        <w:rPr>
          <w:lang w:val="en-GB"/>
        </w:rPr>
        <w:t>wa</w:t>
      </w:r>
      <w:r w:rsidRPr="00086A97">
        <w:rPr>
          <w:lang w:val="en-GB"/>
        </w:rPr>
        <w:t xml:space="preserve">s critical to assessments. Finally, </w:t>
      </w:r>
      <w:r w:rsidR="00382128" w:rsidRPr="00086A97">
        <w:rPr>
          <w:lang w:val="en-GB"/>
        </w:rPr>
        <w:t>he</w:t>
      </w:r>
      <w:r w:rsidRPr="00086A97">
        <w:rPr>
          <w:lang w:val="en-GB"/>
        </w:rPr>
        <w:t xml:space="preserve"> noted that Israel </w:t>
      </w:r>
      <w:r w:rsidR="00382128" w:rsidRPr="00086A97">
        <w:rPr>
          <w:lang w:val="en-GB"/>
        </w:rPr>
        <w:t xml:space="preserve">had </w:t>
      </w:r>
      <w:r w:rsidRPr="00086A97">
        <w:rPr>
          <w:lang w:val="en-GB"/>
        </w:rPr>
        <w:t>informed the Ozone Secretariat of an emergency use of 500 kg of</w:t>
      </w:r>
      <w:r w:rsidR="00382128" w:rsidRPr="00086A97">
        <w:rPr>
          <w:lang w:val="en-GB"/>
        </w:rPr>
        <w:t xml:space="preserve"> methyl bromide</w:t>
      </w:r>
      <w:r w:rsidRPr="00086A97">
        <w:rPr>
          <w:lang w:val="en-GB"/>
        </w:rPr>
        <w:t xml:space="preserve"> for museum </w:t>
      </w:r>
      <w:proofErr w:type="spellStart"/>
      <w:r w:rsidRPr="00086A97">
        <w:rPr>
          <w:lang w:val="en-GB"/>
        </w:rPr>
        <w:t>art</w:t>
      </w:r>
      <w:r w:rsidR="00382128" w:rsidRPr="00086A97">
        <w:rPr>
          <w:lang w:val="en-GB"/>
        </w:rPr>
        <w:t>i</w:t>
      </w:r>
      <w:r w:rsidRPr="00086A97">
        <w:rPr>
          <w:lang w:val="en-GB"/>
        </w:rPr>
        <w:t>facts</w:t>
      </w:r>
      <w:proofErr w:type="spellEnd"/>
      <w:r w:rsidRPr="00086A97">
        <w:rPr>
          <w:lang w:val="en-GB"/>
        </w:rPr>
        <w:t>.</w:t>
      </w:r>
    </w:p>
    <w:p w14:paraId="5BE4EEAA" w14:textId="23BC8524" w:rsidR="00610481" w:rsidRPr="00086A97" w:rsidRDefault="00610481" w:rsidP="00CB7871">
      <w:pPr>
        <w:pStyle w:val="Normalnumber"/>
        <w:numPr>
          <w:ilvl w:val="0"/>
          <w:numId w:val="41"/>
        </w:numPr>
        <w:ind w:left="1247" w:firstLine="0"/>
        <w:rPr>
          <w:lang w:val="en-GB"/>
        </w:rPr>
      </w:pPr>
      <w:proofErr w:type="spellStart"/>
      <w:r w:rsidRPr="00086A97">
        <w:rPr>
          <w:lang w:val="en-GB"/>
        </w:rPr>
        <w:t>Ms.</w:t>
      </w:r>
      <w:proofErr w:type="spellEnd"/>
      <w:r w:rsidRPr="00086A97">
        <w:rPr>
          <w:lang w:val="en-GB"/>
        </w:rPr>
        <w:t xml:space="preserve"> Helen Tope, co-chair of the Medical and Chemicals Technical Options Committee, introduced the </w:t>
      </w:r>
      <w:r w:rsidR="00C23C79" w:rsidRPr="00086A97">
        <w:rPr>
          <w:lang w:val="en-GB"/>
        </w:rPr>
        <w:t>C</w:t>
      </w:r>
      <w:r w:rsidRPr="00086A97">
        <w:rPr>
          <w:lang w:val="en-GB"/>
        </w:rPr>
        <w:t xml:space="preserve">ommittee’s inaugural progress report, announcing that </w:t>
      </w:r>
      <w:r w:rsidR="00C23C79" w:rsidRPr="00086A97">
        <w:rPr>
          <w:lang w:val="en-GB"/>
        </w:rPr>
        <w:t xml:space="preserve">the </w:t>
      </w:r>
      <w:r w:rsidRPr="00086A97">
        <w:rPr>
          <w:lang w:val="en-GB"/>
        </w:rPr>
        <w:t>global transition away from CFC</w:t>
      </w:r>
      <w:r w:rsidR="00C23C79" w:rsidRPr="00086A97">
        <w:rPr>
          <w:lang w:val="en-GB"/>
        </w:rPr>
        <w:t>-based</w:t>
      </w:r>
      <w:r w:rsidRPr="00086A97">
        <w:rPr>
          <w:lang w:val="en-GB"/>
        </w:rPr>
        <w:t xml:space="preserve"> </w:t>
      </w:r>
      <w:r w:rsidR="00C23C79" w:rsidRPr="00086A97">
        <w:rPr>
          <w:lang w:val="en-GB"/>
        </w:rPr>
        <w:t>metered-dose inhalers</w:t>
      </w:r>
      <w:r w:rsidRPr="00086A97">
        <w:rPr>
          <w:lang w:val="en-GB"/>
        </w:rPr>
        <w:t xml:space="preserve"> </w:t>
      </w:r>
      <w:r w:rsidR="00C23C79" w:rsidRPr="00086A97">
        <w:rPr>
          <w:lang w:val="en-GB"/>
        </w:rPr>
        <w:t>wa</w:t>
      </w:r>
      <w:r w:rsidRPr="00086A97">
        <w:rPr>
          <w:lang w:val="en-GB"/>
        </w:rPr>
        <w:t>s almost complete</w:t>
      </w:r>
      <w:r w:rsidR="00C23C79" w:rsidRPr="00086A97">
        <w:rPr>
          <w:lang w:val="en-GB"/>
        </w:rPr>
        <w:t>,</w:t>
      </w:r>
      <w:r w:rsidRPr="00086A97">
        <w:rPr>
          <w:lang w:val="en-GB"/>
        </w:rPr>
        <w:t xml:space="preserve"> with </w:t>
      </w:r>
      <w:r w:rsidR="00C23C79" w:rsidRPr="00086A97">
        <w:rPr>
          <w:lang w:val="en-GB"/>
        </w:rPr>
        <w:t xml:space="preserve">the </w:t>
      </w:r>
      <w:r w:rsidRPr="00086A97">
        <w:rPr>
          <w:lang w:val="en-GB"/>
        </w:rPr>
        <w:t xml:space="preserve">remaining manufacture </w:t>
      </w:r>
      <w:r w:rsidR="00C23C79" w:rsidRPr="00086A97">
        <w:rPr>
          <w:lang w:val="en-GB"/>
        </w:rPr>
        <w:t xml:space="preserve">of such inhalers </w:t>
      </w:r>
      <w:r w:rsidRPr="00086A97">
        <w:rPr>
          <w:lang w:val="en-GB"/>
        </w:rPr>
        <w:t xml:space="preserve">being </w:t>
      </w:r>
      <w:proofErr w:type="gramStart"/>
      <w:r w:rsidR="00C23C79" w:rsidRPr="00086A97">
        <w:rPr>
          <w:lang w:val="en-GB"/>
        </w:rPr>
        <w:t>effected</w:t>
      </w:r>
      <w:proofErr w:type="gramEnd"/>
      <w:r w:rsidR="00C23C79" w:rsidRPr="00086A97">
        <w:rPr>
          <w:lang w:val="en-GB"/>
        </w:rPr>
        <w:t xml:space="preserve"> through the use of </w:t>
      </w:r>
      <w:r w:rsidRPr="00086A97">
        <w:rPr>
          <w:lang w:val="en-GB"/>
        </w:rPr>
        <w:t>CFC stockpiles. Th</w:t>
      </w:r>
      <w:r w:rsidR="00C23C79" w:rsidRPr="00086A97">
        <w:rPr>
          <w:lang w:val="en-GB"/>
        </w:rPr>
        <w:t>us th</w:t>
      </w:r>
      <w:r w:rsidRPr="00086A97">
        <w:rPr>
          <w:lang w:val="en-GB"/>
        </w:rPr>
        <w:t>e global market w</w:t>
      </w:r>
      <w:r w:rsidR="00C23C79" w:rsidRPr="00086A97">
        <w:rPr>
          <w:lang w:val="en-GB"/>
        </w:rPr>
        <w:t>ould</w:t>
      </w:r>
      <w:r w:rsidRPr="00086A97">
        <w:rPr>
          <w:lang w:val="en-GB"/>
        </w:rPr>
        <w:t xml:space="preserve"> be CFC-free in the </w:t>
      </w:r>
      <w:r w:rsidR="00C23C79" w:rsidRPr="00086A97">
        <w:rPr>
          <w:lang w:val="en-GB"/>
        </w:rPr>
        <w:t>succeeding</w:t>
      </w:r>
      <w:r w:rsidRPr="00086A97">
        <w:rPr>
          <w:lang w:val="en-GB"/>
        </w:rPr>
        <w:t xml:space="preserve"> few years. Proprietary dry powder inhaler devices continue</w:t>
      </w:r>
      <w:r w:rsidR="00C23C79" w:rsidRPr="00086A97">
        <w:rPr>
          <w:lang w:val="en-GB"/>
        </w:rPr>
        <w:t>d</w:t>
      </w:r>
      <w:r w:rsidRPr="00086A97">
        <w:rPr>
          <w:lang w:val="en-GB"/>
        </w:rPr>
        <w:t xml:space="preserve"> to diversify, with companies investing in their own unique delivery technologies. The metered</w:t>
      </w:r>
      <w:r w:rsidR="00CE77F8" w:rsidRPr="00086A97">
        <w:rPr>
          <w:lang w:val="en-GB"/>
        </w:rPr>
        <w:t>-</w:t>
      </w:r>
      <w:r w:rsidRPr="00086A97">
        <w:rPr>
          <w:lang w:val="en-GB"/>
        </w:rPr>
        <w:t>dose inhaler remain</w:t>
      </w:r>
      <w:r w:rsidR="00C23C79" w:rsidRPr="00086A97">
        <w:rPr>
          <w:lang w:val="en-GB"/>
        </w:rPr>
        <w:t>ed</w:t>
      </w:r>
      <w:r w:rsidRPr="00086A97">
        <w:rPr>
          <w:lang w:val="en-GB"/>
        </w:rPr>
        <w:t xml:space="preserve"> the mainstay of inhaled therapy</w:t>
      </w:r>
      <w:r w:rsidR="00C23C79" w:rsidRPr="00086A97">
        <w:rPr>
          <w:lang w:val="en-GB"/>
        </w:rPr>
        <w:t>,</w:t>
      </w:r>
      <w:r w:rsidRPr="00086A97">
        <w:rPr>
          <w:lang w:val="en-GB"/>
        </w:rPr>
        <w:t xml:space="preserve"> with about 60 per cent of the global market. In A</w:t>
      </w:r>
      <w:r w:rsidR="00CE77F8" w:rsidRPr="00086A97">
        <w:rPr>
          <w:lang w:val="en-GB"/>
        </w:rPr>
        <w:t xml:space="preserve">rticle </w:t>
      </w:r>
      <w:r w:rsidRPr="00086A97">
        <w:rPr>
          <w:lang w:val="en-GB"/>
        </w:rPr>
        <w:t>5 parties, inhaler use ha</w:t>
      </w:r>
      <w:r w:rsidR="00CE77F8" w:rsidRPr="00086A97">
        <w:rPr>
          <w:lang w:val="en-GB"/>
        </w:rPr>
        <w:t>d</w:t>
      </w:r>
      <w:r w:rsidRPr="00086A97">
        <w:rPr>
          <w:lang w:val="en-GB"/>
        </w:rPr>
        <w:t xml:space="preserve"> increased overall and dry powder inhaler use ha</w:t>
      </w:r>
      <w:r w:rsidR="00CE77F8" w:rsidRPr="00086A97">
        <w:rPr>
          <w:lang w:val="en-GB"/>
        </w:rPr>
        <w:t>d</w:t>
      </w:r>
      <w:r w:rsidRPr="00086A97">
        <w:rPr>
          <w:lang w:val="en-GB"/>
        </w:rPr>
        <w:t xml:space="preserve"> become more widely accepted. </w:t>
      </w:r>
      <w:proofErr w:type="spellStart"/>
      <w:r w:rsidRPr="00086A97">
        <w:rPr>
          <w:lang w:val="en-GB"/>
        </w:rPr>
        <w:t>Mr.</w:t>
      </w:r>
      <w:proofErr w:type="spellEnd"/>
      <w:r w:rsidRPr="00086A97">
        <w:rPr>
          <w:lang w:val="en-GB"/>
        </w:rPr>
        <w:t xml:space="preserve"> </w:t>
      </w:r>
      <w:proofErr w:type="spellStart"/>
      <w:r w:rsidRPr="00086A97">
        <w:rPr>
          <w:lang w:val="en-GB"/>
        </w:rPr>
        <w:t>Jianjun</w:t>
      </w:r>
      <w:proofErr w:type="spellEnd"/>
      <w:r w:rsidRPr="00086A97">
        <w:rPr>
          <w:lang w:val="en-GB"/>
        </w:rPr>
        <w:t xml:space="preserve"> Zhang, co-chair of the </w:t>
      </w:r>
      <w:r w:rsidR="00CE77F8" w:rsidRPr="00086A97">
        <w:rPr>
          <w:lang w:val="en-GB"/>
        </w:rPr>
        <w:t>Committee</w:t>
      </w:r>
      <w:r w:rsidRPr="00086A97">
        <w:rPr>
          <w:lang w:val="en-GB"/>
        </w:rPr>
        <w:t xml:space="preserve">, </w:t>
      </w:r>
      <w:r w:rsidR="00CE77F8" w:rsidRPr="00086A97">
        <w:rPr>
          <w:lang w:val="en-GB"/>
        </w:rPr>
        <w:t>reported on the Committee</w:t>
      </w:r>
      <w:r w:rsidRPr="00086A97">
        <w:rPr>
          <w:lang w:val="en-GB"/>
        </w:rPr>
        <w:t xml:space="preserve">’s review of information on process agents submitted by </w:t>
      </w:r>
      <w:r w:rsidR="00CE77F8" w:rsidRPr="00086A97">
        <w:rPr>
          <w:lang w:val="en-GB"/>
        </w:rPr>
        <w:t>p</w:t>
      </w:r>
      <w:r w:rsidRPr="00086A97">
        <w:rPr>
          <w:lang w:val="en-GB"/>
        </w:rPr>
        <w:t xml:space="preserve">arties </w:t>
      </w:r>
      <w:r w:rsidR="00CE77F8" w:rsidRPr="00086A97">
        <w:rPr>
          <w:lang w:val="en-GB"/>
        </w:rPr>
        <w:t>in accordance with d</w:t>
      </w:r>
      <w:r w:rsidRPr="00086A97">
        <w:rPr>
          <w:lang w:val="en-GB"/>
        </w:rPr>
        <w:t xml:space="preserve">ecision XVII/6. Based on the information provided or no longer reported, </w:t>
      </w:r>
      <w:r w:rsidR="005D3CCD" w:rsidRPr="00086A97">
        <w:rPr>
          <w:lang w:val="en-GB"/>
        </w:rPr>
        <w:t>he said, the Meeting of the P</w:t>
      </w:r>
      <w:r w:rsidRPr="00086A97">
        <w:rPr>
          <w:lang w:val="en-GB"/>
        </w:rPr>
        <w:t>arties m</w:t>
      </w:r>
      <w:r w:rsidR="005D3CCD" w:rsidRPr="00086A97">
        <w:rPr>
          <w:lang w:val="en-GB"/>
        </w:rPr>
        <w:t>ight</w:t>
      </w:r>
      <w:r w:rsidRPr="00086A97">
        <w:rPr>
          <w:lang w:val="en-GB"/>
        </w:rPr>
        <w:t xml:space="preserve"> wish to consider removing from </w:t>
      </w:r>
      <w:r w:rsidR="005D3CCD" w:rsidRPr="00086A97">
        <w:rPr>
          <w:lang w:val="en-GB"/>
        </w:rPr>
        <w:t>t</w:t>
      </w:r>
      <w:r w:rsidRPr="00086A97">
        <w:rPr>
          <w:lang w:val="en-GB"/>
        </w:rPr>
        <w:t xml:space="preserve">able A of </w:t>
      </w:r>
      <w:r w:rsidR="005D3CCD" w:rsidRPr="00086A97">
        <w:rPr>
          <w:lang w:val="en-GB"/>
        </w:rPr>
        <w:t>d</w:t>
      </w:r>
      <w:r w:rsidRPr="00086A97">
        <w:rPr>
          <w:lang w:val="en-GB"/>
        </w:rPr>
        <w:t>ecision XXIII/7</w:t>
      </w:r>
      <w:r w:rsidR="005D3CCD" w:rsidRPr="00086A97">
        <w:rPr>
          <w:lang w:val="en-GB"/>
        </w:rPr>
        <w:t xml:space="preserve"> the</w:t>
      </w:r>
      <w:r w:rsidRPr="00086A97">
        <w:rPr>
          <w:lang w:val="en-GB"/>
        </w:rPr>
        <w:t xml:space="preserve"> production of chlorinated </w:t>
      </w:r>
      <w:proofErr w:type="spellStart"/>
      <w:r w:rsidRPr="00086A97">
        <w:rPr>
          <w:lang w:val="en-GB"/>
        </w:rPr>
        <w:t>polypropene</w:t>
      </w:r>
      <w:proofErr w:type="spellEnd"/>
      <w:r w:rsidR="006C73B1">
        <w:rPr>
          <w:lang w:val="en-GB"/>
        </w:rPr>
        <w:t>,</w:t>
      </w:r>
      <w:r w:rsidRPr="00086A97">
        <w:rPr>
          <w:lang w:val="en-GB"/>
        </w:rPr>
        <w:t xml:space="preserve"> chlorinated ethylene vinyl acetate and methyl </w:t>
      </w:r>
      <w:proofErr w:type="spellStart"/>
      <w:r w:rsidRPr="00086A97">
        <w:rPr>
          <w:lang w:val="en-GB"/>
        </w:rPr>
        <w:t>isocyanate</w:t>
      </w:r>
      <w:proofErr w:type="spellEnd"/>
      <w:r w:rsidRPr="00086A97">
        <w:rPr>
          <w:lang w:val="en-GB"/>
        </w:rPr>
        <w:t xml:space="preserve"> derivatives; Israel for NCl</w:t>
      </w:r>
      <w:r w:rsidRPr="00B307B9">
        <w:rPr>
          <w:vertAlign w:val="subscript"/>
          <w:lang w:val="en-GB"/>
        </w:rPr>
        <w:t>3</w:t>
      </w:r>
      <w:r w:rsidRPr="00086A97">
        <w:rPr>
          <w:lang w:val="en-GB"/>
        </w:rPr>
        <w:t xml:space="preserve"> elimination in </w:t>
      </w:r>
      <w:proofErr w:type="spellStart"/>
      <w:r w:rsidRPr="00086A97">
        <w:rPr>
          <w:lang w:val="en-GB"/>
        </w:rPr>
        <w:t>chlor</w:t>
      </w:r>
      <w:proofErr w:type="spellEnd"/>
      <w:r w:rsidRPr="00086A97">
        <w:rPr>
          <w:lang w:val="en-GB"/>
        </w:rPr>
        <w:t>-alkali production; and the United</w:t>
      </w:r>
      <w:r w:rsidR="00086A97" w:rsidRPr="00086A97">
        <w:rPr>
          <w:lang w:val="en-GB"/>
        </w:rPr>
        <w:t> </w:t>
      </w:r>
      <w:r w:rsidRPr="00086A97">
        <w:rPr>
          <w:lang w:val="en-GB"/>
        </w:rPr>
        <w:t xml:space="preserve">States for the production of </w:t>
      </w:r>
      <w:proofErr w:type="spellStart"/>
      <w:r w:rsidRPr="00086A97">
        <w:rPr>
          <w:lang w:val="en-GB"/>
        </w:rPr>
        <w:t>chlorosulfonated</w:t>
      </w:r>
      <w:proofErr w:type="spellEnd"/>
      <w:r w:rsidRPr="00086A97">
        <w:rPr>
          <w:lang w:val="en-GB"/>
        </w:rPr>
        <w:t xml:space="preserve"> polyolefin. </w:t>
      </w:r>
      <w:r w:rsidR="005D3CCD" w:rsidRPr="00086A97">
        <w:rPr>
          <w:lang w:val="en-GB"/>
        </w:rPr>
        <w:t>In addition, individual p</w:t>
      </w:r>
      <w:r w:rsidRPr="00086A97">
        <w:rPr>
          <w:lang w:val="en-GB"/>
        </w:rPr>
        <w:t>arties m</w:t>
      </w:r>
      <w:r w:rsidR="005D3CCD" w:rsidRPr="00086A97">
        <w:rPr>
          <w:lang w:val="en-GB"/>
        </w:rPr>
        <w:t>ight</w:t>
      </w:r>
      <w:r w:rsidRPr="00086A97">
        <w:rPr>
          <w:lang w:val="en-GB"/>
        </w:rPr>
        <w:t xml:space="preserve"> wish to consider reducing the quantities of make-up/consumption and maximum emissions levels in </w:t>
      </w:r>
      <w:r w:rsidR="005D3CCD" w:rsidRPr="00086A97">
        <w:rPr>
          <w:lang w:val="en-GB"/>
        </w:rPr>
        <w:t>t</w:t>
      </w:r>
      <w:r w:rsidRPr="00086A97">
        <w:rPr>
          <w:lang w:val="en-GB"/>
        </w:rPr>
        <w:t xml:space="preserve">able B of </w:t>
      </w:r>
      <w:r w:rsidR="005D3CCD" w:rsidRPr="00086A97">
        <w:rPr>
          <w:lang w:val="en-GB"/>
        </w:rPr>
        <w:t>d</w:t>
      </w:r>
      <w:r w:rsidRPr="00086A97">
        <w:rPr>
          <w:lang w:val="en-GB"/>
        </w:rPr>
        <w:t>ecision XXIII/7 based upon their own reported data. Parties m</w:t>
      </w:r>
      <w:r w:rsidR="005D3CCD" w:rsidRPr="00086A97">
        <w:rPr>
          <w:lang w:val="en-GB"/>
        </w:rPr>
        <w:t>ight</w:t>
      </w:r>
      <w:r w:rsidRPr="00086A97">
        <w:rPr>
          <w:lang w:val="en-GB"/>
        </w:rPr>
        <w:t xml:space="preserve"> also wish to consider updating their information on the remaining eleven process agent uses and provide information on currently </w:t>
      </w:r>
      <w:r w:rsidR="005D3CCD" w:rsidRPr="00086A97">
        <w:rPr>
          <w:lang w:val="en-GB"/>
        </w:rPr>
        <w:t xml:space="preserve">used </w:t>
      </w:r>
      <w:r w:rsidRPr="00086A97">
        <w:rPr>
          <w:lang w:val="en-GB"/>
        </w:rPr>
        <w:t xml:space="preserve">technology, technology used for reducing emissions, actual emissions, and alternatives available for replacing </w:t>
      </w:r>
      <w:r w:rsidR="00434CF3" w:rsidRPr="00086A97">
        <w:rPr>
          <w:lang w:val="en-GB"/>
        </w:rPr>
        <w:t>ozone-</w:t>
      </w:r>
      <w:r w:rsidR="001C2F80" w:rsidRPr="00086A97">
        <w:rPr>
          <w:lang w:val="en-GB"/>
        </w:rPr>
        <w:t>depleting</w:t>
      </w:r>
      <w:r w:rsidR="00434CF3" w:rsidRPr="00086A97">
        <w:rPr>
          <w:lang w:val="en-GB"/>
        </w:rPr>
        <w:t xml:space="preserve"> substances</w:t>
      </w:r>
      <w:r w:rsidRPr="00086A97">
        <w:rPr>
          <w:lang w:val="en-GB"/>
        </w:rPr>
        <w:t xml:space="preserve"> in th</w:t>
      </w:r>
      <w:r w:rsidR="00434CF3" w:rsidRPr="00086A97">
        <w:rPr>
          <w:lang w:val="en-GB"/>
        </w:rPr>
        <w:t>o</w:t>
      </w:r>
      <w:r w:rsidRPr="00086A97">
        <w:rPr>
          <w:lang w:val="en-GB"/>
        </w:rPr>
        <w:t xml:space="preserve">se processes, by the end of 2017 in time for </w:t>
      </w:r>
      <w:r w:rsidR="00434CF3" w:rsidRPr="00086A97">
        <w:rPr>
          <w:lang w:val="en-GB"/>
        </w:rPr>
        <w:t>inclusion in the Committee’s next</w:t>
      </w:r>
      <w:r w:rsidRPr="00086A97">
        <w:rPr>
          <w:lang w:val="en-GB"/>
        </w:rPr>
        <w:t xml:space="preserve"> report under </w:t>
      </w:r>
      <w:r w:rsidR="00434CF3" w:rsidRPr="00086A97">
        <w:rPr>
          <w:lang w:val="en-GB"/>
        </w:rPr>
        <w:t>d</w:t>
      </w:r>
      <w:r w:rsidRPr="00086A97">
        <w:rPr>
          <w:lang w:val="en-GB"/>
        </w:rPr>
        <w:t>ecision XVII/6</w:t>
      </w:r>
      <w:r w:rsidR="00434CF3" w:rsidRPr="00086A97">
        <w:rPr>
          <w:lang w:val="en-GB"/>
        </w:rPr>
        <w:t>,</w:t>
      </w:r>
      <w:r w:rsidRPr="00086A97">
        <w:rPr>
          <w:lang w:val="en-GB"/>
        </w:rPr>
        <w:t xml:space="preserve"> in early 2018. </w:t>
      </w:r>
      <w:proofErr w:type="spellStart"/>
      <w:r w:rsidRPr="00086A97">
        <w:rPr>
          <w:lang w:val="en-GB"/>
        </w:rPr>
        <w:t>Mr.</w:t>
      </w:r>
      <w:proofErr w:type="spellEnd"/>
      <w:r w:rsidRPr="00086A97">
        <w:rPr>
          <w:lang w:val="en-GB"/>
        </w:rPr>
        <w:t xml:space="preserve"> Keiichi Ohnishi, co-chair of </w:t>
      </w:r>
      <w:r w:rsidR="00434CF3" w:rsidRPr="00086A97">
        <w:rPr>
          <w:lang w:val="en-GB"/>
        </w:rPr>
        <w:t>the Committee</w:t>
      </w:r>
      <w:r w:rsidRPr="00086A97">
        <w:rPr>
          <w:lang w:val="en-GB"/>
        </w:rPr>
        <w:t xml:space="preserve">, </w:t>
      </w:r>
      <w:r w:rsidR="00434CF3" w:rsidRPr="00086A97">
        <w:rPr>
          <w:lang w:val="en-GB"/>
        </w:rPr>
        <w:t xml:space="preserve">then continued the presentation, reporting on the Committee’s </w:t>
      </w:r>
      <w:r w:rsidRPr="00086A97">
        <w:rPr>
          <w:lang w:val="en-GB"/>
        </w:rPr>
        <w:t xml:space="preserve">review </w:t>
      </w:r>
      <w:r w:rsidR="00434CF3" w:rsidRPr="00086A97">
        <w:rPr>
          <w:lang w:val="en-GB"/>
        </w:rPr>
        <w:t xml:space="preserve">of </w:t>
      </w:r>
      <w:r w:rsidRPr="00086A97">
        <w:rPr>
          <w:lang w:val="en-GB"/>
        </w:rPr>
        <w:t xml:space="preserve">and recommendation for the 2016 </w:t>
      </w:r>
      <w:r w:rsidR="00434CF3" w:rsidRPr="00086A97">
        <w:rPr>
          <w:lang w:val="en-GB"/>
        </w:rPr>
        <w:t xml:space="preserve">essential-use exemption nomination </w:t>
      </w:r>
      <w:r w:rsidRPr="00086A97">
        <w:rPr>
          <w:lang w:val="en-GB"/>
        </w:rPr>
        <w:t xml:space="preserve">from China for 65 tonnes of </w:t>
      </w:r>
      <w:r w:rsidR="00434CF3" w:rsidRPr="00086A97">
        <w:rPr>
          <w:lang w:val="en-GB"/>
        </w:rPr>
        <w:t>carbon tetrachloride</w:t>
      </w:r>
      <w:r w:rsidRPr="00086A97">
        <w:rPr>
          <w:lang w:val="en-GB"/>
        </w:rPr>
        <w:t xml:space="preserve"> for use </w:t>
      </w:r>
      <w:r w:rsidR="00434CF3" w:rsidRPr="00086A97">
        <w:rPr>
          <w:lang w:val="en-GB"/>
        </w:rPr>
        <w:t>in</w:t>
      </w:r>
      <w:r w:rsidRPr="00086A97">
        <w:rPr>
          <w:lang w:val="en-GB"/>
        </w:rPr>
        <w:t xml:space="preserve"> water analysis. In 2</w:t>
      </w:r>
      <w:r w:rsidR="00434CF3" w:rsidRPr="00086A97">
        <w:rPr>
          <w:lang w:val="en-GB"/>
        </w:rPr>
        <w:t>0</w:t>
      </w:r>
      <w:r w:rsidRPr="00086A97">
        <w:rPr>
          <w:lang w:val="en-GB"/>
        </w:rPr>
        <w:t>16 China ha</w:t>
      </w:r>
      <w:r w:rsidR="00434CF3" w:rsidRPr="00086A97">
        <w:rPr>
          <w:lang w:val="en-GB"/>
        </w:rPr>
        <w:t>d</w:t>
      </w:r>
      <w:r w:rsidRPr="00086A97">
        <w:rPr>
          <w:lang w:val="en-GB"/>
        </w:rPr>
        <w:t xml:space="preserve"> reported difficulty in implementing a new standard using mid-</w:t>
      </w:r>
      <w:r w:rsidR="009F7E60" w:rsidRPr="00086A97">
        <w:rPr>
          <w:lang w:val="en-GB"/>
        </w:rPr>
        <w:t xml:space="preserve">infrared </w:t>
      </w:r>
      <w:r w:rsidRPr="00086A97">
        <w:rPr>
          <w:lang w:val="en-GB"/>
        </w:rPr>
        <w:t>laser spectroscopy and ha</w:t>
      </w:r>
      <w:r w:rsidR="00434CF3" w:rsidRPr="00086A97">
        <w:rPr>
          <w:lang w:val="en-GB"/>
        </w:rPr>
        <w:t>d</w:t>
      </w:r>
      <w:r w:rsidRPr="00086A97">
        <w:rPr>
          <w:lang w:val="en-GB"/>
        </w:rPr>
        <w:t xml:space="preserve"> decided to substitute </w:t>
      </w:r>
      <w:proofErr w:type="spellStart"/>
      <w:r w:rsidRPr="00086A97">
        <w:rPr>
          <w:lang w:val="en-GB"/>
        </w:rPr>
        <w:t>tetrachloroethylene</w:t>
      </w:r>
      <w:proofErr w:type="spellEnd"/>
      <w:r w:rsidRPr="00086A97">
        <w:rPr>
          <w:lang w:val="en-GB"/>
        </w:rPr>
        <w:t xml:space="preserve"> for </w:t>
      </w:r>
      <w:r w:rsidR="00434CF3" w:rsidRPr="00086A97">
        <w:rPr>
          <w:lang w:val="en-GB"/>
        </w:rPr>
        <w:t>carbon tetrachloride</w:t>
      </w:r>
      <w:r w:rsidRPr="00086A97">
        <w:rPr>
          <w:lang w:val="en-GB"/>
        </w:rPr>
        <w:t xml:space="preserve">, allowing </w:t>
      </w:r>
      <w:r w:rsidR="00434CF3" w:rsidRPr="00086A97">
        <w:rPr>
          <w:lang w:val="en-GB"/>
        </w:rPr>
        <w:t xml:space="preserve">the </w:t>
      </w:r>
      <w:r w:rsidRPr="00086A97">
        <w:rPr>
          <w:lang w:val="en-GB"/>
        </w:rPr>
        <w:t xml:space="preserve">continued use of existing </w:t>
      </w:r>
      <w:r w:rsidR="009F7E60" w:rsidRPr="00086A97">
        <w:rPr>
          <w:lang w:val="en-GB"/>
        </w:rPr>
        <w:t>infrared</w:t>
      </w:r>
      <w:r w:rsidRPr="00086A97">
        <w:rPr>
          <w:lang w:val="en-GB"/>
        </w:rPr>
        <w:t xml:space="preserve"> photometry equipment. </w:t>
      </w:r>
      <w:r w:rsidR="009F7E60" w:rsidRPr="00086A97">
        <w:rPr>
          <w:lang w:val="en-GB"/>
        </w:rPr>
        <w:t>The Committee requested</w:t>
      </w:r>
      <w:r w:rsidRPr="00086A97">
        <w:rPr>
          <w:lang w:val="en-GB"/>
        </w:rPr>
        <w:t xml:space="preserve"> that China, prior to any further nomination, provide specific information on </w:t>
      </w:r>
      <w:r w:rsidR="009F7E60" w:rsidRPr="00086A97">
        <w:rPr>
          <w:lang w:val="en-GB"/>
        </w:rPr>
        <w:t xml:space="preserve">any </w:t>
      </w:r>
      <w:r w:rsidRPr="00086A97">
        <w:rPr>
          <w:lang w:val="en-GB"/>
        </w:rPr>
        <w:t xml:space="preserve">evaluation </w:t>
      </w:r>
      <w:r w:rsidR="009F7E60" w:rsidRPr="00086A97">
        <w:rPr>
          <w:lang w:val="en-GB"/>
        </w:rPr>
        <w:t xml:space="preserve">of </w:t>
      </w:r>
      <w:r w:rsidRPr="00086A97">
        <w:rPr>
          <w:lang w:val="en-GB"/>
        </w:rPr>
        <w:t xml:space="preserve">the use of other international analytical methods; progress in the development of its alternative method, including the purification of </w:t>
      </w:r>
      <w:proofErr w:type="spellStart"/>
      <w:r w:rsidRPr="00086A97">
        <w:rPr>
          <w:lang w:val="en-GB"/>
        </w:rPr>
        <w:t>tetrachloroethylene</w:t>
      </w:r>
      <w:proofErr w:type="spellEnd"/>
      <w:r w:rsidRPr="00086A97">
        <w:rPr>
          <w:lang w:val="en-GB"/>
        </w:rPr>
        <w:t xml:space="preserve">; and a timeline for </w:t>
      </w:r>
      <w:r w:rsidR="009F7E60" w:rsidRPr="00086A97">
        <w:rPr>
          <w:lang w:val="en-GB"/>
        </w:rPr>
        <w:t xml:space="preserve">the </w:t>
      </w:r>
      <w:r w:rsidRPr="00086A97">
        <w:rPr>
          <w:lang w:val="en-GB"/>
        </w:rPr>
        <w:t xml:space="preserve">phase-out of </w:t>
      </w:r>
      <w:r w:rsidR="009F7E60" w:rsidRPr="00086A97">
        <w:rPr>
          <w:lang w:val="en-GB"/>
        </w:rPr>
        <w:t>laboratory and analytical uses of carbon tetrachloride</w:t>
      </w:r>
      <w:r w:rsidRPr="00086A97">
        <w:rPr>
          <w:lang w:val="en-GB"/>
        </w:rPr>
        <w:t>, indicating anticipated steps and dates in that process.</w:t>
      </w:r>
    </w:p>
    <w:p w14:paraId="65BCB9E8" w14:textId="52E3496F" w:rsidR="00610481" w:rsidRPr="00086A97" w:rsidRDefault="00610481" w:rsidP="00CB7871">
      <w:pPr>
        <w:pStyle w:val="Normalnumber"/>
        <w:numPr>
          <w:ilvl w:val="0"/>
          <w:numId w:val="41"/>
        </w:numPr>
        <w:ind w:left="1247" w:firstLine="0"/>
        <w:rPr>
          <w:lang w:val="en-GB"/>
        </w:rPr>
      </w:pPr>
      <w:proofErr w:type="spellStart"/>
      <w:r w:rsidRPr="00086A97">
        <w:rPr>
          <w:lang w:val="en-GB"/>
        </w:rPr>
        <w:t>Mr.</w:t>
      </w:r>
      <w:proofErr w:type="spellEnd"/>
      <w:r w:rsidRPr="00086A97">
        <w:rPr>
          <w:lang w:val="en-GB"/>
        </w:rPr>
        <w:t xml:space="preserve"> </w:t>
      </w:r>
      <w:proofErr w:type="spellStart"/>
      <w:r w:rsidRPr="00086A97">
        <w:rPr>
          <w:lang w:val="en-GB"/>
        </w:rPr>
        <w:t>Kuijpers</w:t>
      </w:r>
      <w:proofErr w:type="spellEnd"/>
      <w:r w:rsidRPr="00086A97">
        <w:rPr>
          <w:lang w:val="en-GB"/>
        </w:rPr>
        <w:t xml:space="preserve"> then continued with the presentation</w:t>
      </w:r>
      <w:r w:rsidR="00371244" w:rsidRPr="00086A97">
        <w:rPr>
          <w:lang w:val="en-GB"/>
        </w:rPr>
        <w:t>, providing information on</w:t>
      </w:r>
      <w:r w:rsidRPr="00086A97">
        <w:rPr>
          <w:lang w:val="en-GB"/>
        </w:rPr>
        <w:t xml:space="preserve"> the report </w:t>
      </w:r>
      <w:r w:rsidR="001C2F80" w:rsidRPr="00086A97">
        <w:rPr>
          <w:lang w:val="en-GB"/>
        </w:rPr>
        <w:t xml:space="preserve">prepared by the </w:t>
      </w:r>
      <w:r w:rsidR="005F01E3" w:rsidRPr="00086A97">
        <w:rPr>
          <w:lang w:val="en-GB"/>
        </w:rPr>
        <w:t>w</w:t>
      </w:r>
      <w:r w:rsidRPr="00086A97">
        <w:rPr>
          <w:lang w:val="en-GB"/>
        </w:rPr>
        <w:t xml:space="preserve">orking </w:t>
      </w:r>
      <w:r w:rsidR="005F01E3" w:rsidRPr="00086A97">
        <w:rPr>
          <w:lang w:val="en-GB"/>
        </w:rPr>
        <w:t>g</w:t>
      </w:r>
      <w:r w:rsidRPr="00086A97">
        <w:rPr>
          <w:lang w:val="en-GB"/>
        </w:rPr>
        <w:t>roup</w:t>
      </w:r>
      <w:r w:rsidR="005F01E3" w:rsidRPr="00086A97">
        <w:rPr>
          <w:lang w:val="en-GB"/>
        </w:rPr>
        <w:t xml:space="preserve"> established by the Technology and Economic Assessment Panel in response to decision XXVII/5</w:t>
      </w:r>
      <w:r w:rsidRPr="00086A97">
        <w:rPr>
          <w:lang w:val="en-GB"/>
        </w:rPr>
        <w:t xml:space="preserve">, on behalf of the </w:t>
      </w:r>
      <w:r w:rsidR="005F01E3" w:rsidRPr="00086A97">
        <w:rPr>
          <w:lang w:val="en-GB"/>
        </w:rPr>
        <w:t xml:space="preserve">working group </w:t>
      </w:r>
      <w:r w:rsidRPr="00086A97">
        <w:rPr>
          <w:lang w:val="en-GB"/>
        </w:rPr>
        <w:t xml:space="preserve">co-chairs </w:t>
      </w:r>
      <w:proofErr w:type="spellStart"/>
      <w:r w:rsidRPr="00086A97">
        <w:rPr>
          <w:lang w:val="en-GB"/>
        </w:rPr>
        <w:t>Mr.</w:t>
      </w:r>
      <w:proofErr w:type="spellEnd"/>
      <w:r w:rsidRPr="00086A97">
        <w:rPr>
          <w:lang w:val="en-GB"/>
        </w:rPr>
        <w:t xml:space="preserve"> Daniel </w:t>
      </w:r>
      <w:proofErr w:type="spellStart"/>
      <w:r w:rsidRPr="00086A97">
        <w:rPr>
          <w:lang w:val="en-GB"/>
        </w:rPr>
        <w:t>Verdonik</w:t>
      </w:r>
      <w:proofErr w:type="spellEnd"/>
      <w:r w:rsidRPr="00086A97">
        <w:rPr>
          <w:lang w:val="en-GB"/>
        </w:rPr>
        <w:t xml:space="preserve"> and </w:t>
      </w:r>
      <w:proofErr w:type="spellStart"/>
      <w:r w:rsidRPr="00086A97">
        <w:rPr>
          <w:lang w:val="en-GB"/>
        </w:rPr>
        <w:t>Ms.</w:t>
      </w:r>
      <w:proofErr w:type="spellEnd"/>
      <w:r w:rsidRPr="00086A97">
        <w:rPr>
          <w:lang w:val="en-GB"/>
        </w:rPr>
        <w:t xml:space="preserve"> </w:t>
      </w:r>
      <w:proofErr w:type="spellStart"/>
      <w:r w:rsidRPr="00086A97">
        <w:rPr>
          <w:lang w:val="en-GB"/>
        </w:rPr>
        <w:t>Shiqiu</w:t>
      </w:r>
      <w:proofErr w:type="spellEnd"/>
      <w:r w:rsidRPr="00086A97">
        <w:rPr>
          <w:lang w:val="en-GB"/>
        </w:rPr>
        <w:t xml:space="preserve"> Zhang. </w:t>
      </w:r>
      <w:r w:rsidR="005F01E3" w:rsidRPr="00086A97">
        <w:rPr>
          <w:lang w:val="en-GB"/>
        </w:rPr>
        <w:t>In d</w:t>
      </w:r>
      <w:r w:rsidRPr="00086A97">
        <w:rPr>
          <w:lang w:val="en-GB"/>
        </w:rPr>
        <w:t xml:space="preserve">ecision XXVII/5 </w:t>
      </w:r>
      <w:r w:rsidR="005F01E3" w:rsidRPr="00086A97">
        <w:rPr>
          <w:lang w:val="en-GB"/>
        </w:rPr>
        <w:t xml:space="preserve">the Meeting of the Parties requested the Panel </w:t>
      </w:r>
      <w:r w:rsidRPr="00086A97">
        <w:rPr>
          <w:lang w:val="en-GB"/>
        </w:rPr>
        <w:t>to investigate and prepare a report</w:t>
      </w:r>
      <w:r w:rsidR="005F01E3" w:rsidRPr="00086A97">
        <w:rPr>
          <w:lang w:val="en-GB"/>
        </w:rPr>
        <w:t>,</w:t>
      </w:r>
      <w:r w:rsidRPr="00086A97">
        <w:rPr>
          <w:lang w:val="en-GB"/>
        </w:rPr>
        <w:t xml:space="preserve"> for consideration by the </w:t>
      </w:r>
      <w:r w:rsidR="005F01E3" w:rsidRPr="00086A97">
        <w:rPr>
          <w:lang w:val="en-GB"/>
        </w:rPr>
        <w:t>Open-ended Working Group at its thirty-eighth</w:t>
      </w:r>
      <w:r w:rsidRPr="00086A97">
        <w:rPr>
          <w:lang w:val="en-GB"/>
        </w:rPr>
        <w:t xml:space="preserve"> meeting, </w:t>
      </w:r>
      <w:r w:rsidR="005F01E3" w:rsidRPr="00086A97">
        <w:rPr>
          <w:lang w:val="en-GB"/>
        </w:rPr>
        <w:t xml:space="preserve">on </w:t>
      </w:r>
      <w:r w:rsidRPr="00086A97">
        <w:rPr>
          <w:lang w:val="en-GB"/>
        </w:rPr>
        <w:t>three separate requests by parties</w:t>
      </w:r>
      <w:r w:rsidR="005F01E3" w:rsidRPr="00086A97">
        <w:rPr>
          <w:lang w:val="en-GB"/>
        </w:rPr>
        <w:t>, one</w:t>
      </w:r>
      <w:r w:rsidRPr="00086A97">
        <w:rPr>
          <w:lang w:val="en-GB"/>
        </w:rPr>
        <w:t xml:space="preserve"> related to an estimate of essential use quantities for non</w:t>
      </w:r>
      <w:r w:rsidR="00482A2B">
        <w:rPr>
          <w:lang w:val="en-GB"/>
        </w:rPr>
        <w:noBreakHyphen/>
      </w:r>
      <w:r w:rsidRPr="00086A97">
        <w:rPr>
          <w:lang w:val="en-GB"/>
        </w:rPr>
        <w:t>A</w:t>
      </w:r>
      <w:r w:rsidR="005F01E3" w:rsidRPr="00086A97">
        <w:rPr>
          <w:lang w:val="en-GB"/>
        </w:rPr>
        <w:t>rticle</w:t>
      </w:r>
      <w:r w:rsidR="00482A2B">
        <w:rPr>
          <w:lang w:val="en-GB"/>
        </w:rPr>
        <w:t> </w:t>
      </w:r>
      <w:r w:rsidRPr="00086A97">
        <w:rPr>
          <w:lang w:val="en-GB"/>
        </w:rPr>
        <w:t xml:space="preserve">5 parties as of 2020, </w:t>
      </w:r>
      <w:r w:rsidR="005F01E3" w:rsidRPr="00086A97">
        <w:rPr>
          <w:lang w:val="en-GB"/>
        </w:rPr>
        <w:t xml:space="preserve">another </w:t>
      </w:r>
      <w:r w:rsidRPr="00086A97">
        <w:rPr>
          <w:lang w:val="en-GB"/>
        </w:rPr>
        <w:t>related to an assessment of 2020</w:t>
      </w:r>
      <w:r w:rsidR="005F01E3" w:rsidRPr="00086A97">
        <w:rPr>
          <w:lang w:val="en-GB"/>
        </w:rPr>
        <w:t>–</w:t>
      </w:r>
      <w:r w:rsidRPr="00086A97">
        <w:rPr>
          <w:lang w:val="en-GB"/>
        </w:rPr>
        <w:t xml:space="preserve">2030 servicing requirements for non-Article 5 parties and </w:t>
      </w:r>
      <w:r w:rsidR="005F01E3" w:rsidRPr="00086A97">
        <w:rPr>
          <w:lang w:val="en-GB"/>
        </w:rPr>
        <w:t xml:space="preserve">a third </w:t>
      </w:r>
      <w:r w:rsidRPr="00086A97">
        <w:rPr>
          <w:lang w:val="en-GB"/>
        </w:rPr>
        <w:t xml:space="preserve">related to a report on </w:t>
      </w:r>
      <w:r w:rsidR="005F01E3" w:rsidRPr="00086A97">
        <w:rPr>
          <w:lang w:val="en-GB"/>
        </w:rPr>
        <w:t xml:space="preserve">volumes of </w:t>
      </w:r>
      <w:r w:rsidRPr="00086A97">
        <w:rPr>
          <w:lang w:val="en-GB"/>
        </w:rPr>
        <w:t>recent</w:t>
      </w:r>
      <w:r w:rsidR="005F01E3" w:rsidRPr="00086A97">
        <w:rPr>
          <w:lang w:val="en-GB"/>
        </w:rPr>
        <w:t>ly</w:t>
      </w:r>
      <w:r w:rsidRPr="00086A97">
        <w:rPr>
          <w:lang w:val="en-GB"/>
        </w:rPr>
        <w:t xml:space="preserve"> produced HCFC</w:t>
      </w:r>
      <w:r w:rsidR="005F01E3" w:rsidRPr="00086A97">
        <w:rPr>
          <w:lang w:val="en-GB"/>
        </w:rPr>
        <w:t>s,</w:t>
      </w:r>
      <w:r w:rsidRPr="00086A97">
        <w:rPr>
          <w:lang w:val="en-GB"/>
        </w:rPr>
        <w:t xml:space="preserve"> estimates of future production and the estimated needs of A</w:t>
      </w:r>
      <w:r w:rsidR="005F01E3" w:rsidRPr="00086A97">
        <w:rPr>
          <w:lang w:val="en-GB"/>
        </w:rPr>
        <w:t xml:space="preserve">rticle </w:t>
      </w:r>
      <w:r w:rsidRPr="00086A97">
        <w:rPr>
          <w:lang w:val="en-GB"/>
        </w:rPr>
        <w:t xml:space="preserve">5 parties to satisfy basic domestic needs beyond 2020. </w:t>
      </w:r>
      <w:proofErr w:type="spellStart"/>
      <w:r w:rsidRPr="00086A97">
        <w:rPr>
          <w:lang w:val="en-GB"/>
        </w:rPr>
        <w:t>Mr.</w:t>
      </w:r>
      <w:proofErr w:type="spellEnd"/>
      <w:r w:rsidRPr="00086A97">
        <w:rPr>
          <w:lang w:val="en-GB"/>
        </w:rPr>
        <w:t xml:space="preserve"> </w:t>
      </w:r>
      <w:proofErr w:type="spellStart"/>
      <w:r w:rsidRPr="00086A97">
        <w:rPr>
          <w:lang w:val="en-GB"/>
        </w:rPr>
        <w:t>Kuijpers</w:t>
      </w:r>
      <w:proofErr w:type="spellEnd"/>
      <w:r w:rsidRPr="00086A97">
        <w:rPr>
          <w:lang w:val="en-GB"/>
        </w:rPr>
        <w:t xml:space="preserve"> </w:t>
      </w:r>
      <w:r w:rsidR="005F01E3" w:rsidRPr="00086A97">
        <w:rPr>
          <w:lang w:val="en-GB"/>
        </w:rPr>
        <w:t xml:space="preserve">described </w:t>
      </w:r>
      <w:r w:rsidRPr="00086A97">
        <w:rPr>
          <w:lang w:val="en-GB"/>
        </w:rPr>
        <w:t xml:space="preserve">the composition of the </w:t>
      </w:r>
      <w:r w:rsidR="005F01E3" w:rsidRPr="00086A97">
        <w:rPr>
          <w:lang w:val="en-GB"/>
        </w:rPr>
        <w:t>w</w:t>
      </w:r>
      <w:r w:rsidRPr="00086A97">
        <w:rPr>
          <w:lang w:val="en-GB"/>
        </w:rPr>
        <w:t xml:space="preserve">orking </w:t>
      </w:r>
      <w:r w:rsidR="005F01E3" w:rsidRPr="00086A97">
        <w:rPr>
          <w:lang w:val="en-GB"/>
        </w:rPr>
        <w:t>g</w:t>
      </w:r>
      <w:r w:rsidRPr="00086A97">
        <w:rPr>
          <w:lang w:val="en-GB"/>
        </w:rPr>
        <w:t xml:space="preserve">roup, </w:t>
      </w:r>
      <w:r w:rsidR="005F01E3" w:rsidRPr="00086A97">
        <w:rPr>
          <w:lang w:val="en-GB"/>
        </w:rPr>
        <w:t xml:space="preserve">which </w:t>
      </w:r>
      <w:r w:rsidRPr="00086A97">
        <w:rPr>
          <w:lang w:val="en-GB"/>
        </w:rPr>
        <w:t>consist</w:t>
      </w:r>
      <w:r w:rsidR="005F01E3" w:rsidRPr="00086A97">
        <w:rPr>
          <w:lang w:val="en-GB"/>
        </w:rPr>
        <w:t>ed</w:t>
      </w:r>
      <w:r w:rsidRPr="00086A97">
        <w:rPr>
          <w:lang w:val="en-GB"/>
        </w:rPr>
        <w:t xml:space="preserve"> of nine members</w:t>
      </w:r>
      <w:r w:rsidR="005F01E3" w:rsidRPr="00086A97">
        <w:rPr>
          <w:lang w:val="en-GB"/>
        </w:rPr>
        <w:t xml:space="preserve"> of the Panel</w:t>
      </w:r>
      <w:r w:rsidRPr="00086A97">
        <w:rPr>
          <w:lang w:val="en-GB"/>
        </w:rPr>
        <w:t xml:space="preserve">. He elaborated on the approach to the response to </w:t>
      </w:r>
      <w:r w:rsidR="005F01E3" w:rsidRPr="00086A97">
        <w:rPr>
          <w:lang w:val="en-GB"/>
        </w:rPr>
        <w:t>d</w:t>
      </w:r>
      <w:r w:rsidRPr="00086A97">
        <w:rPr>
          <w:lang w:val="en-GB"/>
        </w:rPr>
        <w:t xml:space="preserve">ecision XXVII/5 and mentioned a number of elements. The situation with HCFCs </w:t>
      </w:r>
      <w:r w:rsidR="005F01E3" w:rsidRPr="00086A97">
        <w:rPr>
          <w:lang w:val="en-GB"/>
        </w:rPr>
        <w:t>wa</w:t>
      </w:r>
      <w:r w:rsidRPr="00086A97">
        <w:rPr>
          <w:lang w:val="en-GB"/>
        </w:rPr>
        <w:t>s not comparable to CFCs</w:t>
      </w:r>
      <w:r w:rsidR="005F01E3" w:rsidRPr="00086A97">
        <w:rPr>
          <w:lang w:val="en-GB"/>
        </w:rPr>
        <w:t xml:space="preserve">; </w:t>
      </w:r>
      <w:r w:rsidRPr="00086A97">
        <w:rPr>
          <w:lang w:val="en-GB"/>
        </w:rPr>
        <w:t xml:space="preserve">for many years </w:t>
      </w:r>
      <w:r w:rsidR="005F01E3" w:rsidRPr="00086A97">
        <w:rPr>
          <w:lang w:val="en-GB"/>
        </w:rPr>
        <w:t xml:space="preserve">Article 5 </w:t>
      </w:r>
      <w:r w:rsidRPr="00086A97">
        <w:rPr>
          <w:lang w:val="en-GB"/>
        </w:rPr>
        <w:t>parties ha</w:t>
      </w:r>
      <w:r w:rsidR="005F01E3" w:rsidRPr="00086A97">
        <w:rPr>
          <w:lang w:val="en-GB"/>
        </w:rPr>
        <w:t>d</w:t>
      </w:r>
      <w:r w:rsidRPr="00086A97">
        <w:rPr>
          <w:lang w:val="en-GB"/>
        </w:rPr>
        <w:t xml:space="preserve"> been the largest producers of many HCFCs such as </w:t>
      </w:r>
      <w:r w:rsidR="0044340F">
        <w:rPr>
          <w:lang w:val="en-GB"/>
        </w:rPr>
        <w:br/>
      </w:r>
      <w:r w:rsidRPr="00086A97">
        <w:rPr>
          <w:lang w:val="en-GB"/>
        </w:rPr>
        <w:t xml:space="preserve">HCFC-22, </w:t>
      </w:r>
      <w:r w:rsidR="005F01E3" w:rsidRPr="00086A97">
        <w:rPr>
          <w:lang w:val="en-GB"/>
        </w:rPr>
        <w:t>HCFC</w:t>
      </w:r>
      <w:r w:rsidR="00482A2B">
        <w:rPr>
          <w:lang w:val="en-GB"/>
        </w:rPr>
        <w:noBreakHyphen/>
      </w:r>
      <w:r w:rsidRPr="00086A97">
        <w:rPr>
          <w:lang w:val="en-GB"/>
        </w:rPr>
        <w:t xml:space="preserve">141b and </w:t>
      </w:r>
      <w:r w:rsidR="005F01E3" w:rsidRPr="00086A97">
        <w:rPr>
          <w:lang w:val="en-GB"/>
        </w:rPr>
        <w:t>HCFC</w:t>
      </w:r>
      <w:r w:rsidRPr="00086A97">
        <w:rPr>
          <w:lang w:val="en-GB"/>
        </w:rPr>
        <w:t xml:space="preserve">-142b. In putting the report together, </w:t>
      </w:r>
      <w:r w:rsidR="005F01E3" w:rsidRPr="00086A97">
        <w:rPr>
          <w:lang w:val="en-GB"/>
        </w:rPr>
        <w:t xml:space="preserve">the working group considered </w:t>
      </w:r>
      <w:r w:rsidRPr="00086A97">
        <w:rPr>
          <w:lang w:val="en-GB"/>
        </w:rPr>
        <w:t xml:space="preserve">various sources of information such as </w:t>
      </w:r>
      <w:r w:rsidR="005F01E3" w:rsidRPr="00086A97">
        <w:rPr>
          <w:lang w:val="en-GB"/>
        </w:rPr>
        <w:t>p</w:t>
      </w:r>
      <w:r w:rsidRPr="00086A97">
        <w:rPr>
          <w:lang w:val="en-GB"/>
        </w:rPr>
        <w:t>art</w:t>
      </w:r>
      <w:r w:rsidR="00E97341" w:rsidRPr="00086A97">
        <w:rPr>
          <w:lang w:val="en-GB"/>
        </w:rPr>
        <w:t>y</w:t>
      </w:r>
      <w:r w:rsidRPr="00086A97">
        <w:rPr>
          <w:lang w:val="en-GB"/>
        </w:rPr>
        <w:t xml:space="preserve"> submissions (from Australia, Canada and the U</w:t>
      </w:r>
      <w:r w:rsidR="005F01E3" w:rsidRPr="00086A97">
        <w:rPr>
          <w:lang w:val="en-GB"/>
        </w:rPr>
        <w:t xml:space="preserve">nited </w:t>
      </w:r>
      <w:r w:rsidRPr="00086A97">
        <w:rPr>
          <w:lang w:val="en-GB"/>
        </w:rPr>
        <w:t>S</w:t>
      </w:r>
      <w:r w:rsidR="005F01E3" w:rsidRPr="00086A97">
        <w:rPr>
          <w:lang w:val="en-GB"/>
        </w:rPr>
        <w:t>tates</w:t>
      </w:r>
      <w:r w:rsidRPr="00086A97">
        <w:rPr>
          <w:lang w:val="en-GB"/>
        </w:rPr>
        <w:t xml:space="preserve">), Ozone Secretariat reported </w:t>
      </w:r>
      <w:r w:rsidR="005F01E3" w:rsidRPr="00086A97">
        <w:rPr>
          <w:lang w:val="en-GB"/>
        </w:rPr>
        <w:t xml:space="preserve">HCFC </w:t>
      </w:r>
      <w:r w:rsidRPr="00086A97">
        <w:rPr>
          <w:lang w:val="en-GB"/>
        </w:rPr>
        <w:t>data for 2010</w:t>
      </w:r>
      <w:r w:rsidR="005F01E3" w:rsidRPr="00086A97">
        <w:rPr>
          <w:lang w:val="en-GB"/>
        </w:rPr>
        <w:t>–</w:t>
      </w:r>
      <w:r w:rsidRPr="00086A97">
        <w:rPr>
          <w:lang w:val="en-GB"/>
        </w:rPr>
        <w:t>2014</w:t>
      </w:r>
      <w:proofErr w:type="gramStart"/>
      <w:r w:rsidR="005F01E3" w:rsidRPr="00086A97">
        <w:rPr>
          <w:lang w:val="en-GB"/>
        </w:rPr>
        <w:t>,</w:t>
      </w:r>
      <w:r w:rsidRPr="00086A97">
        <w:rPr>
          <w:lang w:val="en-GB"/>
        </w:rPr>
        <w:t xml:space="preserve">  </w:t>
      </w:r>
      <w:r w:rsidR="005F01E3" w:rsidRPr="00086A97">
        <w:rPr>
          <w:lang w:val="en-GB"/>
        </w:rPr>
        <w:t>country</w:t>
      </w:r>
      <w:proofErr w:type="gramEnd"/>
      <w:r w:rsidR="005F01E3" w:rsidRPr="00086A97">
        <w:rPr>
          <w:lang w:val="en-GB"/>
        </w:rPr>
        <w:t xml:space="preserve"> programme data from the s</w:t>
      </w:r>
      <w:r w:rsidRPr="00086A97">
        <w:rPr>
          <w:lang w:val="en-GB"/>
        </w:rPr>
        <w:t xml:space="preserve">ecretariat </w:t>
      </w:r>
      <w:r w:rsidR="005F01E3" w:rsidRPr="00086A97">
        <w:rPr>
          <w:lang w:val="en-GB"/>
        </w:rPr>
        <w:t xml:space="preserve">of the Multilateral Fund for the Implementation of the Montreal Protocol </w:t>
      </w:r>
      <w:r w:rsidRPr="00086A97">
        <w:rPr>
          <w:lang w:val="en-GB"/>
        </w:rPr>
        <w:t>for 2009</w:t>
      </w:r>
      <w:r w:rsidR="005F01E3" w:rsidRPr="00086A97">
        <w:rPr>
          <w:lang w:val="en-GB"/>
        </w:rPr>
        <w:t>–</w:t>
      </w:r>
      <w:r w:rsidRPr="00086A97">
        <w:rPr>
          <w:lang w:val="en-GB"/>
        </w:rPr>
        <w:t>2014 and A</w:t>
      </w:r>
      <w:r w:rsidR="005F01E3" w:rsidRPr="00086A97">
        <w:rPr>
          <w:lang w:val="en-GB"/>
        </w:rPr>
        <w:t xml:space="preserve">rticle </w:t>
      </w:r>
      <w:r w:rsidRPr="00086A97">
        <w:rPr>
          <w:lang w:val="en-GB"/>
        </w:rPr>
        <w:t xml:space="preserve">5 </w:t>
      </w:r>
      <w:r w:rsidR="005F01E3" w:rsidRPr="00086A97">
        <w:rPr>
          <w:lang w:val="en-GB"/>
        </w:rPr>
        <w:t xml:space="preserve">party </w:t>
      </w:r>
      <w:r w:rsidRPr="00086A97">
        <w:rPr>
          <w:lang w:val="en-GB"/>
        </w:rPr>
        <w:t xml:space="preserve">HCFC consumption data for 2020 from available HCFC </w:t>
      </w:r>
      <w:r w:rsidR="005F01E3" w:rsidRPr="00086A97">
        <w:rPr>
          <w:lang w:val="en-GB"/>
        </w:rPr>
        <w:t>stage I phase-out management plans</w:t>
      </w:r>
      <w:r w:rsidRPr="00086A97">
        <w:rPr>
          <w:lang w:val="en-GB"/>
        </w:rPr>
        <w:t xml:space="preserve">. </w:t>
      </w:r>
    </w:p>
    <w:p w14:paraId="4BD8C3CF" w14:textId="7484FF70" w:rsidR="00610481" w:rsidRPr="00086A97" w:rsidRDefault="005F01E3" w:rsidP="00CB7871">
      <w:pPr>
        <w:pStyle w:val="Normalnumber"/>
        <w:numPr>
          <w:ilvl w:val="0"/>
          <w:numId w:val="41"/>
        </w:numPr>
        <w:ind w:left="1247" w:firstLine="0"/>
        <w:rPr>
          <w:lang w:val="en-GB"/>
        </w:rPr>
      </w:pPr>
      <w:r w:rsidRPr="00086A97">
        <w:rPr>
          <w:lang w:val="en-GB"/>
        </w:rPr>
        <w:t>He</w:t>
      </w:r>
      <w:r w:rsidR="00610481" w:rsidRPr="00086A97">
        <w:rPr>
          <w:lang w:val="en-GB"/>
        </w:rPr>
        <w:t xml:space="preserve"> noted that HCFC production in the 1990s </w:t>
      </w:r>
      <w:r w:rsidRPr="00086A97">
        <w:rPr>
          <w:lang w:val="en-GB"/>
        </w:rPr>
        <w:t>had been</w:t>
      </w:r>
      <w:r w:rsidR="00610481" w:rsidRPr="00086A97">
        <w:rPr>
          <w:lang w:val="en-GB"/>
        </w:rPr>
        <w:t xml:space="preserve"> much higher in non-A</w:t>
      </w:r>
      <w:r w:rsidRPr="00086A97">
        <w:rPr>
          <w:lang w:val="en-GB"/>
        </w:rPr>
        <w:t xml:space="preserve">rticle </w:t>
      </w:r>
      <w:r w:rsidR="00610481" w:rsidRPr="00086A97">
        <w:rPr>
          <w:lang w:val="en-GB"/>
        </w:rPr>
        <w:t xml:space="preserve">5 </w:t>
      </w:r>
      <w:r w:rsidRPr="00086A97">
        <w:rPr>
          <w:lang w:val="en-GB"/>
        </w:rPr>
        <w:t xml:space="preserve">parties </w:t>
      </w:r>
      <w:r w:rsidR="00610481" w:rsidRPr="00086A97">
        <w:rPr>
          <w:lang w:val="en-GB"/>
        </w:rPr>
        <w:t>than in A</w:t>
      </w:r>
      <w:r w:rsidRPr="00086A97">
        <w:rPr>
          <w:lang w:val="en-GB"/>
        </w:rPr>
        <w:t xml:space="preserve">rticle </w:t>
      </w:r>
      <w:r w:rsidR="00610481" w:rsidRPr="00086A97">
        <w:rPr>
          <w:lang w:val="en-GB"/>
        </w:rPr>
        <w:t>5 parties</w:t>
      </w:r>
      <w:r w:rsidRPr="00086A97">
        <w:rPr>
          <w:lang w:val="en-GB"/>
        </w:rPr>
        <w:t xml:space="preserve">; in </w:t>
      </w:r>
      <w:r w:rsidR="00610481" w:rsidRPr="00086A97">
        <w:rPr>
          <w:lang w:val="en-GB"/>
        </w:rPr>
        <w:t>1995</w:t>
      </w:r>
      <w:r w:rsidRPr="00086A97">
        <w:rPr>
          <w:lang w:val="en-GB"/>
        </w:rPr>
        <w:t>, for example,</w:t>
      </w:r>
      <w:r w:rsidR="00610481" w:rsidRPr="00086A97">
        <w:rPr>
          <w:lang w:val="en-GB"/>
        </w:rPr>
        <w:t xml:space="preserve"> a total of </w:t>
      </w:r>
      <w:r w:rsidRPr="00086A97">
        <w:rPr>
          <w:lang w:val="en-GB"/>
        </w:rPr>
        <w:t xml:space="preserve">non-Article 5 parties had produced </w:t>
      </w:r>
      <w:r w:rsidR="00610481" w:rsidRPr="00086A97">
        <w:rPr>
          <w:lang w:val="en-GB"/>
        </w:rPr>
        <w:t>540</w:t>
      </w:r>
      <w:r w:rsidR="00AA27D8">
        <w:rPr>
          <w:lang w:val="en-GB"/>
        </w:rPr>
        <w:t> </w:t>
      </w:r>
      <w:proofErr w:type="spellStart"/>
      <w:r w:rsidRPr="00086A97">
        <w:rPr>
          <w:lang w:val="en-GB"/>
        </w:rPr>
        <w:t>kilotonnes</w:t>
      </w:r>
      <w:proofErr w:type="spellEnd"/>
      <w:r w:rsidRPr="00086A97">
        <w:rPr>
          <w:lang w:val="en-GB"/>
        </w:rPr>
        <w:t>, while Article 5 parties had produced</w:t>
      </w:r>
      <w:r w:rsidR="00610481" w:rsidRPr="00086A97">
        <w:rPr>
          <w:lang w:val="en-GB"/>
        </w:rPr>
        <w:t xml:space="preserve"> 54 </w:t>
      </w:r>
      <w:proofErr w:type="spellStart"/>
      <w:r w:rsidR="00610481" w:rsidRPr="00086A97">
        <w:rPr>
          <w:lang w:val="en-GB"/>
        </w:rPr>
        <w:t>k</w:t>
      </w:r>
      <w:r w:rsidRPr="00086A97">
        <w:rPr>
          <w:lang w:val="en-GB"/>
        </w:rPr>
        <w:t>ilo</w:t>
      </w:r>
      <w:r w:rsidR="00610481" w:rsidRPr="00086A97">
        <w:rPr>
          <w:lang w:val="en-GB"/>
        </w:rPr>
        <w:t>tonnes</w:t>
      </w:r>
      <w:proofErr w:type="spellEnd"/>
      <w:r w:rsidR="00610481" w:rsidRPr="00086A97">
        <w:rPr>
          <w:lang w:val="en-GB"/>
        </w:rPr>
        <w:t xml:space="preserve">. By 2010, production </w:t>
      </w:r>
      <w:r w:rsidRPr="00086A97">
        <w:rPr>
          <w:lang w:val="en-GB"/>
        </w:rPr>
        <w:t xml:space="preserve">had been </w:t>
      </w:r>
      <w:r w:rsidR="00610481" w:rsidRPr="00086A97">
        <w:rPr>
          <w:lang w:val="en-GB"/>
        </w:rPr>
        <w:t>higher in A</w:t>
      </w:r>
      <w:r w:rsidRPr="00086A97">
        <w:rPr>
          <w:lang w:val="en-GB"/>
        </w:rPr>
        <w:t xml:space="preserve">rticle </w:t>
      </w:r>
      <w:r w:rsidR="00610481" w:rsidRPr="00086A97">
        <w:rPr>
          <w:lang w:val="en-GB"/>
        </w:rPr>
        <w:t xml:space="preserve">5 </w:t>
      </w:r>
      <w:r w:rsidRPr="00086A97">
        <w:rPr>
          <w:lang w:val="en-GB"/>
        </w:rPr>
        <w:t xml:space="preserve">parties </w:t>
      </w:r>
      <w:r w:rsidR="00610481" w:rsidRPr="00086A97">
        <w:rPr>
          <w:lang w:val="en-GB"/>
        </w:rPr>
        <w:t>than in non-A</w:t>
      </w:r>
      <w:r w:rsidRPr="00086A97">
        <w:rPr>
          <w:lang w:val="en-GB"/>
        </w:rPr>
        <w:t xml:space="preserve">rticle </w:t>
      </w:r>
      <w:r w:rsidR="00610481" w:rsidRPr="00086A97">
        <w:rPr>
          <w:lang w:val="en-GB"/>
        </w:rPr>
        <w:t>5 parties for most HCFCs, e.g., for 2010 a total 320 v</w:t>
      </w:r>
      <w:r w:rsidR="00913C30" w:rsidRPr="00086A97">
        <w:rPr>
          <w:lang w:val="en-GB"/>
        </w:rPr>
        <w:t>ersu</w:t>
      </w:r>
      <w:r w:rsidR="00610481" w:rsidRPr="00086A97">
        <w:rPr>
          <w:lang w:val="en-GB"/>
        </w:rPr>
        <w:t xml:space="preserve">s 800 </w:t>
      </w:r>
      <w:proofErr w:type="spellStart"/>
      <w:r w:rsidR="00610481" w:rsidRPr="00086A97">
        <w:rPr>
          <w:lang w:val="en-GB"/>
        </w:rPr>
        <w:t>k</w:t>
      </w:r>
      <w:r w:rsidR="00913C30" w:rsidRPr="00086A97">
        <w:rPr>
          <w:lang w:val="en-GB"/>
        </w:rPr>
        <w:t>ilo</w:t>
      </w:r>
      <w:r w:rsidR="00610481" w:rsidRPr="00086A97">
        <w:rPr>
          <w:lang w:val="en-GB"/>
        </w:rPr>
        <w:t>tonnes</w:t>
      </w:r>
      <w:proofErr w:type="spellEnd"/>
      <w:r w:rsidR="00610481" w:rsidRPr="00086A97">
        <w:rPr>
          <w:lang w:val="en-GB"/>
        </w:rPr>
        <w:t xml:space="preserve">. </w:t>
      </w:r>
      <w:r w:rsidR="008E447F" w:rsidRPr="00086A97">
        <w:rPr>
          <w:lang w:val="en-GB"/>
        </w:rPr>
        <w:t xml:space="preserve">From </w:t>
      </w:r>
      <w:r w:rsidR="00610481" w:rsidRPr="00086A97">
        <w:rPr>
          <w:lang w:val="en-GB"/>
        </w:rPr>
        <w:t>2010</w:t>
      </w:r>
      <w:r w:rsidR="008E447F" w:rsidRPr="00086A97">
        <w:rPr>
          <w:lang w:val="en-GB"/>
        </w:rPr>
        <w:t xml:space="preserve"> to 20</w:t>
      </w:r>
      <w:r w:rsidR="00610481" w:rsidRPr="00086A97">
        <w:rPr>
          <w:lang w:val="en-GB"/>
        </w:rPr>
        <w:t xml:space="preserve">14 the production of HCFC-141b, </w:t>
      </w:r>
      <w:r w:rsidR="008E447F" w:rsidRPr="00086A97">
        <w:rPr>
          <w:lang w:val="en-GB"/>
        </w:rPr>
        <w:t>HCFC</w:t>
      </w:r>
      <w:r w:rsidR="00610481" w:rsidRPr="00086A97">
        <w:rPr>
          <w:lang w:val="en-GB"/>
        </w:rPr>
        <w:t xml:space="preserve">-142b and </w:t>
      </w:r>
      <w:r w:rsidR="008E447F" w:rsidRPr="00086A97">
        <w:rPr>
          <w:lang w:val="en-GB"/>
        </w:rPr>
        <w:t>HCFC</w:t>
      </w:r>
      <w:r w:rsidR="00610481" w:rsidRPr="00086A97">
        <w:rPr>
          <w:lang w:val="en-GB"/>
        </w:rPr>
        <w:t>-22 was 1030 times higher in A</w:t>
      </w:r>
      <w:r w:rsidR="008E447F" w:rsidRPr="00086A97">
        <w:rPr>
          <w:lang w:val="en-GB"/>
        </w:rPr>
        <w:t xml:space="preserve">rticle </w:t>
      </w:r>
      <w:r w:rsidR="00610481" w:rsidRPr="00086A97">
        <w:rPr>
          <w:lang w:val="en-GB"/>
        </w:rPr>
        <w:t xml:space="preserve">5 parties </w:t>
      </w:r>
      <w:r w:rsidR="008E447F" w:rsidRPr="00086A97">
        <w:rPr>
          <w:lang w:val="en-GB"/>
        </w:rPr>
        <w:t xml:space="preserve">than </w:t>
      </w:r>
      <w:r w:rsidR="00610481" w:rsidRPr="00086A97">
        <w:rPr>
          <w:lang w:val="en-GB"/>
        </w:rPr>
        <w:t>in non-A</w:t>
      </w:r>
      <w:r w:rsidR="008E447F" w:rsidRPr="00086A97">
        <w:rPr>
          <w:lang w:val="en-GB"/>
        </w:rPr>
        <w:t xml:space="preserve">rticle </w:t>
      </w:r>
      <w:r w:rsidR="00610481" w:rsidRPr="00086A97">
        <w:rPr>
          <w:lang w:val="en-GB"/>
        </w:rPr>
        <w:t>5 parties</w:t>
      </w:r>
      <w:r w:rsidR="007E513C" w:rsidRPr="00086A97">
        <w:rPr>
          <w:lang w:val="en-GB"/>
        </w:rPr>
        <w:t>.</w:t>
      </w:r>
      <w:r w:rsidR="008E447F" w:rsidRPr="00086A97">
        <w:rPr>
          <w:b/>
          <w:lang w:val="en-GB"/>
        </w:rPr>
        <w:t xml:space="preserve"> </w:t>
      </w:r>
      <w:r w:rsidR="00610481" w:rsidRPr="00086A97">
        <w:rPr>
          <w:lang w:val="en-GB"/>
        </w:rPr>
        <w:t>HCFC consumption shows the same general trends as</w:t>
      </w:r>
      <w:r w:rsidR="00DC0D5E" w:rsidRPr="00086A97">
        <w:rPr>
          <w:lang w:val="en-GB"/>
        </w:rPr>
        <w:t xml:space="preserve"> HCFC</w:t>
      </w:r>
      <w:r w:rsidR="00610481" w:rsidRPr="00086A97">
        <w:rPr>
          <w:lang w:val="en-GB"/>
        </w:rPr>
        <w:t xml:space="preserve"> production, </w:t>
      </w:r>
      <w:r w:rsidR="00941FBC" w:rsidRPr="00086A97">
        <w:rPr>
          <w:lang w:val="en-GB"/>
        </w:rPr>
        <w:t xml:space="preserve">with </w:t>
      </w:r>
      <w:r w:rsidR="00610481" w:rsidRPr="00086A97">
        <w:rPr>
          <w:lang w:val="en-GB"/>
        </w:rPr>
        <w:t>A</w:t>
      </w:r>
      <w:r w:rsidR="00941FBC" w:rsidRPr="00086A97">
        <w:rPr>
          <w:lang w:val="en-GB"/>
        </w:rPr>
        <w:t xml:space="preserve">rticle </w:t>
      </w:r>
      <w:r w:rsidR="00610481" w:rsidRPr="00086A97">
        <w:rPr>
          <w:lang w:val="en-GB"/>
        </w:rPr>
        <w:t xml:space="preserve">5 </w:t>
      </w:r>
      <w:r w:rsidR="00941FBC" w:rsidRPr="00086A97">
        <w:rPr>
          <w:lang w:val="en-GB"/>
        </w:rPr>
        <w:t xml:space="preserve">party </w:t>
      </w:r>
      <w:r w:rsidR="00610481" w:rsidRPr="00086A97">
        <w:rPr>
          <w:lang w:val="en-GB"/>
        </w:rPr>
        <w:t>consumption peak</w:t>
      </w:r>
      <w:r w:rsidR="00941FBC" w:rsidRPr="00086A97">
        <w:rPr>
          <w:lang w:val="en-GB"/>
        </w:rPr>
        <w:t>ing</w:t>
      </w:r>
      <w:r w:rsidR="00610481" w:rsidRPr="00086A97">
        <w:rPr>
          <w:lang w:val="en-GB"/>
        </w:rPr>
        <w:t xml:space="preserve"> and decreas</w:t>
      </w:r>
      <w:r w:rsidR="00941FBC" w:rsidRPr="00086A97">
        <w:rPr>
          <w:lang w:val="en-GB"/>
        </w:rPr>
        <w:t>ing</w:t>
      </w:r>
      <w:r w:rsidR="00610481" w:rsidRPr="00086A97">
        <w:rPr>
          <w:lang w:val="en-GB"/>
        </w:rPr>
        <w:t xml:space="preserve"> after 2012.</w:t>
      </w:r>
    </w:p>
    <w:p w14:paraId="10E9DC2B" w14:textId="315CEB20" w:rsidR="00610481" w:rsidRPr="00086A97" w:rsidRDefault="00941FBC" w:rsidP="00CB7871">
      <w:pPr>
        <w:pStyle w:val="Normalnumber"/>
        <w:numPr>
          <w:ilvl w:val="0"/>
          <w:numId w:val="41"/>
        </w:numPr>
        <w:ind w:left="1247" w:firstLine="0"/>
        <w:rPr>
          <w:lang w:val="en-GB"/>
        </w:rPr>
      </w:pPr>
      <w:r w:rsidRPr="00086A97">
        <w:rPr>
          <w:lang w:val="en-GB"/>
        </w:rPr>
        <w:t>He said</w:t>
      </w:r>
      <w:r w:rsidR="00610481" w:rsidRPr="00086A97">
        <w:rPr>
          <w:lang w:val="en-GB"/>
        </w:rPr>
        <w:t xml:space="preserve"> that 0.5</w:t>
      </w:r>
      <w:r w:rsidR="009159FF" w:rsidRPr="00086A97">
        <w:rPr>
          <w:lang w:val="en-GB"/>
        </w:rPr>
        <w:t xml:space="preserve"> per cent</w:t>
      </w:r>
      <w:r w:rsidR="00610481" w:rsidRPr="00086A97">
        <w:rPr>
          <w:lang w:val="en-GB"/>
        </w:rPr>
        <w:t xml:space="preserve"> of the non-A</w:t>
      </w:r>
      <w:r w:rsidRPr="00086A97">
        <w:rPr>
          <w:lang w:val="en-GB"/>
        </w:rPr>
        <w:t xml:space="preserve">rticle </w:t>
      </w:r>
      <w:r w:rsidR="00610481" w:rsidRPr="00086A97">
        <w:rPr>
          <w:lang w:val="en-GB"/>
        </w:rPr>
        <w:t xml:space="preserve">5 </w:t>
      </w:r>
      <w:r w:rsidRPr="00086A97">
        <w:rPr>
          <w:lang w:val="en-GB"/>
        </w:rPr>
        <w:t xml:space="preserve">party </w:t>
      </w:r>
      <w:r w:rsidR="00610481" w:rsidRPr="00086A97">
        <w:rPr>
          <w:lang w:val="en-GB"/>
        </w:rPr>
        <w:t>HCFC baseline consumption (in ODP</w:t>
      </w:r>
      <w:r w:rsidR="00060476" w:rsidRPr="00086A97">
        <w:rPr>
          <w:lang w:val="en-GB"/>
        </w:rPr>
        <w:noBreakHyphen/>
      </w:r>
      <w:r w:rsidR="00610481" w:rsidRPr="00086A97">
        <w:rPr>
          <w:lang w:val="en-GB"/>
        </w:rPr>
        <w:t xml:space="preserve">tonnes) </w:t>
      </w:r>
      <w:r w:rsidRPr="00086A97">
        <w:rPr>
          <w:lang w:val="en-GB"/>
        </w:rPr>
        <w:t>wa</w:t>
      </w:r>
      <w:r w:rsidR="00610481" w:rsidRPr="00086A97">
        <w:rPr>
          <w:lang w:val="en-GB"/>
        </w:rPr>
        <w:t>s defined as the “servicing tail” as of 2020. R</w:t>
      </w:r>
      <w:r w:rsidR="00646F44" w:rsidRPr="00086A97">
        <w:rPr>
          <w:lang w:val="en-GB"/>
        </w:rPr>
        <w:t>efrigeration and air-conditioning</w:t>
      </w:r>
      <w:r w:rsidR="00610481" w:rsidRPr="00086A97">
        <w:rPr>
          <w:lang w:val="en-GB"/>
        </w:rPr>
        <w:t xml:space="preserve"> </w:t>
      </w:r>
      <w:r w:rsidR="00646F44" w:rsidRPr="00086A97">
        <w:rPr>
          <w:lang w:val="en-GB"/>
        </w:rPr>
        <w:t>HCFC</w:t>
      </w:r>
      <w:r w:rsidR="00646F44" w:rsidRPr="00086A97">
        <w:rPr>
          <w:lang w:val="en-GB"/>
        </w:rPr>
        <w:noBreakHyphen/>
      </w:r>
      <w:r w:rsidR="00610481" w:rsidRPr="00086A97">
        <w:rPr>
          <w:lang w:val="en-GB"/>
        </w:rPr>
        <w:t>22 servicing in non-A</w:t>
      </w:r>
      <w:r w:rsidRPr="00086A97">
        <w:rPr>
          <w:lang w:val="en-GB"/>
        </w:rPr>
        <w:t xml:space="preserve">rticle </w:t>
      </w:r>
      <w:r w:rsidR="00610481" w:rsidRPr="00086A97">
        <w:rPr>
          <w:lang w:val="en-GB"/>
        </w:rPr>
        <w:t xml:space="preserve">5 parties </w:t>
      </w:r>
      <w:r w:rsidRPr="00086A97">
        <w:rPr>
          <w:lang w:val="en-GB"/>
        </w:rPr>
        <w:t>wa</w:t>
      </w:r>
      <w:r w:rsidR="00610481" w:rsidRPr="00086A97">
        <w:rPr>
          <w:lang w:val="en-GB"/>
        </w:rPr>
        <w:t xml:space="preserve">s unlikely to </w:t>
      </w:r>
      <w:r w:rsidRPr="00086A97">
        <w:rPr>
          <w:lang w:val="en-GB"/>
        </w:rPr>
        <w:t xml:space="preserve">require </w:t>
      </w:r>
      <w:r w:rsidR="00610481" w:rsidRPr="00086A97">
        <w:rPr>
          <w:lang w:val="en-GB"/>
        </w:rPr>
        <w:t>newly produced HCFC-22 during 2020</w:t>
      </w:r>
      <w:r w:rsidR="00527E9A" w:rsidRPr="00086A97">
        <w:rPr>
          <w:lang w:val="en-GB"/>
        </w:rPr>
        <w:t>–</w:t>
      </w:r>
      <w:r w:rsidRPr="00086A97">
        <w:rPr>
          <w:lang w:val="en-GB"/>
        </w:rPr>
        <w:t>20</w:t>
      </w:r>
      <w:r w:rsidR="00610481" w:rsidRPr="00086A97">
        <w:rPr>
          <w:lang w:val="en-GB"/>
        </w:rPr>
        <w:t xml:space="preserve">30, although it </w:t>
      </w:r>
      <w:r w:rsidRPr="00086A97">
        <w:rPr>
          <w:lang w:val="en-GB"/>
        </w:rPr>
        <w:t xml:space="preserve">was too soon </w:t>
      </w:r>
      <w:r w:rsidR="00610481" w:rsidRPr="00086A97">
        <w:rPr>
          <w:lang w:val="en-GB"/>
        </w:rPr>
        <w:t>to be certain. Recycled and reclaimed material from disposed</w:t>
      </w:r>
      <w:r w:rsidRPr="00086A97">
        <w:rPr>
          <w:lang w:val="en-GB"/>
        </w:rPr>
        <w:t xml:space="preserve"> of</w:t>
      </w:r>
      <w:r w:rsidR="00610481" w:rsidRPr="00086A97">
        <w:rPr>
          <w:lang w:val="en-GB"/>
        </w:rPr>
        <w:t xml:space="preserve"> R/AC equipment could provide HCFC material during 2020</w:t>
      </w:r>
      <w:r w:rsidRPr="00086A97">
        <w:rPr>
          <w:lang w:val="en-GB"/>
        </w:rPr>
        <w:t>–</w:t>
      </w:r>
      <w:r w:rsidR="00610481" w:rsidRPr="00086A97">
        <w:rPr>
          <w:lang w:val="en-GB"/>
        </w:rPr>
        <w:t xml:space="preserve">2030. </w:t>
      </w:r>
      <w:r w:rsidRPr="00086A97">
        <w:rPr>
          <w:lang w:val="en-GB"/>
        </w:rPr>
        <w:t>He</w:t>
      </w:r>
      <w:r w:rsidR="00610481" w:rsidRPr="00086A97">
        <w:rPr>
          <w:lang w:val="en-GB"/>
        </w:rPr>
        <w:t xml:space="preserve"> also said that </w:t>
      </w:r>
      <w:r w:rsidRPr="00086A97">
        <w:rPr>
          <w:lang w:val="en-GB"/>
        </w:rPr>
        <w:t xml:space="preserve">the Panel </w:t>
      </w:r>
      <w:r w:rsidR="00610481" w:rsidRPr="00086A97">
        <w:rPr>
          <w:lang w:val="en-GB"/>
        </w:rPr>
        <w:t>could review HCFC quantities that would be required for R/AC servicing as well as the availability of alternatives for servicing. In fire protection, the servicing of the installed equipment</w:t>
      </w:r>
      <w:r w:rsidRPr="00086A97">
        <w:rPr>
          <w:lang w:val="en-GB"/>
        </w:rPr>
        <w:t xml:space="preserve"> using HCFC Blend B</w:t>
      </w:r>
      <w:r w:rsidR="00610481" w:rsidRPr="00086A97">
        <w:rPr>
          <w:lang w:val="en-GB"/>
        </w:rPr>
        <w:t xml:space="preserve">, which </w:t>
      </w:r>
      <w:r w:rsidRPr="00086A97">
        <w:rPr>
          <w:lang w:val="en-GB"/>
        </w:rPr>
        <w:t>wa</w:t>
      </w:r>
      <w:r w:rsidR="00610481" w:rsidRPr="00086A97">
        <w:rPr>
          <w:lang w:val="en-GB"/>
        </w:rPr>
        <w:t>s mainly HCFC-123, m</w:t>
      </w:r>
      <w:r w:rsidRPr="00086A97">
        <w:rPr>
          <w:lang w:val="en-GB"/>
        </w:rPr>
        <w:t>ight</w:t>
      </w:r>
      <w:r w:rsidR="00610481" w:rsidRPr="00086A97">
        <w:rPr>
          <w:lang w:val="en-GB"/>
        </w:rPr>
        <w:t xml:space="preserve"> require 160 tonnes per year in non-A</w:t>
      </w:r>
      <w:r w:rsidRPr="00086A97">
        <w:rPr>
          <w:lang w:val="en-GB"/>
        </w:rPr>
        <w:t xml:space="preserve">rticle </w:t>
      </w:r>
      <w:r w:rsidR="00610481" w:rsidRPr="00086A97">
        <w:rPr>
          <w:lang w:val="en-GB"/>
        </w:rPr>
        <w:t>5 parties</w:t>
      </w:r>
      <w:r w:rsidRPr="00086A97">
        <w:rPr>
          <w:lang w:val="en-GB"/>
        </w:rPr>
        <w:t xml:space="preserve"> beginning in 2020</w:t>
      </w:r>
      <w:r w:rsidR="00610481" w:rsidRPr="00086A97">
        <w:rPr>
          <w:lang w:val="en-GB"/>
        </w:rPr>
        <w:t>. In niche solvent applications (e.g.</w:t>
      </w:r>
      <w:r w:rsidR="00EB4B31" w:rsidRPr="00086A97">
        <w:rPr>
          <w:lang w:val="en-GB"/>
        </w:rPr>
        <w:t>,</w:t>
      </w:r>
      <w:r w:rsidR="00610481" w:rsidRPr="00086A97">
        <w:rPr>
          <w:lang w:val="en-GB"/>
        </w:rPr>
        <w:t xml:space="preserve"> aerospace </w:t>
      </w:r>
      <w:r w:rsidRPr="00086A97">
        <w:rPr>
          <w:lang w:val="en-GB"/>
        </w:rPr>
        <w:t xml:space="preserve">and </w:t>
      </w:r>
      <w:r w:rsidR="00610481" w:rsidRPr="00086A97">
        <w:rPr>
          <w:lang w:val="en-GB"/>
        </w:rPr>
        <w:t>military), small quantities of HCFCs m</w:t>
      </w:r>
      <w:r w:rsidRPr="00086A97">
        <w:rPr>
          <w:lang w:val="en-GB"/>
        </w:rPr>
        <w:t>ight</w:t>
      </w:r>
      <w:r w:rsidR="00610481" w:rsidRPr="00086A97">
        <w:rPr>
          <w:lang w:val="en-GB"/>
        </w:rPr>
        <w:t xml:space="preserve"> be needed to service existing equipment. </w:t>
      </w:r>
      <w:r w:rsidRPr="00086A97">
        <w:rPr>
          <w:lang w:val="en-GB"/>
        </w:rPr>
        <w:t xml:space="preserve">He said </w:t>
      </w:r>
      <w:r w:rsidR="00610481" w:rsidRPr="00086A97">
        <w:rPr>
          <w:lang w:val="en-GB"/>
        </w:rPr>
        <w:t xml:space="preserve">that </w:t>
      </w:r>
      <w:r w:rsidRPr="00086A97">
        <w:rPr>
          <w:lang w:val="en-GB"/>
        </w:rPr>
        <w:t xml:space="preserve">with regard to </w:t>
      </w:r>
      <w:r w:rsidR="00610481" w:rsidRPr="00086A97">
        <w:rPr>
          <w:lang w:val="en-GB"/>
        </w:rPr>
        <w:t>R/AC and foams</w:t>
      </w:r>
      <w:r w:rsidRPr="00086A97">
        <w:rPr>
          <w:lang w:val="en-GB"/>
        </w:rPr>
        <w:t xml:space="preserve"> the Panel had</w:t>
      </w:r>
      <w:r w:rsidR="00EB4B31" w:rsidRPr="00086A97">
        <w:rPr>
          <w:lang w:val="en-GB"/>
        </w:rPr>
        <w:t xml:space="preserve"> </w:t>
      </w:r>
      <w:r w:rsidR="00610481" w:rsidRPr="00086A97">
        <w:rPr>
          <w:lang w:val="en-GB"/>
        </w:rPr>
        <w:t xml:space="preserve">not yet identified any potential essential uses after 2020. </w:t>
      </w:r>
      <w:r w:rsidRPr="00086A97">
        <w:rPr>
          <w:lang w:val="en-GB"/>
        </w:rPr>
        <w:t xml:space="preserve">For </w:t>
      </w:r>
      <w:r w:rsidR="00610481" w:rsidRPr="00086A97">
        <w:rPr>
          <w:lang w:val="en-GB"/>
        </w:rPr>
        <w:t xml:space="preserve">fire protection, </w:t>
      </w:r>
      <w:r w:rsidRPr="00086A97">
        <w:rPr>
          <w:lang w:val="en-GB"/>
        </w:rPr>
        <w:t>however, the Panel</w:t>
      </w:r>
      <w:r w:rsidR="00610481" w:rsidRPr="00086A97">
        <w:rPr>
          <w:lang w:val="en-GB"/>
        </w:rPr>
        <w:t xml:space="preserve"> estimate</w:t>
      </w:r>
      <w:r w:rsidRPr="00086A97">
        <w:rPr>
          <w:lang w:val="en-GB"/>
        </w:rPr>
        <w:t>d</w:t>
      </w:r>
      <w:r w:rsidR="00610481" w:rsidRPr="00086A97">
        <w:rPr>
          <w:lang w:val="en-GB"/>
        </w:rPr>
        <w:t xml:space="preserve"> that a volume of HCFC-123 not exceeding 750 tonnes could be needed annually. Furthermore, </w:t>
      </w:r>
      <w:r w:rsidRPr="00086A97">
        <w:rPr>
          <w:lang w:val="en-GB"/>
        </w:rPr>
        <w:t>the Panel</w:t>
      </w:r>
      <w:r w:rsidR="00610481" w:rsidRPr="00086A97">
        <w:rPr>
          <w:lang w:val="en-GB"/>
        </w:rPr>
        <w:t xml:space="preserve"> consider</w:t>
      </w:r>
      <w:r w:rsidRPr="00086A97">
        <w:rPr>
          <w:lang w:val="en-GB"/>
        </w:rPr>
        <w:t>ed</w:t>
      </w:r>
      <w:r w:rsidR="00610481" w:rsidRPr="00086A97">
        <w:rPr>
          <w:lang w:val="en-GB"/>
        </w:rPr>
        <w:t xml:space="preserve"> that essential</w:t>
      </w:r>
      <w:r w:rsidRPr="00086A97">
        <w:rPr>
          <w:lang w:val="en-GB"/>
        </w:rPr>
        <w:t>-</w:t>
      </w:r>
      <w:r w:rsidR="00610481" w:rsidRPr="00086A97">
        <w:rPr>
          <w:lang w:val="en-GB"/>
        </w:rPr>
        <w:t>use</w:t>
      </w:r>
      <w:r w:rsidRPr="00086A97">
        <w:rPr>
          <w:lang w:val="en-GB"/>
        </w:rPr>
        <w:t xml:space="preserve"> exemption</w:t>
      </w:r>
      <w:r w:rsidR="00610481" w:rsidRPr="00086A97">
        <w:rPr>
          <w:lang w:val="en-GB"/>
        </w:rPr>
        <w:t>s could be needed for laboratory and analytical uses and for some solvent uses, with the total estimated in the tens of tonnes annually.</w:t>
      </w:r>
    </w:p>
    <w:p w14:paraId="5C10F7CE" w14:textId="4FB22F2D" w:rsidR="00610481" w:rsidRPr="00086A97" w:rsidRDefault="00D4787A" w:rsidP="00CB7871">
      <w:pPr>
        <w:pStyle w:val="Normalnumber"/>
        <w:numPr>
          <w:ilvl w:val="0"/>
          <w:numId w:val="41"/>
        </w:numPr>
        <w:ind w:left="1247" w:firstLine="0"/>
        <w:rPr>
          <w:lang w:val="en-GB"/>
        </w:rPr>
      </w:pPr>
      <w:r w:rsidRPr="00086A97">
        <w:rPr>
          <w:lang w:val="en-GB"/>
        </w:rPr>
        <w:t>He</w:t>
      </w:r>
      <w:r w:rsidR="00610481" w:rsidRPr="00086A97">
        <w:rPr>
          <w:lang w:val="en-GB"/>
        </w:rPr>
        <w:t xml:space="preserve"> said that, for the determination of HCFC production by non-A</w:t>
      </w:r>
      <w:r w:rsidRPr="00086A97">
        <w:rPr>
          <w:lang w:val="en-GB"/>
        </w:rPr>
        <w:t xml:space="preserve">rticle </w:t>
      </w:r>
      <w:r w:rsidR="00610481" w:rsidRPr="00086A97">
        <w:rPr>
          <w:lang w:val="en-GB"/>
        </w:rPr>
        <w:t xml:space="preserve">5 parties for </w:t>
      </w:r>
      <w:r w:rsidRPr="00086A97">
        <w:rPr>
          <w:lang w:val="en-GB"/>
        </w:rPr>
        <w:t>b</w:t>
      </w:r>
      <w:r w:rsidR="00610481" w:rsidRPr="00086A97">
        <w:rPr>
          <w:lang w:val="en-GB"/>
        </w:rPr>
        <w:t xml:space="preserve">asic </w:t>
      </w:r>
      <w:r w:rsidRPr="00086A97">
        <w:rPr>
          <w:lang w:val="en-GB"/>
        </w:rPr>
        <w:t>d</w:t>
      </w:r>
      <w:r w:rsidR="00610481" w:rsidRPr="00086A97">
        <w:rPr>
          <w:lang w:val="en-GB"/>
        </w:rPr>
        <w:t xml:space="preserve">omestic </w:t>
      </w:r>
      <w:r w:rsidRPr="00086A97">
        <w:rPr>
          <w:lang w:val="en-GB"/>
        </w:rPr>
        <w:t>n</w:t>
      </w:r>
      <w:r w:rsidR="00610481" w:rsidRPr="00086A97">
        <w:rPr>
          <w:lang w:val="en-GB"/>
        </w:rPr>
        <w:t>eeds, the baselines used for A</w:t>
      </w:r>
      <w:r w:rsidRPr="00086A97">
        <w:rPr>
          <w:lang w:val="en-GB"/>
        </w:rPr>
        <w:t xml:space="preserve">rticle </w:t>
      </w:r>
      <w:r w:rsidR="00610481" w:rsidRPr="00086A97">
        <w:rPr>
          <w:lang w:val="en-GB"/>
        </w:rPr>
        <w:t xml:space="preserve">5 </w:t>
      </w:r>
      <w:r w:rsidRPr="00086A97">
        <w:rPr>
          <w:lang w:val="en-GB"/>
        </w:rPr>
        <w:t xml:space="preserve">party </w:t>
      </w:r>
      <w:r w:rsidR="00610481" w:rsidRPr="00086A97">
        <w:rPr>
          <w:lang w:val="en-GB"/>
        </w:rPr>
        <w:t>production and consumption had been based on Article 7 data (i.e., the average for 2009</w:t>
      </w:r>
      <w:r w:rsidRPr="00086A97">
        <w:rPr>
          <w:lang w:val="en-GB"/>
        </w:rPr>
        <w:t>–</w:t>
      </w:r>
      <w:r w:rsidR="00610481" w:rsidRPr="00086A97">
        <w:rPr>
          <w:lang w:val="en-GB"/>
        </w:rPr>
        <w:t>2010). He said that three methods ha</w:t>
      </w:r>
      <w:r w:rsidRPr="00086A97">
        <w:rPr>
          <w:lang w:val="en-GB"/>
        </w:rPr>
        <w:t>d</w:t>
      </w:r>
      <w:r w:rsidR="00610481" w:rsidRPr="00086A97">
        <w:rPr>
          <w:lang w:val="en-GB"/>
        </w:rPr>
        <w:t xml:space="preserve"> been applied to project HCFC consumption levels for 2020 and beyond, i.e., </w:t>
      </w:r>
      <w:r w:rsidRPr="00086A97">
        <w:rPr>
          <w:lang w:val="en-GB"/>
        </w:rPr>
        <w:t xml:space="preserve">the </w:t>
      </w:r>
      <w:r w:rsidR="00610481" w:rsidRPr="00086A97">
        <w:rPr>
          <w:lang w:val="en-GB"/>
        </w:rPr>
        <w:t xml:space="preserve">extrapolation of Article 7 consumption data, </w:t>
      </w:r>
      <w:r w:rsidRPr="00086A97">
        <w:rPr>
          <w:lang w:val="en-GB"/>
        </w:rPr>
        <w:t xml:space="preserve">the </w:t>
      </w:r>
      <w:r w:rsidR="00610481" w:rsidRPr="00086A97">
        <w:rPr>
          <w:lang w:val="en-GB"/>
        </w:rPr>
        <w:t>extrapolation of country program</w:t>
      </w:r>
      <w:r w:rsidRPr="00086A97">
        <w:rPr>
          <w:lang w:val="en-GB"/>
        </w:rPr>
        <w:t>me</w:t>
      </w:r>
      <w:r w:rsidR="00610481" w:rsidRPr="00086A97">
        <w:rPr>
          <w:lang w:val="en-GB"/>
        </w:rPr>
        <w:t xml:space="preserve"> data </w:t>
      </w:r>
      <w:r w:rsidRPr="00086A97">
        <w:rPr>
          <w:lang w:val="en-GB"/>
        </w:rPr>
        <w:t>on</w:t>
      </w:r>
      <w:r w:rsidR="00610481" w:rsidRPr="00086A97">
        <w:rPr>
          <w:lang w:val="en-GB"/>
        </w:rPr>
        <w:t xml:space="preserve"> </w:t>
      </w:r>
      <w:r w:rsidRPr="00086A97">
        <w:rPr>
          <w:lang w:val="en-GB"/>
        </w:rPr>
        <w:t xml:space="preserve">the </w:t>
      </w:r>
      <w:r w:rsidR="00610481" w:rsidRPr="00086A97">
        <w:rPr>
          <w:lang w:val="en-GB"/>
        </w:rPr>
        <w:t>consumption of all HCFC</w:t>
      </w:r>
      <w:r w:rsidRPr="00086A97">
        <w:rPr>
          <w:lang w:val="en-GB"/>
        </w:rPr>
        <w:t>s</w:t>
      </w:r>
      <w:r w:rsidR="00610481" w:rsidRPr="00086A97">
        <w:rPr>
          <w:lang w:val="en-GB"/>
        </w:rPr>
        <w:t xml:space="preserve"> and </w:t>
      </w:r>
      <w:r w:rsidRPr="00086A97">
        <w:rPr>
          <w:lang w:val="en-GB"/>
        </w:rPr>
        <w:t xml:space="preserve">the </w:t>
      </w:r>
      <w:r w:rsidR="00610481" w:rsidRPr="00086A97">
        <w:rPr>
          <w:lang w:val="en-GB"/>
        </w:rPr>
        <w:t xml:space="preserve">determination of the resulting consumption following HPMP stage I data for 2020. </w:t>
      </w:r>
      <w:r w:rsidRPr="00086A97">
        <w:rPr>
          <w:lang w:val="en-GB"/>
        </w:rPr>
        <w:t xml:space="preserve">He presented </w:t>
      </w:r>
      <w:r w:rsidR="00610481" w:rsidRPr="00086A97">
        <w:rPr>
          <w:lang w:val="en-GB"/>
        </w:rPr>
        <w:t xml:space="preserve">a table </w:t>
      </w:r>
      <w:r w:rsidRPr="00086A97">
        <w:rPr>
          <w:lang w:val="en-GB"/>
        </w:rPr>
        <w:t>showing</w:t>
      </w:r>
      <w:r w:rsidR="00610481" w:rsidRPr="00086A97">
        <w:rPr>
          <w:lang w:val="en-GB"/>
        </w:rPr>
        <w:t xml:space="preserve"> production, consumption following the Montreal Protocol</w:t>
      </w:r>
      <w:r w:rsidRPr="00086A97">
        <w:rPr>
          <w:lang w:val="en-GB"/>
        </w:rPr>
        <w:t xml:space="preserve"> and </w:t>
      </w:r>
      <w:r w:rsidR="00610481" w:rsidRPr="00086A97">
        <w:rPr>
          <w:lang w:val="en-GB"/>
        </w:rPr>
        <w:t>extrapolation. Extrapolation of reported A</w:t>
      </w:r>
      <w:r w:rsidRPr="00086A97">
        <w:rPr>
          <w:lang w:val="en-GB"/>
        </w:rPr>
        <w:t xml:space="preserve">rticle </w:t>
      </w:r>
      <w:r w:rsidR="00610481" w:rsidRPr="00086A97">
        <w:rPr>
          <w:lang w:val="en-GB"/>
        </w:rPr>
        <w:t xml:space="preserve">5 </w:t>
      </w:r>
      <w:r w:rsidRPr="00086A97">
        <w:rPr>
          <w:lang w:val="en-GB"/>
        </w:rPr>
        <w:t xml:space="preserve">party </w:t>
      </w:r>
      <w:r w:rsidR="00610481" w:rsidRPr="00086A97">
        <w:rPr>
          <w:lang w:val="en-GB"/>
        </w:rPr>
        <w:t>consumption data through 2020 show</w:t>
      </w:r>
      <w:r w:rsidRPr="00086A97">
        <w:rPr>
          <w:lang w:val="en-GB"/>
        </w:rPr>
        <w:t>ed</w:t>
      </w:r>
      <w:r w:rsidR="00610481" w:rsidRPr="00086A97">
        <w:rPr>
          <w:lang w:val="en-GB"/>
        </w:rPr>
        <w:t xml:space="preserve"> that the expected (aggregated) HCFC consumption could be lower than the allowed HCFC production after 2020. </w:t>
      </w:r>
      <w:r w:rsidRPr="00086A97">
        <w:rPr>
          <w:lang w:val="en-GB"/>
        </w:rPr>
        <w:t>E</w:t>
      </w:r>
      <w:r w:rsidR="00610481" w:rsidRPr="00086A97">
        <w:rPr>
          <w:lang w:val="en-GB"/>
        </w:rPr>
        <w:t xml:space="preserve">xtrapolation over a period of </w:t>
      </w:r>
      <w:r w:rsidRPr="00086A97">
        <w:rPr>
          <w:lang w:val="en-GB"/>
        </w:rPr>
        <w:t>six</w:t>
      </w:r>
      <w:r w:rsidR="00610481" w:rsidRPr="00086A97">
        <w:rPr>
          <w:lang w:val="en-GB"/>
        </w:rPr>
        <w:t xml:space="preserve"> years</w:t>
      </w:r>
      <w:r w:rsidRPr="00086A97">
        <w:rPr>
          <w:lang w:val="en-GB"/>
        </w:rPr>
        <w:t xml:space="preserve">, </w:t>
      </w:r>
      <w:r w:rsidRPr="009E7802">
        <w:rPr>
          <w:lang w:val="en-GB"/>
        </w:rPr>
        <w:t xml:space="preserve">however, </w:t>
      </w:r>
      <w:r w:rsidRPr="00370087">
        <w:rPr>
          <w:lang w:val="en-GB"/>
        </w:rPr>
        <w:t>led</w:t>
      </w:r>
      <w:r w:rsidR="00610481" w:rsidRPr="00370087">
        <w:rPr>
          <w:lang w:val="en-GB"/>
        </w:rPr>
        <w:t xml:space="preserve"> to </w:t>
      </w:r>
      <w:r w:rsidRPr="00370087">
        <w:rPr>
          <w:lang w:val="en-GB"/>
        </w:rPr>
        <w:t>significant</w:t>
      </w:r>
      <w:r w:rsidR="00610481" w:rsidRPr="00370087">
        <w:rPr>
          <w:lang w:val="en-GB"/>
        </w:rPr>
        <w:t xml:space="preserve"> uncertainties</w:t>
      </w:r>
      <w:r w:rsidR="00610481" w:rsidRPr="009E7802">
        <w:rPr>
          <w:lang w:val="en-GB"/>
        </w:rPr>
        <w:t xml:space="preserve">. </w:t>
      </w:r>
      <w:r w:rsidRPr="009E7802">
        <w:rPr>
          <w:lang w:val="en-GB"/>
        </w:rPr>
        <w:t>He presented</w:t>
      </w:r>
      <w:r w:rsidR="00610481" w:rsidRPr="00086A97">
        <w:rPr>
          <w:lang w:val="en-GB"/>
        </w:rPr>
        <w:t xml:space="preserve"> a second table also </w:t>
      </w:r>
      <w:r w:rsidRPr="00086A97">
        <w:rPr>
          <w:lang w:val="en-GB"/>
        </w:rPr>
        <w:t>showing c</w:t>
      </w:r>
      <w:r w:rsidR="00610481" w:rsidRPr="00086A97">
        <w:rPr>
          <w:lang w:val="en-GB"/>
        </w:rPr>
        <w:t xml:space="preserve">ountry </w:t>
      </w:r>
      <w:r w:rsidRPr="00086A97">
        <w:rPr>
          <w:lang w:val="en-GB"/>
        </w:rPr>
        <w:t>p</w:t>
      </w:r>
      <w:r w:rsidR="00610481" w:rsidRPr="00086A97">
        <w:rPr>
          <w:lang w:val="en-GB"/>
        </w:rPr>
        <w:t>rogram</w:t>
      </w:r>
      <w:r w:rsidRPr="00086A97">
        <w:rPr>
          <w:lang w:val="en-GB"/>
        </w:rPr>
        <w:t>me</w:t>
      </w:r>
      <w:r w:rsidR="00610481" w:rsidRPr="00086A97">
        <w:rPr>
          <w:lang w:val="en-GB"/>
        </w:rPr>
        <w:t xml:space="preserve"> data. Extrapolation of </w:t>
      </w:r>
      <w:r w:rsidRPr="00086A97">
        <w:rPr>
          <w:lang w:val="en-GB"/>
        </w:rPr>
        <w:t>c</w:t>
      </w:r>
      <w:r w:rsidR="00610481" w:rsidRPr="00086A97">
        <w:rPr>
          <w:lang w:val="en-GB"/>
        </w:rPr>
        <w:t xml:space="preserve">ountry </w:t>
      </w:r>
      <w:r w:rsidRPr="00086A97">
        <w:rPr>
          <w:lang w:val="en-GB"/>
        </w:rPr>
        <w:t>p</w:t>
      </w:r>
      <w:r w:rsidR="00610481" w:rsidRPr="00086A97">
        <w:rPr>
          <w:lang w:val="en-GB"/>
        </w:rPr>
        <w:t>rogram</w:t>
      </w:r>
      <w:r w:rsidRPr="00086A97">
        <w:rPr>
          <w:lang w:val="en-GB"/>
        </w:rPr>
        <w:t>me</w:t>
      </w:r>
      <w:r w:rsidR="00610481" w:rsidRPr="00086A97">
        <w:rPr>
          <w:lang w:val="en-GB"/>
        </w:rPr>
        <w:t xml:space="preserve"> data </w:t>
      </w:r>
      <w:r w:rsidRPr="00086A97">
        <w:rPr>
          <w:lang w:val="en-GB"/>
        </w:rPr>
        <w:t>from</w:t>
      </w:r>
      <w:r w:rsidR="00610481" w:rsidRPr="00086A97">
        <w:rPr>
          <w:lang w:val="en-GB"/>
        </w:rPr>
        <w:t xml:space="preserve"> 2009</w:t>
      </w:r>
      <w:r w:rsidRPr="00086A97">
        <w:rPr>
          <w:lang w:val="en-GB"/>
        </w:rPr>
        <w:t>–</w:t>
      </w:r>
      <w:r w:rsidR="00610481" w:rsidRPr="00086A97">
        <w:rPr>
          <w:lang w:val="en-GB"/>
        </w:rPr>
        <w:t xml:space="preserve">2014 </w:t>
      </w:r>
      <w:r w:rsidR="007765DB" w:rsidRPr="00086A97">
        <w:rPr>
          <w:lang w:val="en-GB"/>
        </w:rPr>
        <w:t xml:space="preserve">reported </w:t>
      </w:r>
      <w:r w:rsidR="00610481" w:rsidRPr="00086A97">
        <w:rPr>
          <w:lang w:val="en-GB"/>
        </w:rPr>
        <w:t>to the M</w:t>
      </w:r>
      <w:r w:rsidR="007765DB" w:rsidRPr="00086A97">
        <w:rPr>
          <w:lang w:val="en-GB"/>
        </w:rPr>
        <w:t xml:space="preserve">ultilateral </w:t>
      </w:r>
      <w:r w:rsidR="00610481" w:rsidRPr="00086A97">
        <w:rPr>
          <w:lang w:val="en-GB"/>
        </w:rPr>
        <w:t>F</w:t>
      </w:r>
      <w:r w:rsidR="007765DB" w:rsidRPr="00086A97">
        <w:rPr>
          <w:lang w:val="en-GB"/>
        </w:rPr>
        <w:t>und</w:t>
      </w:r>
      <w:r w:rsidR="00610481" w:rsidRPr="00086A97">
        <w:rPr>
          <w:lang w:val="en-GB"/>
        </w:rPr>
        <w:t xml:space="preserve"> </w:t>
      </w:r>
      <w:r w:rsidR="007765DB" w:rsidRPr="00086A97">
        <w:rPr>
          <w:lang w:val="en-GB"/>
        </w:rPr>
        <w:t>s</w:t>
      </w:r>
      <w:r w:rsidR="00610481" w:rsidRPr="00086A97">
        <w:rPr>
          <w:lang w:val="en-GB"/>
        </w:rPr>
        <w:t xml:space="preserve">ecretariat </w:t>
      </w:r>
      <w:r w:rsidR="007765DB" w:rsidRPr="00086A97">
        <w:rPr>
          <w:lang w:val="en-GB"/>
        </w:rPr>
        <w:t xml:space="preserve">by Article 5 parties </w:t>
      </w:r>
      <w:r w:rsidR="00610481" w:rsidRPr="00086A97">
        <w:rPr>
          <w:lang w:val="en-GB"/>
        </w:rPr>
        <w:t>also show</w:t>
      </w:r>
      <w:r w:rsidR="007765DB" w:rsidRPr="00086A97">
        <w:rPr>
          <w:lang w:val="en-GB"/>
        </w:rPr>
        <w:t>ed</w:t>
      </w:r>
      <w:r w:rsidR="00610481" w:rsidRPr="00086A97">
        <w:rPr>
          <w:lang w:val="en-GB"/>
        </w:rPr>
        <w:t xml:space="preserve"> that the expected aggregate HCFC </w:t>
      </w:r>
      <w:r w:rsidR="00610481" w:rsidRPr="009E7802">
        <w:rPr>
          <w:lang w:val="en-GB"/>
        </w:rPr>
        <w:t xml:space="preserve">consumption </w:t>
      </w:r>
      <w:r w:rsidR="00610481" w:rsidRPr="00370087">
        <w:rPr>
          <w:lang w:val="en-GB"/>
        </w:rPr>
        <w:t>could be lower than the allowed HCFC production in 2020</w:t>
      </w:r>
      <w:r w:rsidR="00610481" w:rsidRPr="009E7802">
        <w:rPr>
          <w:lang w:val="en-GB"/>
        </w:rPr>
        <w:t xml:space="preserve">. </w:t>
      </w:r>
      <w:r w:rsidR="007765DB" w:rsidRPr="009E7802">
        <w:rPr>
          <w:lang w:val="en-GB"/>
        </w:rPr>
        <w:t>T</w:t>
      </w:r>
      <w:r w:rsidR="00610481" w:rsidRPr="009E7802">
        <w:rPr>
          <w:lang w:val="en-GB"/>
        </w:rPr>
        <w:t xml:space="preserve">he </w:t>
      </w:r>
      <w:r w:rsidR="00610481" w:rsidRPr="00370087">
        <w:rPr>
          <w:lang w:val="en-GB"/>
        </w:rPr>
        <w:t xml:space="preserve">uncertainty in the extrapolated 2020 quantity </w:t>
      </w:r>
      <w:r w:rsidR="007765DB" w:rsidRPr="00370087">
        <w:rPr>
          <w:lang w:val="en-GB"/>
        </w:rPr>
        <w:t>wa</w:t>
      </w:r>
      <w:r w:rsidR="00610481" w:rsidRPr="00370087">
        <w:rPr>
          <w:lang w:val="en-GB"/>
        </w:rPr>
        <w:t>s large</w:t>
      </w:r>
      <w:r w:rsidR="00610481" w:rsidRPr="009E7802">
        <w:rPr>
          <w:lang w:val="en-GB"/>
        </w:rPr>
        <w:t>. While</w:t>
      </w:r>
      <w:r w:rsidR="00610481" w:rsidRPr="00086A97">
        <w:rPr>
          <w:lang w:val="en-GB"/>
        </w:rPr>
        <w:t xml:space="preserve"> </w:t>
      </w:r>
      <w:r w:rsidR="007765DB" w:rsidRPr="00086A97">
        <w:rPr>
          <w:lang w:val="en-GB"/>
        </w:rPr>
        <w:t xml:space="preserve">presenting </w:t>
      </w:r>
      <w:r w:rsidR="00610481" w:rsidRPr="00086A97">
        <w:rPr>
          <w:lang w:val="en-GB"/>
        </w:rPr>
        <w:t xml:space="preserve">a third table, </w:t>
      </w:r>
      <w:r w:rsidR="007765DB" w:rsidRPr="00086A97">
        <w:rPr>
          <w:lang w:val="en-GB"/>
        </w:rPr>
        <w:t xml:space="preserve">he </w:t>
      </w:r>
      <w:r w:rsidR="00610481" w:rsidRPr="00086A97">
        <w:rPr>
          <w:lang w:val="en-GB"/>
        </w:rPr>
        <w:t>said that consideration of all HPMP stage I data for HCFC consumption in all Multilateral Fund agreements drawn up for A</w:t>
      </w:r>
      <w:r w:rsidR="007765DB" w:rsidRPr="00086A97">
        <w:rPr>
          <w:lang w:val="en-GB"/>
        </w:rPr>
        <w:t xml:space="preserve">rticle </w:t>
      </w:r>
      <w:r w:rsidR="00610481" w:rsidRPr="00086A97">
        <w:rPr>
          <w:lang w:val="en-GB"/>
        </w:rPr>
        <w:t xml:space="preserve">5 parties </w:t>
      </w:r>
      <w:r w:rsidR="007765DB" w:rsidRPr="00086A97">
        <w:rPr>
          <w:lang w:val="en-GB"/>
        </w:rPr>
        <w:t>provided</w:t>
      </w:r>
      <w:r w:rsidR="00610481" w:rsidRPr="00086A97">
        <w:rPr>
          <w:lang w:val="en-GB"/>
        </w:rPr>
        <w:t xml:space="preserve"> a different way to look at 2020 HCFC consumption data</w:t>
      </w:r>
      <w:r w:rsidR="007765DB" w:rsidRPr="00086A97">
        <w:rPr>
          <w:lang w:val="en-GB"/>
        </w:rPr>
        <w:t xml:space="preserve">, and it made </w:t>
      </w:r>
      <w:r w:rsidR="00610481" w:rsidRPr="00086A97">
        <w:rPr>
          <w:lang w:val="en-GB"/>
        </w:rPr>
        <w:t>it possible to state that the 2020 aggregated A</w:t>
      </w:r>
      <w:r w:rsidR="007765DB" w:rsidRPr="00086A97">
        <w:rPr>
          <w:lang w:val="en-GB"/>
        </w:rPr>
        <w:t xml:space="preserve">rticle </w:t>
      </w:r>
      <w:r w:rsidR="00610481" w:rsidRPr="00086A97">
        <w:rPr>
          <w:lang w:val="en-GB"/>
        </w:rPr>
        <w:t xml:space="preserve">5 </w:t>
      </w:r>
      <w:r w:rsidR="007765DB" w:rsidRPr="00086A97">
        <w:rPr>
          <w:lang w:val="en-GB"/>
        </w:rPr>
        <w:t xml:space="preserve">party </w:t>
      </w:r>
      <w:r w:rsidR="00610481" w:rsidRPr="00086A97">
        <w:rPr>
          <w:lang w:val="en-GB"/>
        </w:rPr>
        <w:t>HCFC consumption c</w:t>
      </w:r>
      <w:r w:rsidR="007765DB" w:rsidRPr="00086A97">
        <w:rPr>
          <w:lang w:val="en-GB"/>
        </w:rPr>
        <w:t>ould</w:t>
      </w:r>
      <w:r w:rsidR="00610481" w:rsidRPr="00086A97">
        <w:rPr>
          <w:lang w:val="en-GB"/>
        </w:rPr>
        <w:t xml:space="preserve"> logically be expected to be lower than HCFC production </w:t>
      </w:r>
      <w:r w:rsidR="007765DB" w:rsidRPr="00086A97">
        <w:rPr>
          <w:lang w:val="en-GB"/>
        </w:rPr>
        <w:t xml:space="preserve">allowed </w:t>
      </w:r>
      <w:r w:rsidR="00610481" w:rsidRPr="00086A97">
        <w:rPr>
          <w:lang w:val="en-GB"/>
        </w:rPr>
        <w:t xml:space="preserve">under the Protocol. </w:t>
      </w:r>
      <w:r w:rsidR="007765DB" w:rsidRPr="00086A97">
        <w:rPr>
          <w:lang w:val="en-GB"/>
        </w:rPr>
        <w:t>He</w:t>
      </w:r>
      <w:r w:rsidR="00610481" w:rsidRPr="00086A97">
        <w:rPr>
          <w:lang w:val="en-GB"/>
        </w:rPr>
        <w:t xml:space="preserve"> concluded by saying that no basic domestic needs production by non-A</w:t>
      </w:r>
      <w:r w:rsidR="007765DB" w:rsidRPr="00086A97">
        <w:rPr>
          <w:lang w:val="en-GB"/>
        </w:rPr>
        <w:t xml:space="preserve">rticle </w:t>
      </w:r>
      <w:r w:rsidR="00610481" w:rsidRPr="00086A97">
        <w:rPr>
          <w:lang w:val="en-GB"/>
        </w:rPr>
        <w:t xml:space="preserve">5 parties </w:t>
      </w:r>
      <w:r w:rsidR="007765DB" w:rsidRPr="00086A97">
        <w:rPr>
          <w:lang w:val="en-GB"/>
        </w:rPr>
        <w:t>wa</w:t>
      </w:r>
      <w:r w:rsidR="00610481" w:rsidRPr="00086A97">
        <w:rPr>
          <w:lang w:val="en-GB"/>
        </w:rPr>
        <w:t>s likely to be needed for A</w:t>
      </w:r>
      <w:r w:rsidR="007765DB" w:rsidRPr="00086A97">
        <w:rPr>
          <w:lang w:val="en-GB"/>
        </w:rPr>
        <w:t xml:space="preserve">rticle </w:t>
      </w:r>
      <w:r w:rsidR="00610481" w:rsidRPr="00086A97">
        <w:rPr>
          <w:lang w:val="en-GB"/>
        </w:rPr>
        <w:t>5 parties after 2020</w:t>
      </w:r>
      <w:r w:rsidR="002E1B3A">
        <w:rPr>
          <w:lang w:val="en-GB"/>
        </w:rPr>
        <w:t>.</w:t>
      </w:r>
      <w:r w:rsidR="00610481" w:rsidRPr="00086A97">
        <w:rPr>
          <w:lang w:val="en-GB"/>
        </w:rPr>
        <w:t xml:space="preserve"> </w:t>
      </w:r>
    </w:p>
    <w:p w14:paraId="11FF757A" w14:textId="30942BB2" w:rsidR="00610481" w:rsidRPr="00086A97" w:rsidRDefault="00610481">
      <w:pPr>
        <w:tabs>
          <w:tab w:val="clear" w:pos="1247"/>
          <w:tab w:val="clear" w:pos="1814"/>
          <w:tab w:val="clear" w:pos="2381"/>
          <w:tab w:val="clear" w:pos="2948"/>
          <w:tab w:val="clear" w:pos="3515"/>
        </w:tabs>
        <w:rPr>
          <w:lang w:val="en-GB"/>
        </w:rPr>
      </w:pPr>
      <w:r w:rsidRPr="00086A97">
        <w:rPr>
          <w:lang w:val="en-GB"/>
        </w:rPr>
        <w:br w:type="page"/>
      </w:r>
    </w:p>
    <w:p w14:paraId="4B9C8DAB" w14:textId="77777777" w:rsidR="00610481" w:rsidRPr="00086A97" w:rsidRDefault="00610481" w:rsidP="00610481">
      <w:pPr>
        <w:pStyle w:val="ZZAnxheader"/>
        <w:rPr>
          <w:lang w:val="en-GB"/>
        </w:rPr>
      </w:pPr>
      <w:r w:rsidRPr="00086A97">
        <w:rPr>
          <w:lang w:val="en-GB"/>
        </w:rPr>
        <w:t>Annex II</w:t>
      </w:r>
    </w:p>
    <w:p w14:paraId="70529B9D" w14:textId="4FF3C9AA" w:rsidR="00610481" w:rsidRPr="00086A97" w:rsidRDefault="00610481" w:rsidP="00610481">
      <w:pPr>
        <w:pStyle w:val="ZZAnxtitle"/>
        <w:rPr>
          <w:lang w:val="en-GB"/>
        </w:rPr>
      </w:pPr>
      <w:r w:rsidRPr="00086A97">
        <w:rPr>
          <w:lang w:val="en-GB"/>
        </w:rPr>
        <w:t xml:space="preserve">Text for consideration by the parties for inclusion in decisions under the Dubai pathway on </w:t>
      </w:r>
      <w:proofErr w:type="spellStart"/>
      <w:r w:rsidRPr="00086A97">
        <w:rPr>
          <w:lang w:val="en-GB"/>
        </w:rPr>
        <w:t>hydrofluorocarbons</w:t>
      </w:r>
      <w:proofErr w:type="spellEnd"/>
      <w:r w:rsidRPr="00086A97">
        <w:rPr>
          <w:lang w:val="en-GB"/>
        </w:rPr>
        <w:t xml:space="preserve"> under the Montreal Protocol on Substances that Deplete the Ozone Layer</w:t>
      </w:r>
    </w:p>
    <w:p w14:paraId="2C28D4AA" w14:textId="77777777" w:rsidR="00610481" w:rsidRPr="00086A97" w:rsidRDefault="00610481" w:rsidP="00610481">
      <w:pPr>
        <w:pStyle w:val="CH2"/>
        <w:rPr>
          <w:lang w:val="en-GB"/>
        </w:rPr>
      </w:pPr>
      <w:r w:rsidRPr="00086A97">
        <w:rPr>
          <w:lang w:val="en-GB"/>
        </w:rPr>
        <w:tab/>
      </w:r>
      <w:r w:rsidRPr="00086A97">
        <w:rPr>
          <w:lang w:val="en-GB"/>
        </w:rPr>
        <w:tab/>
        <w:t>Submission by India</w:t>
      </w:r>
    </w:p>
    <w:p w14:paraId="3573568C" w14:textId="77777777" w:rsidR="00610481" w:rsidRPr="00086A97" w:rsidRDefault="00610481" w:rsidP="00610481">
      <w:pPr>
        <w:pStyle w:val="CH2"/>
        <w:rPr>
          <w:lang w:val="en-GB"/>
        </w:rPr>
      </w:pPr>
      <w:r w:rsidRPr="00086A97">
        <w:rPr>
          <w:lang w:val="en-GB"/>
        </w:rPr>
        <w:tab/>
      </w:r>
      <w:r w:rsidRPr="00086A97">
        <w:rPr>
          <w:lang w:val="en-GB"/>
        </w:rPr>
        <w:tab/>
        <w:t>Draft decision</w:t>
      </w:r>
    </w:p>
    <w:p w14:paraId="24CC1C11" w14:textId="77777777" w:rsidR="00610481" w:rsidRPr="00086A97" w:rsidRDefault="00610481" w:rsidP="00A30032">
      <w:pPr>
        <w:pStyle w:val="Normal-pool"/>
        <w:tabs>
          <w:tab w:val="clear" w:pos="1247"/>
          <w:tab w:val="clear" w:pos="1814"/>
          <w:tab w:val="clear" w:pos="2381"/>
          <w:tab w:val="clear" w:pos="2948"/>
          <w:tab w:val="clear" w:pos="3515"/>
          <w:tab w:val="clear" w:pos="4082"/>
          <w:tab w:val="left" w:pos="624"/>
        </w:tabs>
        <w:spacing w:after="120"/>
        <w:ind w:left="1247" w:firstLine="624"/>
        <w:rPr>
          <w:i/>
        </w:rPr>
      </w:pPr>
      <w:r w:rsidRPr="00086A97">
        <w:rPr>
          <w:i/>
        </w:rPr>
        <w:t>The Meeting of the Parties,</w:t>
      </w:r>
    </w:p>
    <w:p w14:paraId="455D7E89" w14:textId="77777777" w:rsidR="00610481" w:rsidRPr="00086A97" w:rsidRDefault="00610481" w:rsidP="00CB7871">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t xml:space="preserve"> and recalling that the Montreal Protocol is a party-driven and party-guided process, </w:t>
      </w:r>
    </w:p>
    <w:p w14:paraId="2ECC16C0"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 xml:space="preserve">Recalling </w:t>
      </w:r>
      <w:r w:rsidRPr="00086A97">
        <w:t xml:space="preserve">that the hallmark of the Protocol has been that the decisions of the Meeting of the Parties are based on scientific data and information on the one hand and on implementation after generating solutions through consensus on the other, </w:t>
      </w:r>
    </w:p>
    <w:p w14:paraId="66919A71"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w:t>
      </w:r>
      <w:r w:rsidRPr="00086A97">
        <w:t xml:space="preserve"> that the success of the Protocol has generated interest among other institutions in emulating the processes and principles developed under the Protocol,</w:t>
      </w:r>
    </w:p>
    <w:p w14:paraId="7ADEC0F5"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 also</w:t>
      </w:r>
      <w:r w:rsidRPr="00086A97">
        <w:t xml:space="preserve"> that the parties rely heavily on the excellent work and high standard of output of the Executive Committee of the Multilateral Fund for the Implementation of the Montreal Protocol,  </w:t>
      </w:r>
    </w:p>
    <w:p w14:paraId="4E9D6406"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 further</w:t>
      </w:r>
      <w:r w:rsidRPr="00086A97">
        <w:t xml:space="preserve"> that the discussion on the proposals to amend the Protocol in respect of </w:t>
      </w:r>
      <w:proofErr w:type="spellStart"/>
      <w:r w:rsidRPr="00086A97">
        <w:t>hydrofluorocarbons</w:t>
      </w:r>
      <w:proofErr w:type="spellEnd"/>
      <w:r w:rsidRPr="00086A97">
        <w:t xml:space="preserve"> (HFCs) will be taken up after generating solutions for all identified challenges with a clear understanding that the reporting of emissions will continue under the United Nations Framework Convention on Climate Change, </w:t>
      </w:r>
    </w:p>
    <w:p w14:paraId="07131F1D" w14:textId="2D485CE8"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rPr>
          <w:u w:val="single"/>
        </w:rPr>
      </w:pPr>
      <w:r w:rsidRPr="00086A97">
        <w:rPr>
          <w:i/>
        </w:rPr>
        <w:t xml:space="preserve">Noting </w:t>
      </w:r>
      <w:r w:rsidRPr="00086A97">
        <w:t xml:space="preserve">that, while generating solutions to challenges, the parties have directed a number of instructions and requests to the Executive Committee of the Multilateral Fund for the framing of guidelines on specific subjects, an indicative list of which is set out in the </w:t>
      </w:r>
      <w:r w:rsidR="00436C1C">
        <w:t>appendix</w:t>
      </w:r>
      <w:r w:rsidRPr="00086A97">
        <w:t xml:space="preserve"> to the present decision,</w:t>
      </w:r>
    </w:p>
    <w:p w14:paraId="039D425A"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w:t>
      </w:r>
      <w:r w:rsidRPr="00086A97">
        <w:t xml:space="preserve"> that the parties have requested the Executive Committee to develop these guidelines within one year of the adoption of any HFC amendment,</w:t>
      </w:r>
    </w:p>
    <w:p w14:paraId="43072D9E"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 xml:space="preserve">Recalling </w:t>
      </w:r>
      <w:r w:rsidRPr="00086A97">
        <w:t xml:space="preserve">that the Chair of the Executive Committee presents a report annually on the activities of the Executive Committee to the Meeting of the Parties and noting that the parties have proposed that the Chair of the Executive Committee report to the Meeting of the Parties on the progress made in accordance with decision XXVII/1, including on cases where Executive Committee deliberations have resulted in a change in the national strategy or the national technology choice submitted to the Executive Committee, </w:t>
      </w:r>
    </w:p>
    <w:p w14:paraId="056DE5B6"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 xml:space="preserve">Observing that </w:t>
      </w:r>
      <w:r w:rsidRPr="00086A97">
        <w:t>it will be important for the Executive Committee to take the guidance from the parties into account while finalizing the guidelines,</w:t>
      </w:r>
    </w:p>
    <w:p w14:paraId="64122C64"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Decides</w:t>
      </w:r>
      <w:r w:rsidRPr="00086A97">
        <w:t>:</w:t>
      </w:r>
    </w:p>
    <w:p w14:paraId="283DD7CA" w14:textId="77777777" w:rsidR="00610481" w:rsidRPr="00086A97" w:rsidRDefault="00610481" w:rsidP="00610481">
      <w:pPr>
        <w:pStyle w:val="Normalnumber"/>
        <w:numPr>
          <w:ilvl w:val="0"/>
          <w:numId w:val="3"/>
        </w:numPr>
        <w:suppressAutoHyphens/>
        <w:autoSpaceDN w:val="0"/>
        <w:ind w:firstLine="624"/>
        <w:textAlignment w:val="baseline"/>
        <w:rPr>
          <w:lang w:val="en-GB"/>
        </w:rPr>
      </w:pPr>
      <w:r w:rsidRPr="00086A97">
        <w:rPr>
          <w:lang w:val="en-GB"/>
        </w:rPr>
        <w:t xml:space="preserve">That the draft guidelines developed by the Executive Committee shall be presented to the parties for their views and input; </w:t>
      </w:r>
    </w:p>
    <w:p w14:paraId="678C2397" w14:textId="77777777" w:rsidR="00610481" w:rsidRPr="00086A97" w:rsidRDefault="00610481" w:rsidP="00610481">
      <w:pPr>
        <w:pStyle w:val="Normalnumber"/>
        <w:numPr>
          <w:ilvl w:val="0"/>
          <w:numId w:val="3"/>
        </w:numPr>
        <w:suppressAutoHyphens/>
        <w:autoSpaceDN w:val="0"/>
        <w:ind w:firstLine="624"/>
        <w:textAlignment w:val="baseline"/>
        <w:rPr>
          <w:lang w:val="en-GB"/>
        </w:rPr>
      </w:pPr>
      <w:r w:rsidRPr="00086A97">
        <w:rPr>
          <w:lang w:val="en-GB"/>
        </w:rPr>
        <w:t>That the guidelines shall be finalized by the Executive Committee only after incorporation of the views and input of the parties.</w:t>
      </w:r>
    </w:p>
    <w:p w14:paraId="063E5570" w14:textId="77777777" w:rsidR="00610481" w:rsidRPr="00086A97" w:rsidRDefault="00610481" w:rsidP="00610481">
      <w:pPr>
        <w:rPr>
          <w:lang w:val="en-GB"/>
        </w:rPr>
      </w:pPr>
      <w:r w:rsidRPr="00086A97">
        <w:rPr>
          <w:lang w:val="en-GB"/>
        </w:rPr>
        <w:br w:type="page"/>
      </w:r>
    </w:p>
    <w:p w14:paraId="20606DA6" w14:textId="04BE5701" w:rsidR="00610481" w:rsidRPr="00086A97" w:rsidRDefault="00436C1C">
      <w:pPr>
        <w:pStyle w:val="ZZAnxheader"/>
        <w:rPr>
          <w:lang w:val="en-GB"/>
        </w:rPr>
      </w:pPr>
      <w:r w:rsidRPr="00086A97">
        <w:rPr>
          <w:lang w:val="en-GB"/>
        </w:rPr>
        <w:t>A</w:t>
      </w:r>
      <w:r>
        <w:rPr>
          <w:lang w:val="en-GB"/>
        </w:rPr>
        <w:t>ppendi</w:t>
      </w:r>
      <w:r w:rsidRPr="00086A97">
        <w:rPr>
          <w:lang w:val="en-GB"/>
        </w:rPr>
        <w:t>x</w:t>
      </w:r>
    </w:p>
    <w:p w14:paraId="2E5B497B" w14:textId="19E9A2FC" w:rsidR="00610481" w:rsidRPr="00E03C1E" w:rsidRDefault="00610481" w:rsidP="00E03C1E">
      <w:pPr>
        <w:pStyle w:val="ZZAnxtitle"/>
        <w:rPr>
          <w:lang w:val="en-GB"/>
        </w:rPr>
      </w:pPr>
      <w:r w:rsidRPr="00E03C1E">
        <w:rPr>
          <w:lang w:val="en-GB"/>
        </w:rPr>
        <w:t xml:space="preserve">Indicative list of subjects on which instructions and requests on the development of guidelines have been directed to the Executive Committee of the Multilateral Fund </w:t>
      </w:r>
    </w:p>
    <w:p w14:paraId="7F1EB4CB" w14:textId="77777777" w:rsidR="00610481" w:rsidRPr="00E03C1E" w:rsidRDefault="00610481" w:rsidP="00E03C1E">
      <w:pPr>
        <w:pStyle w:val="Normal-pool"/>
        <w:rPr>
          <w:sz w:val="10"/>
          <w:szCs w:val="10"/>
        </w:rPr>
      </w:pPr>
    </w:p>
    <w:tbl>
      <w:tblPr>
        <w:tblW w:w="0" w:type="auto"/>
        <w:tblInd w:w="108" w:type="dxa"/>
        <w:tblLook w:val="04A0" w:firstRow="1" w:lastRow="0" w:firstColumn="1" w:lastColumn="0" w:noHBand="0" w:noVBand="1"/>
      </w:tblPr>
      <w:tblGrid>
        <w:gridCol w:w="2977"/>
        <w:gridCol w:w="6521"/>
      </w:tblGrid>
      <w:tr w:rsidR="00610481" w:rsidRPr="00B035ED" w14:paraId="4F6A8C4E" w14:textId="77777777" w:rsidTr="00A82255">
        <w:tc>
          <w:tcPr>
            <w:tcW w:w="2977" w:type="dxa"/>
            <w:tcBorders>
              <w:top w:val="single" w:sz="4" w:space="0" w:color="auto"/>
              <w:bottom w:val="single" w:sz="12" w:space="0" w:color="auto"/>
            </w:tcBorders>
            <w:shd w:val="clear" w:color="auto" w:fill="auto"/>
          </w:tcPr>
          <w:p w14:paraId="580ACA07" w14:textId="77777777" w:rsidR="00610481" w:rsidRPr="00086A97" w:rsidRDefault="00610481" w:rsidP="00A82255">
            <w:pPr>
              <w:pStyle w:val="Normal-pool"/>
              <w:spacing w:before="40" w:after="40"/>
              <w:rPr>
                <w:i/>
                <w:sz w:val="18"/>
                <w:szCs w:val="18"/>
              </w:rPr>
            </w:pPr>
            <w:r w:rsidRPr="00086A97">
              <w:rPr>
                <w:i/>
                <w:sz w:val="18"/>
                <w:szCs w:val="18"/>
              </w:rPr>
              <w:t>Issue</w:t>
            </w:r>
          </w:p>
        </w:tc>
        <w:tc>
          <w:tcPr>
            <w:tcW w:w="6521" w:type="dxa"/>
            <w:tcBorders>
              <w:top w:val="single" w:sz="4" w:space="0" w:color="auto"/>
              <w:bottom w:val="single" w:sz="12" w:space="0" w:color="auto"/>
            </w:tcBorders>
            <w:shd w:val="clear" w:color="auto" w:fill="auto"/>
          </w:tcPr>
          <w:p w14:paraId="30F5592B" w14:textId="77777777" w:rsidR="00610481" w:rsidRPr="00086A97" w:rsidRDefault="00610481" w:rsidP="00A82255">
            <w:pPr>
              <w:pStyle w:val="Normal-pool"/>
              <w:spacing w:before="40" w:after="40"/>
              <w:rPr>
                <w:rFonts w:eastAsia="Calibri"/>
                <w:i/>
                <w:sz w:val="18"/>
                <w:szCs w:val="18"/>
              </w:rPr>
            </w:pPr>
            <w:r w:rsidRPr="00086A97">
              <w:rPr>
                <w:rFonts w:eastAsia="Calibri"/>
                <w:i/>
                <w:sz w:val="18"/>
                <w:szCs w:val="18"/>
              </w:rPr>
              <w:t xml:space="preserve">Instruction/Request to the Executive Committee </w:t>
            </w:r>
          </w:p>
        </w:tc>
      </w:tr>
      <w:tr w:rsidR="00610481" w:rsidRPr="00B035ED" w14:paraId="3FAE7AC6" w14:textId="77777777" w:rsidTr="00A82255">
        <w:tc>
          <w:tcPr>
            <w:tcW w:w="2977" w:type="dxa"/>
            <w:tcBorders>
              <w:top w:val="single" w:sz="12" w:space="0" w:color="auto"/>
            </w:tcBorders>
            <w:shd w:val="clear" w:color="auto" w:fill="auto"/>
          </w:tcPr>
          <w:p w14:paraId="45956354" w14:textId="77777777" w:rsidR="00610481" w:rsidRPr="00086A97" w:rsidRDefault="00610481" w:rsidP="00A82255">
            <w:pPr>
              <w:pStyle w:val="Normal-pool"/>
              <w:spacing w:before="40" w:after="40"/>
              <w:rPr>
                <w:sz w:val="18"/>
                <w:szCs w:val="18"/>
              </w:rPr>
            </w:pPr>
            <w:r w:rsidRPr="00086A97">
              <w:rPr>
                <w:sz w:val="18"/>
                <w:szCs w:val="18"/>
              </w:rPr>
              <w:t>Overarching principles and timelines</w:t>
            </w:r>
          </w:p>
        </w:tc>
        <w:tc>
          <w:tcPr>
            <w:tcW w:w="6521" w:type="dxa"/>
            <w:tcBorders>
              <w:top w:val="single" w:sz="12" w:space="0" w:color="auto"/>
            </w:tcBorders>
            <w:shd w:val="clear" w:color="auto" w:fill="auto"/>
          </w:tcPr>
          <w:p w14:paraId="0F1062F0" w14:textId="77777777" w:rsidR="00610481" w:rsidRPr="00086A97" w:rsidRDefault="00610481" w:rsidP="00A82255">
            <w:pPr>
              <w:pStyle w:val="Normal-pool"/>
              <w:spacing w:before="40" w:after="40"/>
              <w:rPr>
                <w:rFonts w:eastAsia="Calibri"/>
                <w:sz w:val="18"/>
                <w:szCs w:val="18"/>
              </w:rPr>
            </w:pPr>
            <w:r w:rsidRPr="00086A97">
              <w:rPr>
                <w:rFonts w:eastAsia="Calibri"/>
                <w:sz w:val="18"/>
                <w:szCs w:val="18"/>
              </w:rPr>
              <w:t>Executive Committee to develop guidelines incorporating the principle of flexibility</w:t>
            </w:r>
          </w:p>
          <w:p w14:paraId="02B0475D" w14:textId="77777777" w:rsidR="00610481" w:rsidRPr="00086A97" w:rsidRDefault="00610481" w:rsidP="00A82255">
            <w:pPr>
              <w:pStyle w:val="Normal-pool"/>
              <w:spacing w:before="40" w:after="40"/>
              <w:rPr>
                <w:rFonts w:eastAsia="Calibri"/>
                <w:sz w:val="18"/>
                <w:szCs w:val="18"/>
              </w:rPr>
            </w:pPr>
            <w:r w:rsidRPr="00086A97">
              <w:rPr>
                <w:rFonts w:eastAsia="Calibri"/>
                <w:sz w:val="18"/>
                <w:szCs w:val="18"/>
              </w:rPr>
              <w:t>Executive Committee to develop, within one year after the adoption of an HFC amendment, guidelines on financing the phasedown of HFC consumption and production, including cost</w:t>
            </w:r>
            <w:r w:rsidRPr="00086A97">
              <w:rPr>
                <w:rFonts w:eastAsia="Calibri"/>
                <w:sz w:val="18"/>
                <w:szCs w:val="18"/>
              </w:rPr>
              <w:noBreakHyphen/>
              <w:t>effectiveness thresholds.</w:t>
            </w:r>
          </w:p>
        </w:tc>
      </w:tr>
      <w:tr w:rsidR="00610481" w:rsidRPr="00B035ED" w14:paraId="0A2D8512" w14:textId="77777777" w:rsidTr="00A82255">
        <w:tc>
          <w:tcPr>
            <w:tcW w:w="2977" w:type="dxa"/>
            <w:shd w:val="clear" w:color="auto" w:fill="auto"/>
          </w:tcPr>
          <w:p w14:paraId="23A8DC6B" w14:textId="77777777" w:rsidR="00610481" w:rsidRPr="00086A97" w:rsidRDefault="00610481" w:rsidP="00A82255">
            <w:pPr>
              <w:pStyle w:val="Normal-pool"/>
              <w:spacing w:before="40" w:after="40"/>
              <w:rPr>
                <w:sz w:val="18"/>
                <w:szCs w:val="18"/>
              </w:rPr>
            </w:pPr>
            <w:r w:rsidRPr="00086A97">
              <w:rPr>
                <w:sz w:val="18"/>
                <w:szCs w:val="18"/>
              </w:rPr>
              <w:t xml:space="preserve">Guidance to the Executive Committee on incremental costs </w:t>
            </w:r>
          </w:p>
        </w:tc>
        <w:tc>
          <w:tcPr>
            <w:tcW w:w="6521" w:type="dxa"/>
            <w:shd w:val="clear" w:color="auto" w:fill="auto"/>
          </w:tcPr>
          <w:p w14:paraId="201CC13A" w14:textId="77777777" w:rsidR="00610481" w:rsidRPr="00086A97" w:rsidRDefault="00610481" w:rsidP="00A82255">
            <w:pPr>
              <w:pStyle w:val="Normal-pool"/>
              <w:spacing w:before="40" w:after="40"/>
              <w:rPr>
                <w:sz w:val="18"/>
                <w:szCs w:val="18"/>
              </w:rPr>
            </w:pPr>
            <w:r w:rsidRPr="00086A97">
              <w:rPr>
                <w:rFonts w:eastAsia="Calibri"/>
                <w:sz w:val="18"/>
                <w:szCs w:val="18"/>
              </w:rPr>
              <w:t xml:space="preserve">Executive Committee </w:t>
            </w:r>
            <w:r w:rsidRPr="00086A97">
              <w:rPr>
                <w:sz w:val="18"/>
                <w:szCs w:val="18"/>
              </w:rPr>
              <w:t xml:space="preserve">to develop new guidelines on methodologies and cost calculations for the consumption manufacturing sector, production sector and servicing sector </w:t>
            </w:r>
          </w:p>
        </w:tc>
      </w:tr>
      <w:tr w:rsidR="00610481" w:rsidRPr="00B035ED" w14:paraId="07ACDCDE" w14:textId="77777777" w:rsidTr="00A82255">
        <w:tc>
          <w:tcPr>
            <w:tcW w:w="2977" w:type="dxa"/>
            <w:shd w:val="clear" w:color="auto" w:fill="auto"/>
          </w:tcPr>
          <w:p w14:paraId="0F56C375" w14:textId="77777777" w:rsidR="00610481" w:rsidRPr="00086A97" w:rsidRDefault="00610481" w:rsidP="00A82255">
            <w:pPr>
              <w:pStyle w:val="Normal-pool"/>
              <w:spacing w:before="40" w:after="40"/>
              <w:rPr>
                <w:sz w:val="18"/>
                <w:szCs w:val="18"/>
              </w:rPr>
            </w:pPr>
            <w:r w:rsidRPr="00086A97">
              <w:rPr>
                <w:sz w:val="18"/>
                <w:szCs w:val="18"/>
              </w:rPr>
              <w:t>Energy efficiency</w:t>
            </w:r>
          </w:p>
        </w:tc>
        <w:tc>
          <w:tcPr>
            <w:tcW w:w="6521" w:type="dxa"/>
            <w:shd w:val="clear" w:color="auto" w:fill="auto"/>
          </w:tcPr>
          <w:p w14:paraId="0E9510A9" w14:textId="77777777" w:rsidR="00610481" w:rsidRPr="00086A97" w:rsidRDefault="00610481" w:rsidP="00A82255">
            <w:pPr>
              <w:pStyle w:val="Normal-pool"/>
              <w:spacing w:before="40" w:after="40"/>
              <w:rPr>
                <w:sz w:val="18"/>
                <w:szCs w:val="18"/>
              </w:rPr>
            </w:pPr>
            <w:r w:rsidRPr="00086A97">
              <w:rPr>
                <w:sz w:val="18"/>
                <w:szCs w:val="18"/>
              </w:rPr>
              <w:t>Executive Committee to develop cost guidance associated with maintaining and/or enhancing the energy efficiency of low-GWP or zero-GWP replacement technologies and equipment, when phasing down HFCs, while taking note of the role of other institutions addressing energy efficiency, when appropriate</w:t>
            </w:r>
          </w:p>
        </w:tc>
      </w:tr>
      <w:tr w:rsidR="00610481" w:rsidRPr="00B035ED" w14:paraId="1A11B62E" w14:textId="77777777" w:rsidTr="00A82255">
        <w:tc>
          <w:tcPr>
            <w:tcW w:w="2977" w:type="dxa"/>
            <w:shd w:val="clear" w:color="auto" w:fill="auto"/>
          </w:tcPr>
          <w:p w14:paraId="0DA1F057" w14:textId="77777777" w:rsidR="00610481" w:rsidRPr="00086A97" w:rsidRDefault="00610481" w:rsidP="00A82255">
            <w:pPr>
              <w:pStyle w:val="Normal-pool"/>
              <w:spacing w:before="40" w:after="40"/>
              <w:rPr>
                <w:sz w:val="18"/>
                <w:szCs w:val="18"/>
              </w:rPr>
            </w:pPr>
            <w:r w:rsidRPr="00086A97">
              <w:rPr>
                <w:sz w:val="18"/>
                <w:szCs w:val="18"/>
              </w:rPr>
              <w:t>Institutional strengthening</w:t>
            </w:r>
          </w:p>
        </w:tc>
        <w:tc>
          <w:tcPr>
            <w:tcW w:w="6521" w:type="dxa"/>
            <w:shd w:val="clear" w:color="auto" w:fill="auto"/>
          </w:tcPr>
          <w:p w14:paraId="188DFC38" w14:textId="77777777" w:rsidR="00610481" w:rsidRPr="00086A97" w:rsidRDefault="00610481" w:rsidP="00A82255">
            <w:pPr>
              <w:pStyle w:val="Normal-pool"/>
              <w:spacing w:before="40" w:after="40"/>
              <w:rPr>
                <w:sz w:val="18"/>
                <w:szCs w:val="18"/>
              </w:rPr>
            </w:pPr>
            <w:r w:rsidRPr="00086A97">
              <w:rPr>
                <w:sz w:val="18"/>
                <w:szCs w:val="18"/>
              </w:rPr>
              <w:t>Executive Committee to increase institutional strengthening support in light of new commitments related to HFCs</w:t>
            </w:r>
          </w:p>
        </w:tc>
      </w:tr>
      <w:tr w:rsidR="00610481" w:rsidRPr="00B035ED" w14:paraId="26A04062" w14:textId="77777777" w:rsidTr="00A82255">
        <w:tc>
          <w:tcPr>
            <w:tcW w:w="2977" w:type="dxa"/>
            <w:tcBorders>
              <w:bottom w:val="single" w:sz="12" w:space="0" w:color="auto"/>
            </w:tcBorders>
            <w:shd w:val="clear" w:color="auto" w:fill="auto"/>
          </w:tcPr>
          <w:p w14:paraId="3486C147" w14:textId="77777777" w:rsidR="00610481" w:rsidRPr="00086A97" w:rsidRDefault="00610481" w:rsidP="00A82255">
            <w:pPr>
              <w:pStyle w:val="Normal-pool"/>
              <w:spacing w:before="40" w:after="40"/>
              <w:rPr>
                <w:sz w:val="18"/>
                <w:szCs w:val="18"/>
              </w:rPr>
            </w:pPr>
            <w:r w:rsidRPr="00086A97">
              <w:rPr>
                <w:sz w:val="18"/>
                <w:szCs w:val="18"/>
              </w:rPr>
              <w:t>Capacity-building to address safety</w:t>
            </w:r>
          </w:p>
        </w:tc>
        <w:tc>
          <w:tcPr>
            <w:tcW w:w="6521" w:type="dxa"/>
            <w:tcBorders>
              <w:bottom w:val="single" w:sz="12" w:space="0" w:color="auto"/>
            </w:tcBorders>
            <w:shd w:val="clear" w:color="auto" w:fill="auto"/>
          </w:tcPr>
          <w:p w14:paraId="30B18DF8" w14:textId="77777777" w:rsidR="00610481" w:rsidRPr="00086A97" w:rsidRDefault="00610481" w:rsidP="00A82255">
            <w:pPr>
              <w:pStyle w:val="Normal-pool"/>
              <w:spacing w:before="40" w:after="40"/>
              <w:rPr>
                <w:sz w:val="18"/>
                <w:szCs w:val="18"/>
              </w:rPr>
            </w:pPr>
            <w:r w:rsidRPr="00086A97">
              <w:rPr>
                <w:sz w:val="18"/>
                <w:szCs w:val="18"/>
              </w:rPr>
              <w:t>Executive Committee to prioritize technical assistance and capacity-building to address safety issues associated with low</w:t>
            </w:r>
            <w:r w:rsidRPr="00086A97">
              <w:rPr>
                <w:sz w:val="18"/>
                <w:szCs w:val="18"/>
              </w:rPr>
              <w:noBreakHyphen/>
              <w:t>GWP or zero-GWP alternatives</w:t>
            </w:r>
          </w:p>
        </w:tc>
      </w:tr>
    </w:tbl>
    <w:p w14:paraId="6CD2A88B" w14:textId="77777777" w:rsidR="00610481" w:rsidRPr="00086A97" w:rsidRDefault="00610481" w:rsidP="00610481">
      <w:pPr>
        <w:jc w:val="right"/>
        <w:rPr>
          <w:lang w:val="en-GB"/>
        </w:rPr>
      </w:pPr>
    </w:p>
    <w:p w14:paraId="3F5D1099" w14:textId="39D4D7D8" w:rsidR="00610481" w:rsidRPr="00086A97" w:rsidRDefault="00610481">
      <w:pPr>
        <w:tabs>
          <w:tab w:val="clear" w:pos="1247"/>
          <w:tab w:val="clear" w:pos="1814"/>
          <w:tab w:val="clear" w:pos="2381"/>
          <w:tab w:val="clear" w:pos="2948"/>
          <w:tab w:val="clear" w:pos="3515"/>
        </w:tabs>
        <w:rPr>
          <w:lang w:val="en-GB"/>
        </w:rPr>
      </w:pPr>
      <w:r w:rsidRPr="00086A97">
        <w:rPr>
          <w:lang w:val="en-GB"/>
        </w:rPr>
        <w:br w:type="page"/>
      </w:r>
    </w:p>
    <w:p w14:paraId="35694C57" w14:textId="7001B429" w:rsidR="00610481" w:rsidRPr="00086A97" w:rsidRDefault="00610481" w:rsidP="009B484A">
      <w:pPr>
        <w:pStyle w:val="ZZAnxheader"/>
        <w:rPr>
          <w:lang w:val="en-GB"/>
        </w:rPr>
      </w:pPr>
      <w:r w:rsidRPr="00086A97">
        <w:rPr>
          <w:lang w:val="en-GB"/>
        </w:rPr>
        <w:t>Annex III</w:t>
      </w:r>
    </w:p>
    <w:p w14:paraId="56E5992E" w14:textId="594E4614" w:rsidR="00610481" w:rsidRPr="00086A97" w:rsidRDefault="00610481" w:rsidP="009B484A">
      <w:pPr>
        <w:pStyle w:val="ZZAnxtitle"/>
        <w:rPr>
          <w:lang w:val="en-GB"/>
        </w:rPr>
      </w:pPr>
      <w:r w:rsidRPr="00086A97">
        <w:rPr>
          <w:lang w:val="en-GB"/>
        </w:rPr>
        <w:t xml:space="preserve">Text for consideration by the Parties for inclusion in decisions related to the phase-down of </w:t>
      </w:r>
      <w:proofErr w:type="spellStart"/>
      <w:r w:rsidRPr="00086A97">
        <w:rPr>
          <w:lang w:val="en-GB"/>
        </w:rPr>
        <w:t>hydrofluorocarbons</w:t>
      </w:r>
      <w:proofErr w:type="spellEnd"/>
      <w:r w:rsidRPr="00086A97">
        <w:rPr>
          <w:lang w:val="en-GB"/>
        </w:rPr>
        <w:t xml:space="preserve"> under the Montreal Protocol on Substances that Deplete the Ozone Layer</w:t>
      </w:r>
    </w:p>
    <w:p w14:paraId="45050F9D" w14:textId="339B24EA" w:rsidR="00610481" w:rsidRPr="00086A97" w:rsidRDefault="009B484A" w:rsidP="009B484A">
      <w:pPr>
        <w:pStyle w:val="CH2"/>
        <w:rPr>
          <w:lang w:val="en-GB"/>
        </w:rPr>
      </w:pPr>
      <w:r w:rsidRPr="00086A97">
        <w:rPr>
          <w:lang w:val="en-GB"/>
        </w:rPr>
        <w:tab/>
      </w:r>
      <w:r w:rsidRPr="00086A97">
        <w:rPr>
          <w:lang w:val="en-GB"/>
        </w:rPr>
        <w:tab/>
      </w:r>
      <w:r w:rsidR="00610481" w:rsidRPr="00086A97">
        <w:rPr>
          <w:lang w:val="en-GB"/>
        </w:rPr>
        <w:t>Submission by Pakistan</w:t>
      </w:r>
      <w:r w:rsidR="00610481" w:rsidRPr="00086A97">
        <w:rPr>
          <w:lang w:val="en-GB"/>
        </w:rPr>
        <w:tab/>
      </w:r>
    </w:p>
    <w:p w14:paraId="6E34DC43" w14:textId="6C25E8BD"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t>[</w:t>
      </w:r>
      <w:r w:rsidRPr="00086A97">
        <w:rPr>
          <w:b/>
        </w:rPr>
        <w:t>Explanatory note:</w:t>
      </w:r>
      <w:r w:rsidRPr="00086A97">
        <w:t xml:space="preserve"> The present conference room paper is submitted for discussion by the Parties to the Montreal Protocol at the thirty-eighth meeting of the Open-ended Working Group, and any agreed elements of the proposal should be included in any proposals adopted on the phase-down of HFCs.]</w:t>
      </w:r>
    </w:p>
    <w:p w14:paraId="7CF2FB8F"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rPr>
          <w:i/>
        </w:rPr>
      </w:pPr>
      <w:r w:rsidRPr="00086A97">
        <w:rPr>
          <w:i/>
        </w:rPr>
        <w:t>The Meeting of the Parties,</w:t>
      </w:r>
    </w:p>
    <w:p w14:paraId="10A99B82"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w:t>
      </w:r>
      <w:r w:rsidRPr="00086A97">
        <w:t xml:space="preserve"> that Pakistan supports a gradual global phase-down of the production and consumption of </w:t>
      </w:r>
      <w:proofErr w:type="spellStart"/>
      <w:r w:rsidRPr="00086A97">
        <w:t>hydrofluorocarbons</w:t>
      </w:r>
      <w:proofErr w:type="spellEnd"/>
      <w:r w:rsidRPr="00086A97">
        <w:t xml:space="preserve"> (HFCs),  </w:t>
      </w:r>
    </w:p>
    <w:p w14:paraId="55BF75C2"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t xml:space="preserve"> that certain replacements for ozone-depleting substances have high </w:t>
      </w:r>
      <w:r w:rsidRPr="00086A97">
        <w:br/>
        <w:t>global warming potential, and that some HFCs in particular lead to warming of the environment,</w:t>
      </w:r>
    </w:p>
    <w:p w14:paraId="2D1581C6"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t xml:space="preserve"> </w:t>
      </w:r>
      <w:r w:rsidRPr="00086A97">
        <w:rPr>
          <w:i/>
        </w:rPr>
        <w:t>also</w:t>
      </w:r>
      <w:r w:rsidRPr="00086A97">
        <w:t xml:space="preserve"> that, while the share of the contribution of HFCs to overall global greenhouse emissions is, at this moment in time, less than 0.2 per cent and does not pose an immediate threat, and certain other sectors such as aviation and shipping have emissions multiple times higher than those from HFCs emissions, nevertheless the growth of HFC use from the decade before and after 2050 may affect the global climate,</w:t>
      </w:r>
    </w:p>
    <w:p w14:paraId="2D204ACB"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t xml:space="preserve"> </w:t>
      </w:r>
      <w:r w:rsidRPr="00086A97">
        <w:rPr>
          <w:i/>
        </w:rPr>
        <w:t>further</w:t>
      </w:r>
      <w:r w:rsidRPr="00086A97">
        <w:t xml:space="preserve"> that the majority of developing countries have no role in increasing or contributing to emissions contributing to global warming,</w:t>
      </w:r>
    </w:p>
    <w:p w14:paraId="4AE21A9F"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t xml:space="preserve"> the accepted principle of common but differentiated responsibilities and respective capabilities,</w:t>
      </w:r>
    </w:p>
    <w:p w14:paraId="5F242D89"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t xml:space="preserve"> that some enactments and obligations placed on developing countries may be inappropriate and of unwarranted economic and social cost to these countries,</w:t>
      </w:r>
    </w:p>
    <w:p w14:paraId="09F3D091"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w:t>
      </w:r>
      <w:r w:rsidRPr="00086A97">
        <w:t xml:space="preserve"> that the largest share of historical and current global emissions of greenhouse gases has originated in developed countries, that per capita emissions in developing countries are still relatively low, and that the share of global emissions originating in developing countries has to grow if their social and development needs are to be met,</w:t>
      </w:r>
    </w:p>
    <w:p w14:paraId="6994FE73"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rPr>
          <w:iCs/>
        </w:rPr>
        <w:t xml:space="preserve"> </w:t>
      </w:r>
      <w:r w:rsidRPr="00086A97">
        <w:t>that the performance of technologies constituting alternatives to HFCs in countries with high ambient temperatures is comparatively poor, leading to higher energy requirements, and that in certain instances proven, advantageous and economical alternatives are not available,</w:t>
      </w:r>
    </w:p>
    <w:p w14:paraId="13F26F53"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rPr>
          <w:iCs/>
        </w:rPr>
        <w:t xml:space="preserve"> also </w:t>
      </w:r>
      <w:r w:rsidRPr="00086A97">
        <w:t>that commercially viable solutions for vehicle air conditioners and some other sectors and applications are also not available, and that the recharging cost associated with alternative refrigerants would cause financial burdens in several low-income economies among the Article 5 countries,</w:t>
      </w:r>
    </w:p>
    <w:p w14:paraId="56A58C0E"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Recognizing</w:t>
      </w:r>
      <w:r w:rsidRPr="00086A97">
        <w:rPr>
          <w:iCs/>
        </w:rPr>
        <w:t xml:space="preserve"> further </w:t>
      </w:r>
      <w:r w:rsidRPr="00086A97">
        <w:t>that regulations, standards, policies and procedures have not been developed or adopted in Article 5 countries, especially in the context of the flammability and toxicity of the alternatives to HFCs,</w:t>
      </w:r>
    </w:p>
    <w:p w14:paraId="27FAEB2D"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Decides</w:t>
      </w:r>
      <w:r w:rsidRPr="00086A97">
        <w:t>:</w:t>
      </w:r>
    </w:p>
    <w:p w14:paraId="601CDB03" w14:textId="77777777" w:rsidR="00610481" w:rsidRPr="00086A97" w:rsidRDefault="00610481" w:rsidP="0093794C">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t xml:space="preserve">To set the phase-down target for the production and consumption of HFCs at 50 per cent of the agreed baseline, and that, for Article 5 countries, the phase-down shall, after reaching this target, be reviewed with respect to the availability of financially viable and technically proven alternate technologies. </w:t>
      </w:r>
    </w:p>
    <w:p w14:paraId="157A0616" w14:textId="01321A26" w:rsidR="00610481" w:rsidRPr="00086A97" w:rsidRDefault="00610481">
      <w:pPr>
        <w:tabs>
          <w:tab w:val="clear" w:pos="1247"/>
          <w:tab w:val="clear" w:pos="1814"/>
          <w:tab w:val="clear" w:pos="2381"/>
          <w:tab w:val="clear" w:pos="2948"/>
          <w:tab w:val="clear" w:pos="3515"/>
        </w:tabs>
        <w:rPr>
          <w:lang w:val="en-GB"/>
        </w:rPr>
      </w:pPr>
      <w:r w:rsidRPr="00086A97">
        <w:rPr>
          <w:lang w:val="en-GB"/>
        </w:rPr>
        <w:br w:type="page"/>
      </w:r>
    </w:p>
    <w:p w14:paraId="7A21C7B1" w14:textId="23D8BEB0" w:rsidR="00610481" w:rsidRPr="00086A97" w:rsidRDefault="00610481" w:rsidP="009B484A">
      <w:pPr>
        <w:pStyle w:val="ZZAnxheader"/>
        <w:rPr>
          <w:lang w:val="en-GB"/>
        </w:rPr>
      </w:pPr>
      <w:r w:rsidRPr="00086A97">
        <w:rPr>
          <w:lang w:val="en-GB"/>
        </w:rPr>
        <w:t>Annex IV</w:t>
      </w:r>
    </w:p>
    <w:p w14:paraId="6EE6956F" w14:textId="77777777" w:rsidR="00610481" w:rsidRPr="00086A97" w:rsidRDefault="00610481" w:rsidP="009B484A">
      <w:pPr>
        <w:pStyle w:val="ZZAnxtitle"/>
        <w:rPr>
          <w:lang w:val="en-GB"/>
        </w:rPr>
      </w:pPr>
      <w:r w:rsidRPr="00086A97">
        <w:rPr>
          <w:lang w:val="en-GB"/>
        </w:rPr>
        <w:t xml:space="preserve">Report by the Technology and Economic Assessment Panel on the climate benefits and costs of reducing </w:t>
      </w:r>
      <w:proofErr w:type="spellStart"/>
      <w:r w:rsidRPr="00086A97">
        <w:rPr>
          <w:color w:val="000000"/>
          <w:shd w:val="clear" w:color="auto" w:fill="FFFFFF"/>
          <w:lang w:val="en-GB"/>
        </w:rPr>
        <w:t>hydrofluorocarbon</w:t>
      </w:r>
      <w:r w:rsidRPr="00086A97">
        <w:rPr>
          <w:lang w:val="en-GB"/>
        </w:rPr>
        <w:t>s</w:t>
      </w:r>
      <w:proofErr w:type="spellEnd"/>
      <w:r w:rsidRPr="00086A97">
        <w:rPr>
          <w:lang w:val="en-GB"/>
        </w:rPr>
        <w:t xml:space="preserve"> under the Dubai pathway</w:t>
      </w:r>
    </w:p>
    <w:p w14:paraId="1EFFC33B" w14:textId="77777777" w:rsidR="00610481" w:rsidRPr="00086A97" w:rsidRDefault="00610481" w:rsidP="00610481">
      <w:pPr>
        <w:pStyle w:val="CH2"/>
        <w:rPr>
          <w:lang w:val="en-GB"/>
        </w:rPr>
      </w:pPr>
      <w:r w:rsidRPr="00086A97">
        <w:rPr>
          <w:lang w:val="en-GB"/>
        </w:rPr>
        <w:tab/>
      </w:r>
      <w:r w:rsidRPr="00086A97">
        <w:rPr>
          <w:lang w:val="en-GB"/>
        </w:rPr>
        <w:tab/>
        <w:t>Submission by Canada and the United States of America</w:t>
      </w:r>
    </w:p>
    <w:p w14:paraId="54F1644E" w14:textId="77777777" w:rsidR="00610481" w:rsidRPr="00086A97" w:rsidRDefault="00610481" w:rsidP="00610481">
      <w:pPr>
        <w:pStyle w:val="CH3"/>
        <w:rPr>
          <w:lang w:val="en-GB"/>
        </w:rPr>
      </w:pPr>
      <w:r w:rsidRPr="00086A97">
        <w:rPr>
          <w:lang w:val="en-GB"/>
        </w:rPr>
        <w:tab/>
      </w:r>
      <w:r w:rsidRPr="00086A97">
        <w:rPr>
          <w:lang w:val="en-GB"/>
        </w:rPr>
        <w:tab/>
        <w:t>Draft decision</w:t>
      </w:r>
    </w:p>
    <w:p w14:paraId="4BA1F52D" w14:textId="14D316CD" w:rsidR="00610481" w:rsidRPr="00086A97" w:rsidRDefault="00610481" w:rsidP="002E3CBA">
      <w:pPr>
        <w:pStyle w:val="Normal-pool"/>
        <w:spacing w:after="120"/>
        <w:ind w:left="1247" w:firstLine="624"/>
        <w:rPr>
          <w:i/>
          <w:lang w:eastAsia="en-GB"/>
        </w:rPr>
      </w:pPr>
      <w:r w:rsidRPr="00086A97">
        <w:rPr>
          <w:i/>
          <w:lang w:eastAsia="en-GB"/>
        </w:rPr>
        <w:t>The Parties decide:</w:t>
      </w:r>
    </w:p>
    <w:p w14:paraId="07DE4112" w14:textId="4D32F587" w:rsidR="00436C1C" w:rsidRPr="00B307B9" w:rsidRDefault="00436C1C" w:rsidP="00B307B9">
      <w:pPr>
        <w:pStyle w:val="NormalNonumber"/>
        <w:rPr>
          <w:b/>
          <w:color w:val="000000" w:themeColor="text1"/>
        </w:rPr>
      </w:pPr>
      <w:r w:rsidRPr="00436C1C">
        <w:t xml:space="preserve">To request that the Technology and Economic Assessment Panel prepare a report for consideration by the twenty-eighth Meeting of the Parties containing an assessment of the climate benefits, and the financial implications for the Multilateral Fund, of the schedules for phasing down the use of </w:t>
      </w:r>
      <w:proofErr w:type="spellStart"/>
      <w:r w:rsidRPr="00436C1C">
        <w:t>hydrofluorocarbons</w:t>
      </w:r>
      <w:proofErr w:type="spellEnd"/>
      <w:r w:rsidRPr="00436C1C">
        <w:t xml:space="preserve"> (HFCs) contained in the amendment proposals as discussed by the Parties at the thirty-</w:t>
      </w:r>
      <w:r w:rsidRPr="00B307B9">
        <w:rPr>
          <w:color w:val="000000" w:themeColor="text1"/>
        </w:rPr>
        <w:t>eighth meeting of the Open-ended Working Group</w:t>
      </w:r>
      <w:r w:rsidRPr="0044340F">
        <w:rPr>
          <w:color w:val="000000" w:themeColor="text1"/>
        </w:rPr>
        <w:t xml:space="preserve"> and the Third Extraordinary Meeting of the Parties</w:t>
      </w:r>
      <w:r w:rsidRPr="00B307B9">
        <w:rPr>
          <w:color w:val="000000" w:themeColor="text1"/>
        </w:rPr>
        <w:t>.</w:t>
      </w:r>
    </w:p>
    <w:p w14:paraId="7CF6D1BA" w14:textId="51B551FF" w:rsidR="00610481" w:rsidRPr="00086A97" w:rsidRDefault="00610481">
      <w:pPr>
        <w:tabs>
          <w:tab w:val="clear" w:pos="1247"/>
          <w:tab w:val="clear" w:pos="1814"/>
          <w:tab w:val="clear" w:pos="2381"/>
          <w:tab w:val="clear" w:pos="2948"/>
          <w:tab w:val="clear" w:pos="3515"/>
        </w:tabs>
        <w:rPr>
          <w:lang w:val="en-GB"/>
        </w:rPr>
      </w:pPr>
      <w:r w:rsidRPr="00086A97">
        <w:rPr>
          <w:lang w:val="en-GB"/>
        </w:rPr>
        <w:br w:type="page"/>
      </w:r>
    </w:p>
    <w:p w14:paraId="34178B90" w14:textId="0FA4E71C" w:rsidR="00610481" w:rsidRPr="00086A97" w:rsidRDefault="00610481" w:rsidP="009B484A">
      <w:pPr>
        <w:pStyle w:val="ZZAnxheader"/>
        <w:rPr>
          <w:lang w:val="en-GB"/>
        </w:rPr>
      </w:pPr>
      <w:r w:rsidRPr="00086A97">
        <w:rPr>
          <w:lang w:val="en-GB"/>
        </w:rPr>
        <w:t>Annex V</w:t>
      </w:r>
    </w:p>
    <w:p w14:paraId="18967AB6" w14:textId="5287E0A5" w:rsidR="00610481" w:rsidRPr="00086A97" w:rsidRDefault="00610481" w:rsidP="009B484A">
      <w:pPr>
        <w:pStyle w:val="ZZAnxtitle"/>
        <w:rPr>
          <w:lang w:val="en-GB"/>
        </w:rPr>
      </w:pPr>
      <w:r w:rsidRPr="00086A97">
        <w:rPr>
          <w:lang w:val="en-GB"/>
        </w:rPr>
        <w:t xml:space="preserve">Text for consideration by the Parties for inclusion in decisions under the Dubai pathway on </w:t>
      </w:r>
      <w:proofErr w:type="spellStart"/>
      <w:r w:rsidRPr="00086A97">
        <w:rPr>
          <w:lang w:val="en-GB"/>
        </w:rPr>
        <w:t>hydrofluorocarbons</w:t>
      </w:r>
      <w:proofErr w:type="spellEnd"/>
      <w:r w:rsidRPr="00086A97">
        <w:rPr>
          <w:lang w:val="en-GB"/>
        </w:rPr>
        <w:t xml:space="preserve"> under the Montreal Protocol on Substances that Deplete the Ozone Layer</w:t>
      </w:r>
    </w:p>
    <w:p w14:paraId="5FEE5A5A" w14:textId="77777777" w:rsidR="00610481" w:rsidRPr="00086A97" w:rsidRDefault="00610481" w:rsidP="009B484A">
      <w:pPr>
        <w:pStyle w:val="CH2"/>
        <w:tabs>
          <w:tab w:val="clear" w:pos="1814"/>
          <w:tab w:val="clear" w:pos="2381"/>
          <w:tab w:val="clear" w:pos="2948"/>
          <w:tab w:val="clear" w:pos="3515"/>
        </w:tabs>
        <w:autoSpaceDN w:val="0"/>
        <w:textAlignment w:val="baseline"/>
        <w:rPr>
          <w:lang w:val="en-GB"/>
        </w:rPr>
      </w:pPr>
      <w:r w:rsidRPr="00086A97">
        <w:rPr>
          <w:lang w:val="en-GB"/>
        </w:rPr>
        <w:tab/>
      </w:r>
      <w:r w:rsidRPr="00086A97">
        <w:rPr>
          <w:lang w:val="en-GB" w:eastAsia="en-GB"/>
        </w:rPr>
        <w:tab/>
        <w:t>Submission by Pakistan</w:t>
      </w:r>
    </w:p>
    <w:p w14:paraId="560D1E6A" w14:textId="494EBA3E" w:rsidR="00610481" w:rsidRPr="00086A97" w:rsidRDefault="00610481" w:rsidP="002E3CBA">
      <w:pPr>
        <w:pStyle w:val="Normal-pool"/>
        <w:spacing w:after="120"/>
        <w:ind w:left="1247" w:firstLine="624"/>
        <w:rPr>
          <w:i/>
        </w:rPr>
      </w:pPr>
      <w:r w:rsidRPr="00086A97">
        <w:t>[</w:t>
      </w:r>
      <w:r w:rsidRPr="00086A97">
        <w:rPr>
          <w:b/>
        </w:rPr>
        <w:t>Explanatory note:</w:t>
      </w:r>
      <w:r w:rsidRPr="00086A97">
        <w:t xml:space="preserve"> The present conference room paper is submitted for discussion by the Parties to the Montreal Protocol at the thirty-eighth meeting of the Open-ended Working Group, and any agreed elements of the proposal should be included in any related proposals adopted at the meeting.]</w:t>
      </w:r>
    </w:p>
    <w:p w14:paraId="50549BAD" w14:textId="77777777" w:rsidR="00610481" w:rsidRPr="00086A97" w:rsidRDefault="00610481" w:rsidP="002E3CBA">
      <w:pPr>
        <w:pStyle w:val="Normal-pool"/>
        <w:spacing w:after="120"/>
        <w:ind w:left="1247" w:firstLine="624"/>
        <w:rPr>
          <w:i/>
        </w:rPr>
      </w:pPr>
      <w:r w:rsidRPr="00086A97">
        <w:rPr>
          <w:i/>
        </w:rPr>
        <w:t>The Meeting of the Parties,</w:t>
      </w:r>
    </w:p>
    <w:p w14:paraId="58E52D83" w14:textId="77777777" w:rsidR="00610481" w:rsidRPr="00086A97" w:rsidRDefault="00610481" w:rsidP="002E3CBA">
      <w:pPr>
        <w:pStyle w:val="Normal-pool"/>
        <w:spacing w:after="120"/>
        <w:ind w:left="1247" w:firstLine="624"/>
        <w:rPr>
          <w:i/>
        </w:rPr>
      </w:pPr>
      <w:r w:rsidRPr="00086A97">
        <w:rPr>
          <w:i/>
        </w:rPr>
        <w:t xml:space="preserve">Recognizing </w:t>
      </w:r>
      <w:r w:rsidRPr="00086A97">
        <w:t xml:space="preserve">that the rights and obligations of </w:t>
      </w:r>
      <w:r w:rsidRPr="00B307B9">
        <w:rPr>
          <w:sz w:val="24"/>
          <w:lang w:val="fr-FR"/>
        </w:rPr>
        <w:t>Parties</w:t>
      </w:r>
      <w:r w:rsidRPr="00086A97">
        <w:t xml:space="preserve"> as delineated under the United Nations Framework Convention on Climate Change should not be modified by the Montreal Protocol,</w:t>
      </w:r>
    </w:p>
    <w:p w14:paraId="6B0FE97B" w14:textId="77777777" w:rsidR="00610481" w:rsidRPr="00086A97" w:rsidRDefault="00610481" w:rsidP="002E3CBA">
      <w:pPr>
        <w:pStyle w:val="Normal-pool"/>
        <w:spacing w:after="120"/>
        <w:ind w:left="1247" w:firstLine="624"/>
      </w:pPr>
      <w:r w:rsidRPr="00086A97">
        <w:rPr>
          <w:i/>
        </w:rPr>
        <w:t xml:space="preserve">Noting </w:t>
      </w:r>
      <w:r w:rsidRPr="00086A97">
        <w:t xml:space="preserve">that in principle the issue of </w:t>
      </w:r>
      <w:proofErr w:type="spellStart"/>
      <w:r w:rsidRPr="00086A97">
        <w:t>hydrofluorocarbons</w:t>
      </w:r>
      <w:proofErr w:type="spellEnd"/>
      <w:r w:rsidRPr="00086A97">
        <w:t xml:space="preserve"> lies within the ambit and mandate of the United Nations Framework Convention on Climate Change,</w:t>
      </w:r>
    </w:p>
    <w:p w14:paraId="5C7D0D4A" w14:textId="28264B8E" w:rsidR="00610481" w:rsidRPr="00086A97" w:rsidRDefault="00610481" w:rsidP="002E3CBA">
      <w:pPr>
        <w:pStyle w:val="Normal-pool"/>
        <w:spacing w:after="120"/>
        <w:ind w:left="1247" w:firstLine="624"/>
      </w:pPr>
      <w:r w:rsidRPr="00086A97">
        <w:rPr>
          <w:i/>
        </w:rPr>
        <w:t>Noting also</w:t>
      </w:r>
      <w:r w:rsidRPr="00086A97">
        <w:t xml:space="preserve"> that in the outcome document of the resumed thirty-seventh meeting of the </w:t>
      </w:r>
      <w:r w:rsidR="0044340F">
        <w:br/>
      </w:r>
      <w:r w:rsidRPr="00086A97">
        <w:t xml:space="preserve">Open-ended Working Group of the </w:t>
      </w:r>
      <w:r w:rsidRPr="00B307B9">
        <w:rPr>
          <w:sz w:val="24"/>
          <w:lang w:val="fr-FR"/>
        </w:rPr>
        <w:t>Parties</w:t>
      </w:r>
      <w:r w:rsidRPr="00086A97">
        <w:t xml:space="preserve"> to the Montreal Protocol, the reporting of emissions of </w:t>
      </w:r>
      <w:proofErr w:type="spellStart"/>
      <w:r w:rsidRPr="00086A97">
        <w:t>hydrofluorocarbons</w:t>
      </w:r>
      <w:proofErr w:type="spellEnd"/>
      <w:r w:rsidRPr="00086A97">
        <w:t xml:space="preserve"> under the United Nations Framework Convention on Climate Change will continue, </w:t>
      </w:r>
    </w:p>
    <w:p w14:paraId="4473C898" w14:textId="77777777" w:rsidR="00610481" w:rsidRPr="00086A97" w:rsidRDefault="00610481" w:rsidP="002E3CBA">
      <w:pPr>
        <w:pStyle w:val="Normal-pool"/>
        <w:spacing w:after="120"/>
        <w:ind w:left="1247" w:firstLine="624"/>
      </w:pPr>
      <w:r w:rsidRPr="00086A97">
        <w:rPr>
          <w:i/>
        </w:rPr>
        <w:t>Noting further</w:t>
      </w:r>
      <w:r w:rsidRPr="00086A97">
        <w:t xml:space="preserve"> that certain categories of cost elements under the Vienna solutions for challenges on funding issues and flexibility of implementation shall be taken up while negotiating the amendment and resolved prior to adoption of an amendment to the Montreal Protocol on Substances that Deplete the Ozone Layer,  </w:t>
      </w:r>
    </w:p>
    <w:p w14:paraId="28E33A99" w14:textId="77777777" w:rsidR="00610481" w:rsidRPr="00086A97" w:rsidRDefault="00610481" w:rsidP="002E3CBA">
      <w:pPr>
        <w:pStyle w:val="Normal-pool"/>
        <w:spacing w:after="120"/>
        <w:ind w:left="1247" w:firstLine="624"/>
      </w:pPr>
      <w:r w:rsidRPr="00086A97">
        <w:rPr>
          <w:i/>
        </w:rPr>
        <w:t>Noting</w:t>
      </w:r>
      <w:r w:rsidRPr="00086A97">
        <w:t xml:space="preserve"> that the </w:t>
      </w:r>
      <w:r w:rsidRPr="00B307B9">
        <w:rPr>
          <w:sz w:val="24"/>
          <w:lang w:val="fr-FR"/>
        </w:rPr>
        <w:t>Parties</w:t>
      </w:r>
      <w:r w:rsidRPr="00086A97">
        <w:t xml:space="preserve"> may identify other cost items to be added to the indicated list emanating as a result of conversion to low-GWP alternatives,</w:t>
      </w:r>
    </w:p>
    <w:p w14:paraId="304BCF15" w14:textId="77777777" w:rsidR="00610481" w:rsidRPr="00086A97" w:rsidRDefault="00610481" w:rsidP="002E3CBA">
      <w:pPr>
        <w:pStyle w:val="Normal-pool"/>
        <w:spacing w:after="120"/>
        <w:ind w:left="1247" w:firstLine="624"/>
        <w:rPr>
          <w:i/>
        </w:rPr>
      </w:pPr>
      <w:r w:rsidRPr="00086A97">
        <w:rPr>
          <w:i/>
        </w:rPr>
        <w:t>Decides:</w:t>
      </w:r>
    </w:p>
    <w:p w14:paraId="675427C0" w14:textId="77777777" w:rsidR="00610481" w:rsidRPr="00086A97" w:rsidRDefault="00610481" w:rsidP="002E3CBA">
      <w:pPr>
        <w:pStyle w:val="Normal-pool"/>
        <w:spacing w:after="120"/>
        <w:ind w:left="1247" w:firstLine="624"/>
      </w:pPr>
      <w:r w:rsidRPr="00086A97">
        <w:t xml:space="preserve">That the additional costs associated with mitigation should be taken up by the </w:t>
      </w:r>
      <w:r w:rsidRPr="00B307B9">
        <w:rPr>
          <w:sz w:val="24"/>
          <w:lang w:val="fr-FR"/>
        </w:rPr>
        <w:t>Parties</w:t>
      </w:r>
      <w:r w:rsidRPr="00086A97">
        <w:t xml:space="preserve"> and resolved prior to adoption of an amendment to the Montreal Protocol on Substances that Deplete the Ozone Layer.</w:t>
      </w:r>
    </w:p>
    <w:p w14:paraId="0651EAAF" w14:textId="3B4F9D3B" w:rsidR="00610481" w:rsidRPr="00086A97" w:rsidRDefault="00610481" w:rsidP="00A30032">
      <w:pPr>
        <w:pStyle w:val="ZZAnxheader"/>
        <w:rPr>
          <w:lang w:val="en-GB"/>
        </w:rPr>
      </w:pPr>
      <w:r w:rsidRPr="00086A97">
        <w:rPr>
          <w:lang w:val="en-GB"/>
        </w:rPr>
        <w:br w:type="page"/>
      </w:r>
    </w:p>
    <w:p w14:paraId="784FC44F" w14:textId="3A08E92F" w:rsidR="00610481" w:rsidRPr="00086A97" w:rsidRDefault="00610481" w:rsidP="009B484A">
      <w:pPr>
        <w:pStyle w:val="ZZAnxheader"/>
        <w:rPr>
          <w:lang w:val="en-GB"/>
        </w:rPr>
      </w:pPr>
      <w:r w:rsidRPr="00086A97">
        <w:rPr>
          <w:lang w:val="en-GB"/>
        </w:rPr>
        <w:t>Annex VI</w:t>
      </w:r>
    </w:p>
    <w:p w14:paraId="5EDB188E" w14:textId="77777777" w:rsidR="00610481" w:rsidRPr="00086A97" w:rsidRDefault="00610481" w:rsidP="009B484A">
      <w:pPr>
        <w:pStyle w:val="ZZAnxtitle"/>
        <w:rPr>
          <w:b w:val="0"/>
          <w:bCs w:val="0"/>
          <w:i/>
          <w:sz w:val="20"/>
          <w:szCs w:val="24"/>
          <w:lang w:val="en-GB"/>
        </w:rPr>
      </w:pPr>
      <w:r w:rsidRPr="00086A97">
        <w:rPr>
          <w:lang w:val="en-GB"/>
        </w:rPr>
        <w:t xml:space="preserve">Essential-use exemption for laboratory and analytical uses for 2017 </w:t>
      </w:r>
      <w:r w:rsidRPr="00B307B9">
        <w:rPr>
          <w:lang w:val="en-GB"/>
        </w:rPr>
        <w:t>in China</w:t>
      </w:r>
      <w:r w:rsidRPr="00086A97">
        <w:rPr>
          <w:b w:val="0"/>
          <w:bCs w:val="0"/>
          <w:i/>
          <w:sz w:val="20"/>
          <w:szCs w:val="24"/>
          <w:lang w:val="en-GB"/>
        </w:rPr>
        <w:t xml:space="preserve"> </w:t>
      </w:r>
    </w:p>
    <w:p w14:paraId="1649D7A1" w14:textId="59D73C8A" w:rsidR="00610481" w:rsidRPr="00086A97" w:rsidRDefault="00610481" w:rsidP="009B484A">
      <w:pPr>
        <w:pStyle w:val="CH2"/>
        <w:rPr>
          <w:lang w:val="en-GB"/>
        </w:rPr>
      </w:pPr>
      <w:r w:rsidRPr="00086A97">
        <w:rPr>
          <w:lang w:val="en-GB"/>
        </w:rPr>
        <w:tab/>
      </w:r>
      <w:r w:rsidRPr="00086A97">
        <w:rPr>
          <w:lang w:val="en-GB"/>
        </w:rPr>
        <w:tab/>
        <w:t>Submission by China</w:t>
      </w:r>
    </w:p>
    <w:p w14:paraId="29E1FF60" w14:textId="77777777" w:rsidR="00610481" w:rsidRPr="00086A97" w:rsidRDefault="00610481" w:rsidP="002E3CBA">
      <w:pPr>
        <w:pStyle w:val="Normal-pool"/>
        <w:tabs>
          <w:tab w:val="clear" w:pos="1247"/>
          <w:tab w:val="clear" w:pos="1814"/>
          <w:tab w:val="clear" w:pos="2381"/>
          <w:tab w:val="clear" w:pos="2948"/>
          <w:tab w:val="clear" w:pos="3515"/>
          <w:tab w:val="clear" w:pos="4082"/>
          <w:tab w:val="left" w:pos="624"/>
        </w:tabs>
        <w:spacing w:after="120"/>
        <w:ind w:left="1247" w:firstLine="624"/>
        <w:rPr>
          <w:i/>
        </w:rPr>
      </w:pPr>
      <w:r w:rsidRPr="00086A97">
        <w:rPr>
          <w:i/>
        </w:rPr>
        <w:t>The Meeting of the Parties,</w:t>
      </w:r>
    </w:p>
    <w:p w14:paraId="5E0ECF14" w14:textId="77777777" w:rsidR="00610481" w:rsidRPr="00086A97" w:rsidRDefault="00610481" w:rsidP="002E3CBA">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w:t>
      </w:r>
      <w:r w:rsidRPr="00086A97">
        <w:t xml:space="preserve"> with appreciation the work done by the Technology and Economic Assessment Panel and its </w:t>
      </w:r>
      <w:r w:rsidRPr="00086A97">
        <w:rPr>
          <w:lang w:eastAsia="zh-CN"/>
        </w:rPr>
        <w:t>Chemicals</w:t>
      </w:r>
      <w:r w:rsidRPr="00086A97">
        <w:t xml:space="preserve"> Technical Options Committee,</w:t>
      </w:r>
    </w:p>
    <w:p w14:paraId="792B1DDC" w14:textId="77777777" w:rsidR="00610481" w:rsidRPr="00086A97" w:rsidRDefault="00610481" w:rsidP="002E3CBA">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Recalling</w:t>
      </w:r>
      <w:r w:rsidRPr="00086A97">
        <w:t xml:space="preserve"> decision XI/15, by which the parties, among other things, eliminated the use of ozone</w:t>
      </w:r>
      <w:r w:rsidRPr="00086A97">
        <w:noBreakHyphen/>
        <w:t>depleting substances for the testing of oil, grease and total petroleum hydrocarbons in water from the global exemption for laboratory and analytical uses,</w:t>
      </w:r>
    </w:p>
    <w:p w14:paraId="06257AD6" w14:textId="77777777" w:rsidR="00610481" w:rsidRPr="00086A97" w:rsidRDefault="00610481" w:rsidP="002E3CBA">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Recalling</w:t>
      </w:r>
      <w:r w:rsidRPr="00086A97">
        <w:rPr>
          <w:iCs/>
        </w:rPr>
        <w:t xml:space="preserve"> </w:t>
      </w:r>
      <w:r w:rsidRPr="00086A97">
        <w:rPr>
          <w:i/>
        </w:rPr>
        <w:t>also</w:t>
      </w:r>
      <w:r w:rsidRPr="00086A97">
        <w:t xml:space="preserve"> decision XXIII/6, by which parties operating under paragraph 1 of Article 5 of the Montreal Protocol were allowed until 31 December 2014 to deviate from the existing ban on the use of carbon tetrachloride for the testing of oil, grease and total petroleum hydrocarbons in water in individual cases where such parties considered doing so to be justified, and in which it was clarified that any deviation beyond that should take place only in accordance with an essential-use exemption</w:t>
      </w:r>
      <w:r w:rsidRPr="00086A97">
        <w:rPr>
          <w:iCs/>
          <w:lang w:eastAsia="zh-CN"/>
        </w:rPr>
        <w:t xml:space="preserve"> in respect of the use of carbon tetrachloride for the testing of oil, grease and total petroleum hydrocarbons in water beyond 2014</w:t>
      </w:r>
      <w:r w:rsidRPr="00086A97">
        <w:t xml:space="preserve">, </w:t>
      </w:r>
    </w:p>
    <w:p w14:paraId="66E6053C" w14:textId="77777777" w:rsidR="00610481" w:rsidRPr="00086A97" w:rsidRDefault="00610481" w:rsidP="002E3CBA">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rPr>
          <w:i/>
        </w:rPr>
        <w:t>Noting</w:t>
      </w:r>
      <w:r w:rsidRPr="00086A97">
        <w:t xml:space="preserve"> </w:t>
      </w:r>
      <w:r w:rsidRPr="00086A97">
        <w:rPr>
          <w:lang w:eastAsia="zh-CN"/>
        </w:rPr>
        <w:t>that China has reported difficulty in implementing existing alternatives to the use of carbon tetrachloride for the testing of oil, grease and total petroleum hydrocarbons in water and has indicated that it needs more time for the revision and promotion of national standards</w:t>
      </w:r>
      <w:r w:rsidRPr="00086A97">
        <w:rPr>
          <w:rFonts w:ascii="MS Mincho" w:eastAsia="MS Mincho" w:hAnsi="MS Mincho" w:cs="MS Mincho"/>
          <w:lang w:eastAsia="zh-CN"/>
        </w:rPr>
        <w:t>，</w:t>
      </w:r>
      <w:proofErr w:type="gramStart"/>
      <w:r w:rsidRPr="00086A97">
        <w:rPr>
          <w:lang w:eastAsia="zh-CN"/>
        </w:rPr>
        <w:t>and  also</w:t>
      </w:r>
      <w:proofErr w:type="gramEnd"/>
      <w:r w:rsidRPr="00086A97">
        <w:rPr>
          <w:lang w:eastAsia="zh-CN"/>
        </w:rPr>
        <w:t xml:space="preserve"> noting that the party is taking necessary measures to implement the alternatives and has expressed willingness to continue doing so,</w:t>
      </w:r>
      <w:r w:rsidRPr="00086A97">
        <w:t xml:space="preserve"> </w:t>
      </w:r>
    </w:p>
    <w:p w14:paraId="2163B00E" w14:textId="77777777" w:rsidR="00610481" w:rsidRPr="00086A97" w:rsidRDefault="00610481" w:rsidP="002E3CBA">
      <w:pPr>
        <w:pStyle w:val="Normal-pool"/>
        <w:tabs>
          <w:tab w:val="clear" w:pos="1247"/>
          <w:tab w:val="clear" w:pos="1814"/>
          <w:tab w:val="clear" w:pos="2381"/>
          <w:tab w:val="clear" w:pos="2948"/>
          <w:tab w:val="clear" w:pos="3515"/>
          <w:tab w:val="clear" w:pos="4082"/>
          <w:tab w:val="left" w:pos="624"/>
        </w:tabs>
        <w:spacing w:after="120"/>
        <w:ind w:left="1247" w:firstLine="624"/>
        <w:rPr>
          <w:lang w:eastAsia="zh-CN"/>
        </w:rPr>
      </w:pPr>
      <w:r w:rsidRPr="00086A97">
        <w:rPr>
          <w:i/>
        </w:rPr>
        <w:t>Decides</w:t>
      </w:r>
      <w:r w:rsidRPr="00086A97">
        <w:t>:</w:t>
      </w:r>
    </w:p>
    <w:p w14:paraId="0865DA16" w14:textId="77777777" w:rsidR="00610481" w:rsidRPr="00086A97" w:rsidRDefault="00610481" w:rsidP="002E3CBA">
      <w:pPr>
        <w:pStyle w:val="Normalnumber"/>
        <w:numPr>
          <w:ilvl w:val="0"/>
          <w:numId w:val="67"/>
        </w:numPr>
        <w:ind w:left="1247" w:firstLine="624"/>
        <w:rPr>
          <w:lang w:val="en-GB" w:eastAsia="zh-CN"/>
        </w:rPr>
      </w:pPr>
      <w:r w:rsidRPr="00086A97">
        <w:rPr>
          <w:lang w:val="en-GB" w:eastAsia="zh-CN"/>
        </w:rPr>
        <w:t xml:space="preserve">To encourage China, which has applied for an essential-use exemption for the use of carbon tetrachloride for </w:t>
      </w:r>
      <w:r w:rsidRPr="00086A97">
        <w:rPr>
          <w:lang w:val="en-GB"/>
        </w:rPr>
        <w:t>the testing of oil, grease and total petroleum hydrocarbons in water</w:t>
      </w:r>
      <w:r w:rsidRPr="00086A97">
        <w:rPr>
          <w:lang w:val="en-GB" w:eastAsia="zh-CN"/>
        </w:rPr>
        <w:t>, to complete the revision of its relevant national standard and to ensure that a revised national standard is brought into force as soon as possible with a view to ensuring a smooth transition to a method that does not use ozone</w:t>
      </w:r>
      <w:r w:rsidRPr="00086A97">
        <w:rPr>
          <w:lang w:val="en-GB" w:eastAsia="zh-CN"/>
        </w:rPr>
        <w:noBreakHyphen/>
        <w:t>depleting substances;</w:t>
      </w:r>
    </w:p>
    <w:p w14:paraId="466C3F08" w14:textId="77777777" w:rsidR="00610481" w:rsidRPr="00086A97" w:rsidRDefault="00610481" w:rsidP="002E3CBA">
      <w:pPr>
        <w:pStyle w:val="Normalnumber"/>
        <w:numPr>
          <w:ilvl w:val="0"/>
          <w:numId w:val="67"/>
        </w:numPr>
        <w:ind w:left="1247" w:firstLine="624"/>
        <w:rPr>
          <w:lang w:val="en-GB" w:eastAsia="zh-CN"/>
        </w:rPr>
      </w:pPr>
      <w:r w:rsidRPr="00086A97">
        <w:rPr>
          <w:lang w:val="en-GB" w:eastAsia="zh-CN"/>
        </w:rPr>
        <w:t>To request that China, prior to submitting any further requests for essential-use exemptions for the use of ozone</w:t>
      </w:r>
      <w:r w:rsidRPr="00086A97">
        <w:rPr>
          <w:lang w:val="en-GB" w:eastAsia="zh-CN"/>
        </w:rPr>
        <w:noBreakHyphen/>
        <w:t>depleting substances for the testing of oil, grease and total petroleum hydrocarbons in water, provide information on its evaluation of the use of other international analytical methods for such testing, on the national circumstances that make using them difficult, and on progress in the development of its own method and in the revision of the relevant national standard, as well as a timeline for the phase-out of carbon tetrachloride for laboratory and analytical uses, indicating the anticipated steps and dates in that process;</w:t>
      </w:r>
    </w:p>
    <w:p w14:paraId="41BAE2DC" w14:textId="77777777" w:rsidR="00610481" w:rsidRPr="00086A97" w:rsidRDefault="00610481" w:rsidP="002E3CBA">
      <w:pPr>
        <w:pStyle w:val="Normalnumber"/>
        <w:numPr>
          <w:ilvl w:val="0"/>
          <w:numId w:val="67"/>
        </w:numPr>
        <w:ind w:left="1247" w:firstLine="624"/>
        <w:rPr>
          <w:lang w:val="en-GB" w:eastAsia="zh-CN"/>
        </w:rPr>
      </w:pPr>
      <w:r w:rsidRPr="00086A97">
        <w:rPr>
          <w:lang w:val="en-GB" w:eastAsia="zh-CN"/>
        </w:rPr>
        <w:t>To authorize the level of consumption for China for 2017 necessary to satisfy essential uses of carbon tetrachloride for the testing of oil, grease and total petroleum hydrocarbons in water, as specified in the annex to the present decision.</w:t>
      </w:r>
    </w:p>
    <w:p w14:paraId="399DDA4E" w14:textId="77777777" w:rsidR="00610481" w:rsidRPr="00086A97" w:rsidRDefault="00610481" w:rsidP="00610481">
      <w:pPr>
        <w:rPr>
          <w:lang w:val="en-GB" w:eastAsia="zh-CN"/>
        </w:rPr>
      </w:pPr>
      <w:r w:rsidRPr="00086A97">
        <w:rPr>
          <w:lang w:val="en-GB" w:eastAsia="zh-CN"/>
        </w:rPr>
        <w:br w:type="page"/>
      </w:r>
    </w:p>
    <w:p w14:paraId="01483F75" w14:textId="44B1C4F4" w:rsidR="00610481" w:rsidRPr="00086A97" w:rsidRDefault="009B484A" w:rsidP="00E03C1E">
      <w:pPr>
        <w:pStyle w:val="CH2"/>
        <w:spacing w:before="0"/>
        <w:rPr>
          <w:lang w:val="en-GB"/>
        </w:rPr>
      </w:pPr>
      <w:r w:rsidRPr="00086A97">
        <w:rPr>
          <w:lang w:val="en-GB"/>
        </w:rPr>
        <w:tab/>
      </w:r>
      <w:r w:rsidRPr="00086A97">
        <w:rPr>
          <w:lang w:val="en-GB"/>
        </w:rPr>
        <w:tab/>
      </w:r>
      <w:r w:rsidR="00610481" w:rsidRPr="00086A97">
        <w:rPr>
          <w:lang w:val="en-GB"/>
        </w:rPr>
        <w:t>Essential-use authorizations for 2017 for carbon tetrachloride for the testing of oil, grease and total petroleum hydrocarbons in water</w:t>
      </w:r>
    </w:p>
    <w:p w14:paraId="4BB72F2A" w14:textId="331E4E07" w:rsidR="00610481" w:rsidRPr="00E03C1E" w:rsidRDefault="00086A97" w:rsidP="00E03C1E">
      <w:pPr>
        <w:pStyle w:val="Normal-pool"/>
        <w:spacing w:after="60"/>
      </w:pPr>
      <w:r w:rsidRPr="00E03C1E">
        <w:tab/>
      </w:r>
      <w:r w:rsidR="00610481" w:rsidRPr="00E03C1E">
        <w:t>(Metric tons)</w:t>
      </w:r>
    </w:p>
    <w:tbl>
      <w:tblPr>
        <w:tblW w:w="0" w:type="auto"/>
        <w:tblInd w:w="1384" w:type="dxa"/>
        <w:tblLook w:val="04A0" w:firstRow="1" w:lastRow="0" w:firstColumn="1" w:lastColumn="0" w:noHBand="0" w:noVBand="1"/>
      </w:tblPr>
      <w:tblGrid>
        <w:gridCol w:w="4096"/>
        <w:gridCol w:w="4126"/>
      </w:tblGrid>
      <w:tr w:rsidR="00610481" w:rsidRPr="00086A97" w14:paraId="77F16683" w14:textId="77777777" w:rsidTr="00A82255">
        <w:trPr>
          <w:trHeight w:val="227"/>
        </w:trPr>
        <w:tc>
          <w:tcPr>
            <w:tcW w:w="4096" w:type="dxa"/>
            <w:tcBorders>
              <w:top w:val="single" w:sz="4" w:space="0" w:color="auto"/>
              <w:bottom w:val="single" w:sz="12" w:space="0" w:color="auto"/>
            </w:tcBorders>
            <w:shd w:val="clear" w:color="auto" w:fill="auto"/>
            <w:vAlign w:val="bottom"/>
          </w:tcPr>
          <w:p w14:paraId="4D9938EC" w14:textId="77777777" w:rsidR="00610481" w:rsidRPr="00086A97" w:rsidRDefault="00610481" w:rsidP="00A82255">
            <w:pPr>
              <w:widowControl w:val="0"/>
              <w:tabs>
                <w:tab w:val="left" w:pos="624"/>
                <w:tab w:val="left" w:pos="1871"/>
                <w:tab w:val="left" w:pos="2495"/>
                <w:tab w:val="left" w:pos="3119"/>
              </w:tabs>
              <w:spacing w:before="40" w:after="40"/>
              <w:rPr>
                <w:i/>
                <w:kern w:val="3"/>
                <w:sz w:val="16"/>
                <w:szCs w:val="16"/>
                <w:lang w:val="en-GB"/>
              </w:rPr>
            </w:pPr>
            <w:r w:rsidRPr="00086A97">
              <w:rPr>
                <w:bCs/>
                <w:i/>
                <w:iCs/>
                <w:kern w:val="3"/>
                <w:sz w:val="16"/>
                <w:szCs w:val="16"/>
                <w:lang w:val="en-GB" w:eastAsia="zh-CN"/>
              </w:rPr>
              <w:t>Party</w:t>
            </w:r>
            <w:r w:rsidRPr="00086A97">
              <w:rPr>
                <w:i/>
                <w:kern w:val="3"/>
                <w:sz w:val="16"/>
                <w:szCs w:val="16"/>
                <w:lang w:val="en-GB"/>
              </w:rPr>
              <w:t xml:space="preserve"> </w:t>
            </w:r>
          </w:p>
        </w:tc>
        <w:tc>
          <w:tcPr>
            <w:tcW w:w="4126" w:type="dxa"/>
            <w:tcBorders>
              <w:top w:val="single" w:sz="4" w:space="0" w:color="auto"/>
              <w:bottom w:val="single" w:sz="12" w:space="0" w:color="auto"/>
            </w:tcBorders>
            <w:shd w:val="clear" w:color="auto" w:fill="auto"/>
            <w:vAlign w:val="bottom"/>
          </w:tcPr>
          <w:p w14:paraId="0A2992CD" w14:textId="77777777" w:rsidR="00610481" w:rsidRPr="00086A97" w:rsidRDefault="00610481" w:rsidP="00A82255">
            <w:pPr>
              <w:widowControl w:val="0"/>
              <w:tabs>
                <w:tab w:val="left" w:pos="624"/>
                <w:tab w:val="left" w:pos="1871"/>
                <w:tab w:val="left" w:pos="2495"/>
                <w:tab w:val="left" w:pos="3119"/>
              </w:tabs>
              <w:spacing w:before="40" w:after="40"/>
              <w:rPr>
                <w:i/>
                <w:kern w:val="3"/>
                <w:sz w:val="16"/>
                <w:szCs w:val="16"/>
                <w:lang w:val="en-GB" w:eastAsia="zh-CN"/>
              </w:rPr>
            </w:pPr>
            <w:r w:rsidRPr="00086A97">
              <w:rPr>
                <w:bCs/>
                <w:i/>
                <w:iCs/>
                <w:kern w:val="3"/>
                <w:sz w:val="16"/>
                <w:szCs w:val="16"/>
                <w:lang w:val="en-GB" w:eastAsia="zh-CN"/>
              </w:rPr>
              <w:t>2017</w:t>
            </w:r>
          </w:p>
        </w:tc>
      </w:tr>
      <w:tr w:rsidR="00610481" w:rsidRPr="00086A97" w14:paraId="45EAD794" w14:textId="77777777" w:rsidTr="00A82255">
        <w:trPr>
          <w:trHeight w:val="260"/>
        </w:trPr>
        <w:tc>
          <w:tcPr>
            <w:tcW w:w="4096" w:type="dxa"/>
            <w:tcBorders>
              <w:top w:val="single" w:sz="12" w:space="0" w:color="auto"/>
              <w:bottom w:val="single" w:sz="12" w:space="0" w:color="auto"/>
            </w:tcBorders>
            <w:shd w:val="clear" w:color="auto" w:fill="auto"/>
            <w:vAlign w:val="bottom"/>
          </w:tcPr>
          <w:p w14:paraId="02F69798" w14:textId="77777777" w:rsidR="00610481" w:rsidRPr="00086A97" w:rsidRDefault="00610481" w:rsidP="00A82255">
            <w:pPr>
              <w:widowControl w:val="0"/>
              <w:tabs>
                <w:tab w:val="left" w:pos="624"/>
                <w:tab w:val="left" w:pos="1871"/>
                <w:tab w:val="left" w:pos="2495"/>
                <w:tab w:val="left" w:pos="3119"/>
              </w:tabs>
              <w:spacing w:before="120" w:line="276" w:lineRule="auto"/>
              <w:rPr>
                <w:kern w:val="3"/>
                <w:sz w:val="18"/>
                <w:szCs w:val="18"/>
                <w:lang w:val="en-GB"/>
              </w:rPr>
            </w:pPr>
            <w:r w:rsidRPr="00086A97">
              <w:rPr>
                <w:kern w:val="3"/>
                <w:sz w:val="18"/>
                <w:szCs w:val="18"/>
                <w:lang w:val="en-GB"/>
              </w:rPr>
              <w:t>China</w:t>
            </w:r>
          </w:p>
        </w:tc>
        <w:tc>
          <w:tcPr>
            <w:tcW w:w="4126" w:type="dxa"/>
            <w:tcBorders>
              <w:top w:val="single" w:sz="12" w:space="0" w:color="auto"/>
              <w:bottom w:val="single" w:sz="12" w:space="0" w:color="auto"/>
            </w:tcBorders>
            <w:shd w:val="clear" w:color="auto" w:fill="auto"/>
            <w:vAlign w:val="bottom"/>
          </w:tcPr>
          <w:p w14:paraId="49225A31" w14:textId="77777777" w:rsidR="00610481" w:rsidRPr="00086A97" w:rsidRDefault="00610481" w:rsidP="00A82255">
            <w:pPr>
              <w:widowControl w:val="0"/>
              <w:tabs>
                <w:tab w:val="left" w:pos="624"/>
                <w:tab w:val="left" w:pos="1871"/>
                <w:tab w:val="left" w:pos="2495"/>
                <w:tab w:val="left" w:pos="3119"/>
              </w:tabs>
              <w:spacing w:before="120" w:line="276" w:lineRule="auto"/>
              <w:rPr>
                <w:kern w:val="3"/>
                <w:sz w:val="18"/>
                <w:szCs w:val="18"/>
                <w:lang w:val="en-GB" w:eastAsia="zh-CN"/>
              </w:rPr>
            </w:pPr>
            <w:r w:rsidRPr="00086A97">
              <w:rPr>
                <w:kern w:val="3"/>
                <w:sz w:val="18"/>
                <w:szCs w:val="18"/>
                <w:lang w:val="en-GB" w:eastAsia="zh-CN"/>
              </w:rPr>
              <w:t>65</w:t>
            </w:r>
          </w:p>
        </w:tc>
      </w:tr>
    </w:tbl>
    <w:p w14:paraId="5D5D2813" w14:textId="77777777" w:rsidR="00610481" w:rsidRPr="00086A97" w:rsidRDefault="00610481" w:rsidP="00610481">
      <w:pPr>
        <w:pStyle w:val="Normal-pool"/>
        <w:tabs>
          <w:tab w:val="left" w:pos="624"/>
          <w:tab w:val="left" w:pos="1871"/>
          <w:tab w:val="left" w:pos="2495"/>
          <w:tab w:val="left" w:pos="3119"/>
          <w:tab w:val="left" w:pos="3742"/>
        </w:tabs>
      </w:pPr>
    </w:p>
    <w:p w14:paraId="724C89C6" w14:textId="77777777" w:rsidR="00446FD2" w:rsidRPr="00086A97" w:rsidRDefault="009B484A" w:rsidP="00A30032">
      <w:pPr>
        <w:pStyle w:val="ZZAnxheader"/>
        <w:rPr>
          <w:lang w:val="en-GB"/>
        </w:rPr>
      </w:pPr>
      <w:r w:rsidRPr="00086A97">
        <w:rPr>
          <w:lang w:val="en-GB"/>
        </w:rPr>
        <w:br w:type="page"/>
      </w:r>
      <w:r w:rsidR="00446FD2" w:rsidRPr="00086A97">
        <w:rPr>
          <w:lang w:val="en-GB"/>
        </w:rPr>
        <w:t>Annex VII</w:t>
      </w:r>
    </w:p>
    <w:p w14:paraId="60E7585C" w14:textId="77777777" w:rsidR="00E00C2F" w:rsidRPr="00086A97" w:rsidRDefault="00E00C2F" w:rsidP="00E00C2F">
      <w:pPr>
        <w:keepNext/>
        <w:keepLines/>
        <w:tabs>
          <w:tab w:val="right" w:pos="851"/>
        </w:tabs>
        <w:suppressAutoHyphens/>
        <w:spacing w:before="240" w:after="120"/>
        <w:ind w:left="1247" w:right="284" w:hanging="1247"/>
        <w:rPr>
          <w:b/>
          <w:lang w:val="en-GB"/>
        </w:rPr>
      </w:pPr>
      <w:r w:rsidRPr="00086A97">
        <w:rPr>
          <w:b/>
          <w:lang w:val="en-GB"/>
        </w:rPr>
        <w:tab/>
      </w:r>
      <w:r w:rsidRPr="00086A97">
        <w:rPr>
          <w:b/>
          <w:lang w:val="en-GB"/>
        </w:rPr>
        <w:tab/>
        <w:t>Terms of reference for the study on the 2018–2020 replenishment of the Multilateral Fund for the Implementation of the Montreal Protocol</w:t>
      </w:r>
    </w:p>
    <w:p w14:paraId="26359951" w14:textId="77777777" w:rsidR="00E00C2F" w:rsidRPr="00086A97" w:rsidRDefault="00E00C2F" w:rsidP="00E00C2F">
      <w:pPr>
        <w:tabs>
          <w:tab w:val="left" w:pos="624"/>
          <w:tab w:val="left" w:pos="4082"/>
        </w:tabs>
        <w:spacing w:after="120"/>
        <w:ind w:left="1247" w:firstLine="624"/>
        <w:rPr>
          <w:sz w:val="20"/>
          <w:szCs w:val="20"/>
          <w:lang w:val="en-GB"/>
        </w:rPr>
      </w:pPr>
      <w:r w:rsidRPr="00086A97">
        <w:rPr>
          <w:i/>
          <w:iCs/>
          <w:sz w:val="20"/>
          <w:szCs w:val="20"/>
          <w:lang w:val="en-GB"/>
        </w:rPr>
        <w:t xml:space="preserve">Recalling </w:t>
      </w:r>
      <w:r w:rsidRPr="00086A97">
        <w:rPr>
          <w:iCs/>
          <w:sz w:val="20"/>
          <w:szCs w:val="20"/>
          <w:lang w:val="en-GB"/>
        </w:rPr>
        <w:t xml:space="preserve">the parties’ </w:t>
      </w:r>
      <w:r w:rsidRPr="00086A97">
        <w:rPr>
          <w:sz w:val="20"/>
          <w:szCs w:val="20"/>
          <w:lang w:val="en-GB"/>
        </w:rPr>
        <w:t>decisions on previous terms of reference for studies on the replenishment of the Multilateral Fund for the Implementation of the Montreal Protocol,</w:t>
      </w:r>
    </w:p>
    <w:p w14:paraId="71476E5F" w14:textId="77777777" w:rsidR="00E00C2F" w:rsidRPr="00086A97" w:rsidRDefault="00E00C2F" w:rsidP="00E00C2F">
      <w:pPr>
        <w:tabs>
          <w:tab w:val="left" w:pos="624"/>
          <w:tab w:val="left" w:pos="4082"/>
        </w:tabs>
        <w:spacing w:after="120"/>
        <w:ind w:left="1247" w:firstLine="624"/>
        <w:rPr>
          <w:sz w:val="20"/>
          <w:szCs w:val="20"/>
          <w:lang w:val="en-GB"/>
        </w:rPr>
      </w:pPr>
      <w:r w:rsidRPr="00086A97">
        <w:rPr>
          <w:i/>
          <w:iCs/>
          <w:sz w:val="20"/>
          <w:szCs w:val="20"/>
          <w:lang w:val="en-GB"/>
        </w:rPr>
        <w:t xml:space="preserve">Recalling also </w:t>
      </w:r>
      <w:r w:rsidRPr="00086A97">
        <w:rPr>
          <w:iCs/>
          <w:sz w:val="20"/>
          <w:szCs w:val="20"/>
          <w:lang w:val="en-GB"/>
        </w:rPr>
        <w:t xml:space="preserve">the parties’ </w:t>
      </w:r>
      <w:r w:rsidRPr="00086A97">
        <w:rPr>
          <w:sz w:val="20"/>
          <w:szCs w:val="20"/>
          <w:lang w:val="en-GB"/>
        </w:rPr>
        <w:t>decisions on previous replenishments of the Multilateral Fund,</w:t>
      </w:r>
    </w:p>
    <w:p w14:paraId="5C622A52"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1.</w:t>
      </w:r>
      <w:r w:rsidRPr="00086A97">
        <w:rPr>
          <w:sz w:val="20"/>
          <w:szCs w:val="20"/>
          <w:lang w:val="en-GB"/>
        </w:rPr>
        <w:tab/>
        <w:t>To request the Technology and Economic Assessment Panel to prepare a report for submission to the Twenty-Ninth Meeting of the Parties, and to submit it through the Open-ended Working Group at its [XXX] meeting, to enable the Twenty- Ninth Meeting of the Parties to take a decision on the appropriate level of the 2018–2020 replenishment of the Multilateral Fund;</w:t>
      </w:r>
    </w:p>
    <w:p w14:paraId="3CFE76B6"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2.</w:t>
      </w:r>
      <w:r w:rsidRPr="00086A97">
        <w:rPr>
          <w:sz w:val="20"/>
          <w:szCs w:val="20"/>
          <w:lang w:val="en-GB"/>
        </w:rPr>
        <w:tab/>
        <w:t xml:space="preserve">That, in preparing the report referred to in paragraph 1 of the present decision, the Panel should take into account, among other things: </w:t>
      </w:r>
    </w:p>
    <w:p w14:paraId="091D05AD"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(a)</w:t>
      </w:r>
      <w:r w:rsidRPr="00086A97">
        <w:rPr>
          <w:sz w:val="20"/>
          <w:szCs w:val="20"/>
          <w:lang w:val="en-GB"/>
        </w:rPr>
        <w:tab/>
        <w:t>All control measures and relevant decisions agreed upon by the parties to the Montreal Protocol and the Executive Committee, in particular those pertaining to the special needs of low</w:t>
      </w:r>
      <w:r w:rsidRPr="00086A97">
        <w:rPr>
          <w:sz w:val="20"/>
          <w:szCs w:val="20"/>
          <w:lang w:val="en-GB"/>
        </w:rPr>
        <w:noBreakHyphen/>
        <w:t>volume- and very-low-volume-consuming countries[, in addition to small and medium-sized enterprises], and the decisions of the Twenty</w:t>
      </w:r>
      <w:r w:rsidRPr="00086A97">
        <w:rPr>
          <w:sz w:val="20"/>
          <w:szCs w:val="20"/>
          <w:lang w:val="en-GB"/>
        </w:rPr>
        <w:noBreakHyphen/>
        <w:t xml:space="preserve">Eighth Meeting of the Parties and the Executive Committee at its seventy-seventh and [seventy-eighth] meetings insofar as those decisions will necessitate expenditure by the Multilateral Fund during the period 2018–2020; </w:t>
      </w:r>
    </w:p>
    <w:p w14:paraId="396F845B" w14:textId="404E65E5"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(b)</w:t>
      </w:r>
      <w:r w:rsidRPr="00086A97">
        <w:rPr>
          <w:sz w:val="20"/>
          <w:szCs w:val="20"/>
          <w:lang w:val="en-GB"/>
        </w:rPr>
        <w:tab/>
        <w:t>The need to allocate resources to enable all parties operating under paragraph 1 of Article 5 to maintain compliance with Articles 2A–2E, 2G, 2H and 2I of the Protocol;</w:t>
      </w:r>
      <w:r w:rsidR="002A6F7C" w:rsidRPr="00086A97">
        <w:rPr>
          <w:sz w:val="20"/>
          <w:szCs w:val="20"/>
          <w:lang w:val="en-GB"/>
        </w:rPr>
        <w:t xml:space="preserve"> </w:t>
      </w:r>
      <w:r w:rsidRPr="00086A97">
        <w:rPr>
          <w:sz w:val="20"/>
          <w:szCs w:val="20"/>
          <w:lang w:val="en-GB"/>
        </w:rPr>
        <w:t>[to be further reviewed]</w:t>
      </w:r>
      <w:r w:rsidRPr="00086A97">
        <w:rPr>
          <w:sz w:val="20"/>
          <w:szCs w:val="20"/>
          <w:lang w:val="en-GB"/>
        </w:rPr>
        <w:tab/>
      </w:r>
    </w:p>
    <w:p w14:paraId="06356DFB"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[(c)</w:t>
      </w:r>
      <w:r w:rsidRPr="00086A97">
        <w:rPr>
          <w:sz w:val="20"/>
          <w:szCs w:val="20"/>
          <w:lang w:val="en-GB"/>
        </w:rPr>
        <w:tab/>
        <w:t xml:space="preserve">The need to allocate resources to enable all parties operating under paragraph 1 of Article 5 to meet [2020 and 2025] compliance obligations in respect of Articles 2F of the Protocol, [to be further reviewed] [providing [full] support for low GWP alternatives in HCFC phase-out and] taking into account [decision XIX/6 of the </w:t>
      </w:r>
      <w:r w:rsidRPr="00E7365C">
        <w:rPr>
          <w:sz w:val="20"/>
          <w:szCs w:val="20"/>
          <w:lang w:val="en-GB"/>
        </w:rPr>
        <w:t>meeting</w:t>
      </w:r>
      <w:r w:rsidRPr="00086A97">
        <w:rPr>
          <w:sz w:val="20"/>
          <w:szCs w:val="20"/>
          <w:lang w:val="en-GB"/>
        </w:rPr>
        <w:t xml:space="preserve"> of the Parties and] the extended commitment provided by parties operating under paragraph 1 of Article 5 under approved </w:t>
      </w:r>
      <w:proofErr w:type="spellStart"/>
      <w:r w:rsidRPr="00086A97">
        <w:rPr>
          <w:sz w:val="20"/>
          <w:szCs w:val="20"/>
          <w:lang w:val="en-GB"/>
        </w:rPr>
        <w:t>hydrochlorofluorocarbon</w:t>
      </w:r>
      <w:proofErr w:type="spellEnd"/>
      <w:r w:rsidRPr="00086A97">
        <w:rPr>
          <w:sz w:val="20"/>
          <w:szCs w:val="20"/>
          <w:lang w:val="en-GB"/>
        </w:rPr>
        <w:t xml:space="preserve"> phase-out management plans; ]</w:t>
      </w:r>
    </w:p>
    <w:p w14:paraId="4AC8DE45" w14:textId="7A5A2A48"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[(d)</w:t>
      </w:r>
      <w:r w:rsidRPr="00086A97">
        <w:rPr>
          <w:sz w:val="20"/>
          <w:szCs w:val="20"/>
          <w:lang w:val="en-GB"/>
        </w:rPr>
        <w:tab/>
        <w:t xml:space="preserve">Dividing the funding relating to the 2020 target applicable to </w:t>
      </w:r>
      <w:proofErr w:type="spellStart"/>
      <w:r w:rsidRPr="00086A97">
        <w:rPr>
          <w:sz w:val="20"/>
          <w:szCs w:val="20"/>
          <w:lang w:val="en-GB"/>
        </w:rPr>
        <w:t>hydrochlorofluorocarbon</w:t>
      </w:r>
      <w:proofErr w:type="spellEnd"/>
      <w:r w:rsidRPr="00086A97">
        <w:rPr>
          <w:sz w:val="20"/>
          <w:szCs w:val="20"/>
          <w:lang w:val="en-GB"/>
        </w:rPr>
        <w:t xml:space="preserve"> consumption and production in an appropriate manner, including, but not limited to, one scenario that divides the funding relating to the 2020 target applicable to </w:t>
      </w:r>
      <w:proofErr w:type="spellStart"/>
      <w:r w:rsidRPr="00086A97">
        <w:rPr>
          <w:sz w:val="20"/>
          <w:szCs w:val="20"/>
          <w:lang w:val="en-GB"/>
        </w:rPr>
        <w:t>hydrochlorofluorocarbon</w:t>
      </w:r>
      <w:proofErr w:type="spellEnd"/>
      <w:r w:rsidRPr="00086A97">
        <w:rPr>
          <w:sz w:val="20"/>
          <w:szCs w:val="20"/>
          <w:lang w:val="en-GB"/>
        </w:rPr>
        <w:t xml:space="preserve"> consumption equally between the [2015–2017 and 2018–2020] replenishments;]</w:t>
      </w:r>
    </w:p>
    <w:p w14:paraId="1703DDBA"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(e)</w:t>
      </w:r>
      <w:r w:rsidRPr="00086A97">
        <w:rPr>
          <w:sz w:val="20"/>
          <w:szCs w:val="20"/>
          <w:lang w:val="en-GB"/>
        </w:rPr>
        <w:tab/>
        <w:t>Rules and guidelines agreed upon by the Executive Committee at all its meetings, up to and including its seventy-seventh [or seventy-eighth] meeting, for determining eligibility for the funding of investment projects and non</w:t>
      </w:r>
      <w:r w:rsidRPr="00086A97">
        <w:rPr>
          <w:sz w:val="20"/>
          <w:szCs w:val="20"/>
          <w:lang w:val="en-GB"/>
        </w:rPr>
        <w:noBreakHyphen/>
        <w:t>investment projects, including, but not limited to, institutional strengthening;</w:t>
      </w:r>
    </w:p>
    <w:p w14:paraId="0A5DE830" w14:textId="1AA7CE3F"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[(f)</w:t>
      </w:r>
      <w:r w:rsidRPr="00086A97">
        <w:rPr>
          <w:sz w:val="20"/>
          <w:szCs w:val="20"/>
          <w:lang w:val="en-GB"/>
        </w:rPr>
        <w:tab/>
        <w:t xml:space="preserve">The need to allocate sufficient resources [to] [commensurate with] the activities in the servicing sector in stage II [and stage III] of </w:t>
      </w:r>
      <w:proofErr w:type="spellStart"/>
      <w:r w:rsidRPr="00086A97">
        <w:rPr>
          <w:sz w:val="20"/>
          <w:szCs w:val="20"/>
          <w:lang w:val="en-GB"/>
        </w:rPr>
        <w:t>hydrochlorofluorocarbon</w:t>
      </w:r>
      <w:proofErr w:type="spellEnd"/>
      <w:r w:rsidRPr="00086A97">
        <w:rPr>
          <w:sz w:val="20"/>
          <w:szCs w:val="20"/>
          <w:lang w:val="en-GB"/>
        </w:rPr>
        <w:t xml:space="preserve"> phase-out management plans [and beyond] [up to 2020] through technical assistance such as recovery, training, [measures to manage controlled substances destruction projects</w:t>
      </w:r>
      <w:proofErr w:type="gramStart"/>
      <w:r w:rsidRPr="00086A97">
        <w:rPr>
          <w:sz w:val="20"/>
          <w:szCs w:val="20"/>
          <w:lang w:val="en-GB"/>
        </w:rPr>
        <w:t>, ]</w:t>
      </w:r>
      <w:proofErr w:type="gramEnd"/>
      <w:r w:rsidR="002A6F7C" w:rsidRPr="00086A97">
        <w:rPr>
          <w:sz w:val="20"/>
          <w:szCs w:val="20"/>
          <w:lang w:val="en-GB"/>
        </w:rPr>
        <w:t xml:space="preserve"> </w:t>
      </w:r>
      <w:r w:rsidRPr="00086A97">
        <w:rPr>
          <w:sz w:val="20"/>
          <w:szCs w:val="20"/>
          <w:lang w:val="en-GB"/>
        </w:rPr>
        <w:t>[equipment support] and other necessary activities;]</w:t>
      </w:r>
    </w:p>
    <w:p w14:paraId="4FA13514" w14:textId="572A0CD9"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3.</w:t>
      </w:r>
      <w:r w:rsidRPr="00086A97">
        <w:rPr>
          <w:sz w:val="20"/>
          <w:szCs w:val="20"/>
          <w:lang w:val="en-GB"/>
        </w:rPr>
        <w:tab/>
        <w:t>[to be further reviewed]</w:t>
      </w:r>
      <w:r w:rsidR="00806338" w:rsidRPr="00086A97">
        <w:rPr>
          <w:sz w:val="20"/>
          <w:szCs w:val="20"/>
          <w:lang w:val="en-GB"/>
        </w:rPr>
        <w:t xml:space="preserve"> </w:t>
      </w:r>
      <w:r w:rsidRPr="00086A97">
        <w:rPr>
          <w:sz w:val="20"/>
          <w:szCs w:val="20"/>
          <w:lang w:val="en-GB"/>
        </w:rPr>
        <w:t>That, as a separate element to the funding requirement estimated in paragraph 2 of the present decision, the Panel should [provide ][update] indicative figures for additional resources that would be needed to enable parties operating under paragraph 1 of Article 5 to gradually avoid high-global-warming-potential alternatives to ozone-depleting substances, taking into account the availability of safe, environmentally friendly, technically proven and economically viable technologies;</w:t>
      </w:r>
    </w:p>
    <w:p w14:paraId="767E3095"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w:t>
      </w:r>
      <w:proofErr w:type="gramStart"/>
      <w:r w:rsidRPr="00086A97">
        <w:rPr>
          <w:sz w:val="20"/>
          <w:szCs w:val="20"/>
          <w:lang w:val="en-GB"/>
        </w:rPr>
        <w:t>3bis  To</w:t>
      </w:r>
      <w:proofErr w:type="gramEnd"/>
      <w:r w:rsidRPr="00086A97">
        <w:rPr>
          <w:sz w:val="20"/>
          <w:szCs w:val="20"/>
          <w:lang w:val="en-GB"/>
        </w:rPr>
        <w:t xml:space="preserve"> provide information on key issues related to funding of an HFC phase-down being considered by the </w:t>
      </w:r>
      <w:r w:rsidRPr="00E7365C">
        <w:rPr>
          <w:sz w:val="20"/>
          <w:szCs w:val="20"/>
          <w:lang w:val="en-GB"/>
        </w:rPr>
        <w:t>Parties</w:t>
      </w:r>
      <w:r w:rsidRPr="00086A97">
        <w:rPr>
          <w:sz w:val="20"/>
          <w:szCs w:val="20"/>
          <w:lang w:val="en-GB"/>
        </w:rPr>
        <w:t>; ]</w:t>
      </w:r>
    </w:p>
    <w:p w14:paraId="621AA8AE"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[Provide information on methodologies and cost calculations associated with expanding the list of eligible costs in the servicing sector when phasing down HFC;]</w:t>
      </w:r>
    </w:p>
    <w:p w14:paraId="33C6126C"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[Panel should provide indicative figures for additional resources that would be needed to enable parties not operating under paragraph 1 of Article 5 to gradually avoid high-global-warming-potential alternatives to ozone-depleting substances;]</w:t>
      </w:r>
    </w:p>
    <w:p w14:paraId="13B1B239"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4.</w:t>
      </w:r>
      <w:r w:rsidRPr="00086A97">
        <w:rPr>
          <w:sz w:val="20"/>
          <w:szCs w:val="20"/>
          <w:lang w:val="en-GB"/>
        </w:rPr>
        <w:tab/>
        <w:t>That, in preparing the said report, the Panel should consult widely all relevant persons and institutions and other relevant sources of information deemed useful;</w:t>
      </w:r>
    </w:p>
    <w:p w14:paraId="230EFC57"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5.</w:t>
      </w:r>
      <w:r w:rsidRPr="00086A97">
        <w:rPr>
          <w:sz w:val="20"/>
          <w:szCs w:val="20"/>
          <w:lang w:val="en-GB"/>
        </w:rPr>
        <w:tab/>
        <w:t>That the Panel should strive to complete the report referred to above in good time to enable it to be distributed to all parties two months before the [XXX] meeting of the Open</w:t>
      </w:r>
      <w:r w:rsidRPr="00086A97">
        <w:rPr>
          <w:sz w:val="20"/>
          <w:szCs w:val="20"/>
          <w:lang w:val="en-GB"/>
        </w:rPr>
        <w:noBreakHyphen/>
        <w:t>ended Working Group;</w:t>
      </w:r>
    </w:p>
    <w:p w14:paraId="10F361F6" w14:textId="77777777" w:rsidR="00E00C2F" w:rsidRPr="00086A97" w:rsidRDefault="00E00C2F" w:rsidP="00E00C2F">
      <w:pPr>
        <w:tabs>
          <w:tab w:val="left" w:pos="624"/>
          <w:tab w:val="left" w:pos="4082"/>
        </w:tabs>
        <w:spacing w:after="120"/>
        <w:ind w:left="1247" w:firstLine="624"/>
        <w:rPr>
          <w:sz w:val="20"/>
          <w:szCs w:val="20"/>
          <w:lang w:val="en-GB"/>
        </w:rPr>
      </w:pPr>
      <w:r w:rsidRPr="00086A97">
        <w:rPr>
          <w:sz w:val="20"/>
          <w:szCs w:val="20"/>
          <w:lang w:val="en-GB"/>
        </w:rPr>
        <w:t>6.</w:t>
      </w:r>
      <w:r w:rsidRPr="00086A97">
        <w:rPr>
          <w:sz w:val="20"/>
          <w:szCs w:val="20"/>
          <w:lang w:val="en-GB"/>
        </w:rPr>
        <w:tab/>
        <w:t>That the Panel should provide indicative figures for the periods 2021–2023 and 2024</w:t>
      </w:r>
      <w:r w:rsidRPr="00086A97">
        <w:rPr>
          <w:sz w:val="20"/>
          <w:szCs w:val="20"/>
          <w:lang w:val="en-GB"/>
        </w:rPr>
        <w:noBreakHyphen/>
        <w:t>2026 to support a stable and sufficient level of funding, on the understanding that those figures will be updated in subsequent replenishment studies;</w:t>
      </w:r>
    </w:p>
    <w:p w14:paraId="6401D15D" w14:textId="77777777" w:rsidR="00E00C2F" w:rsidRPr="00086A97" w:rsidRDefault="00E00C2F" w:rsidP="00E00C2F">
      <w:pPr>
        <w:rPr>
          <w:lang w:val="en-GB"/>
        </w:rPr>
      </w:pPr>
    </w:p>
    <w:p w14:paraId="05482AD9" w14:textId="00CBDAFB" w:rsidR="00446FD2" w:rsidRPr="00086A97" w:rsidRDefault="00446FD2" w:rsidP="00A30032">
      <w:pPr>
        <w:pStyle w:val="Normal-pool"/>
        <w:tabs>
          <w:tab w:val="clear" w:pos="1247"/>
          <w:tab w:val="clear" w:pos="1814"/>
          <w:tab w:val="clear" w:pos="2381"/>
          <w:tab w:val="clear" w:pos="2948"/>
          <w:tab w:val="clear" w:pos="3515"/>
          <w:tab w:val="clear" w:pos="4082"/>
          <w:tab w:val="left" w:pos="624"/>
        </w:tabs>
        <w:spacing w:after="120"/>
        <w:ind w:left="1247" w:firstLine="624"/>
      </w:pPr>
      <w:r w:rsidRPr="00086A97">
        <w:br w:type="page"/>
      </w:r>
    </w:p>
    <w:p w14:paraId="3BED3CA8" w14:textId="492D7C84" w:rsidR="00610481" w:rsidRPr="00086A97" w:rsidRDefault="009B484A" w:rsidP="009B484A">
      <w:pPr>
        <w:pStyle w:val="ZZAnxheader"/>
        <w:rPr>
          <w:lang w:val="en-GB"/>
        </w:rPr>
      </w:pPr>
      <w:r w:rsidRPr="00086A97">
        <w:rPr>
          <w:lang w:val="en-GB"/>
        </w:rPr>
        <w:t>Annex VIII</w:t>
      </w:r>
    </w:p>
    <w:p w14:paraId="710EC29F" w14:textId="77777777" w:rsidR="009B484A" w:rsidRPr="00086A97" w:rsidRDefault="009B484A" w:rsidP="009B484A">
      <w:pPr>
        <w:pStyle w:val="ZZAnxtitle"/>
        <w:rPr>
          <w:lang w:val="en-GB"/>
        </w:rPr>
      </w:pPr>
      <w:r w:rsidRPr="00086A97">
        <w:rPr>
          <w:lang w:val="en-GB"/>
        </w:rPr>
        <w:t xml:space="preserve">Draft proposal to establish </w:t>
      </w:r>
      <w:r w:rsidRPr="00086A97">
        <w:rPr>
          <w:lang w:val="en-GB" w:eastAsia="zh-CN"/>
        </w:rPr>
        <w:t xml:space="preserve">regular consultations on safety </w:t>
      </w:r>
      <w:r w:rsidRPr="00086A97">
        <w:rPr>
          <w:lang w:val="en-GB"/>
        </w:rPr>
        <w:t>standards</w:t>
      </w:r>
    </w:p>
    <w:p w14:paraId="5E4D3277" w14:textId="77777777" w:rsidR="009B484A" w:rsidRPr="00086A97" w:rsidRDefault="009B484A" w:rsidP="009B484A">
      <w:pPr>
        <w:pStyle w:val="CH2"/>
        <w:rPr>
          <w:lang w:val="en-GB"/>
        </w:rPr>
      </w:pPr>
      <w:r w:rsidRPr="00086A97">
        <w:rPr>
          <w:lang w:val="en-GB"/>
        </w:rPr>
        <w:tab/>
      </w:r>
      <w:r w:rsidRPr="00086A97">
        <w:rPr>
          <w:lang w:val="en-GB"/>
        </w:rPr>
        <w:tab/>
        <w:t>Submission by China</w:t>
      </w:r>
    </w:p>
    <w:p w14:paraId="5295DDDD" w14:textId="77777777" w:rsidR="009B484A" w:rsidRPr="00086A97" w:rsidRDefault="009B484A" w:rsidP="002E3CBA">
      <w:pPr>
        <w:pStyle w:val="Normal-pool"/>
        <w:spacing w:after="120"/>
        <w:ind w:left="1247" w:firstLine="624"/>
        <w:rPr>
          <w:i/>
          <w:lang w:eastAsia="zh-CN"/>
        </w:rPr>
      </w:pPr>
      <w:r w:rsidRPr="00086A97">
        <w:rPr>
          <w:i/>
          <w:lang w:eastAsia="zh-CN"/>
        </w:rPr>
        <w:t>The Meeting of the Parties,</w:t>
      </w:r>
    </w:p>
    <w:p w14:paraId="5A6D50EF" w14:textId="77777777" w:rsidR="009B484A" w:rsidRPr="00086A97" w:rsidRDefault="009B484A" w:rsidP="002E3CBA">
      <w:pPr>
        <w:pStyle w:val="Normal-pool"/>
        <w:spacing w:after="120"/>
        <w:ind w:left="1247" w:firstLine="624"/>
        <w:rPr>
          <w:lang w:eastAsia="zh-CN"/>
        </w:rPr>
      </w:pPr>
      <w:r w:rsidRPr="00086A97">
        <w:rPr>
          <w:i/>
          <w:lang w:eastAsia="zh-CN"/>
        </w:rPr>
        <w:t>Recalling</w:t>
      </w:r>
      <w:r w:rsidRPr="00086A97">
        <w:rPr>
          <w:lang w:eastAsia="zh-CN"/>
        </w:rPr>
        <w:t xml:space="preserve"> that parties recognize the importance of timely updating of international standards for flammable low-GWP refrigerants, including IEC 60335-2-40, and support promoting actions that allow safe market introduction as well as the manufacturing, operation, maintenance and handling of zero-GWP and low-GWP refrigerants that are alternatives to </w:t>
      </w:r>
      <w:proofErr w:type="spellStart"/>
      <w:r w:rsidRPr="00086A97">
        <w:rPr>
          <w:lang w:eastAsia="zh-CN"/>
        </w:rPr>
        <w:t>hydrochlorofluorocarbons</w:t>
      </w:r>
      <w:proofErr w:type="spellEnd"/>
      <w:r w:rsidRPr="00086A97">
        <w:rPr>
          <w:lang w:eastAsia="zh-CN"/>
        </w:rPr>
        <w:t xml:space="preserve"> (HCFCs) and </w:t>
      </w:r>
      <w:proofErr w:type="spellStart"/>
      <w:r w:rsidRPr="00086A97">
        <w:rPr>
          <w:lang w:eastAsia="zh-CN"/>
        </w:rPr>
        <w:t>hydrofluorocarbons</w:t>
      </w:r>
      <w:proofErr w:type="spellEnd"/>
      <w:r w:rsidRPr="00086A97">
        <w:rPr>
          <w:lang w:eastAsia="zh-CN"/>
        </w:rPr>
        <w:t xml:space="preserve"> (HFCs),</w:t>
      </w:r>
    </w:p>
    <w:p w14:paraId="2EC6BF03" w14:textId="77777777" w:rsidR="009B484A" w:rsidRPr="00086A97" w:rsidRDefault="009B484A" w:rsidP="009B484A">
      <w:pPr>
        <w:spacing w:after="120"/>
        <w:ind w:left="1247" w:firstLine="624"/>
        <w:rPr>
          <w:sz w:val="20"/>
          <w:szCs w:val="20"/>
          <w:lang w:val="en-GB"/>
        </w:rPr>
      </w:pPr>
      <w:r w:rsidRPr="00086A97">
        <w:rPr>
          <w:i/>
          <w:sz w:val="20"/>
          <w:szCs w:val="20"/>
          <w:lang w:val="en-GB"/>
        </w:rPr>
        <w:t>Decides</w:t>
      </w:r>
      <w:r w:rsidRPr="00086A97">
        <w:rPr>
          <w:sz w:val="20"/>
          <w:szCs w:val="20"/>
          <w:lang w:val="en-GB"/>
        </w:rPr>
        <w:t>:</w:t>
      </w:r>
    </w:p>
    <w:p w14:paraId="199A95EE" w14:textId="77777777" w:rsidR="009B484A" w:rsidRPr="00086A97" w:rsidRDefault="009B484A" w:rsidP="002E3CBA">
      <w:pPr>
        <w:pStyle w:val="Normalnumber"/>
        <w:numPr>
          <w:ilvl w:val="0"/>
          <w:numId w:val="70"/>
        </w:numPr>
        <w:ind w:left="1247" w:firstLine="624"/>
        <w:rPr>
          <w:lang w:val="en-GB"/>
        </w:rPr>
      </w:pPr>
      <w:r w:rsidRPr="00086A97">
        <w:rPr>
          <w:lang w:val="en-GB"/>
        </w:rPr>
        <w:t xml:space="preserve">To establish </w:t>
      </w:r>
      <w:r w:rsidRPr="00086A97">
        <w:rPr>
          <w:rFonts w:eastAsia="SimSun"/>
          <w:lang w:val="en-GB" w:eastAsia="zh-CN"/>
        </w:rPr>
        <w:t>regular consultations</w:t>
      </w:r>
      <w:r w:rsidRPr="00086A97">
        <w:rPr>
          <w:lang w:val="en-GB"/>
        </w:rPr>
        <w:t xml:space="preserve"> on international safety standards to make efforts to accelerate the revision of the relevant standards, and to </w:t>
      </w:r>
      <w:r w:rsidRPr="00086A97">
        <w:rPr>
          <w:rFonts w:eastAsia="SimSun"/>
          <w:lang w:val="en-GB" w:eastAsia="zh-CN"/>
        </w:rPr>
        <w:t>contribute to a timely, technology-neutral update of relevant standards</w:t>
      </w:r>
      <w:r w:rsidRPr="00086A97">
        <w:rPr>
          <w:lang w:val="en-GB"/>
        </w:rPr>
        <w:t xml:space="preserve"> so as to enable</w:t>
      </w:r>
      <w:r w:rsidRPr="00086A97">
        <w:rPr>
          <w:rFonts w:eastAsia="SimSun"/>
          <w:lang w:val="en-GB" w:eastAsia="zh-CN"/>
        </w:rPr>
        <w:t xml:space="preserve"> safe use and</w:t>
      </w:r>
      <w:r w:rsidRPr="00086A97">
        <w:rPr>
          <w:lang w:val="en-GB"/>
        </w:rPr>
        <w:t xml:space="preserve"> market penetration of low-GWP alternatives required by relevant adjustment and/or amendment decisions adopted by the Meeting of the Parties to the Montreal Protocol, by coordinating with the relevant international standards bodies;</w:t>
      </w:r>
    </w:p>
    <w:p w14:paraId="5A769C02" w14:textId="77777777" w:rsidR="009B484A" w:rsidRPr="00086A97" w:rsidRDefault="009B484A" w:rsidP="002E3CBA">
      <w:pPr>
        <w:pStyle w:val="Normalnumber"/>
        <w:numPr>
          <w:ilvl w:val="0"/>
          <w:numId w:val="70"/>
        </w:numPr>
        <w:ind w:left="1247" w:firstLine="624"/>
        <w:rPr>
          <w:rFonts w:eastAsia="SimSun"/>
          <w:szCs w:val="20"/>
          <w:lang w:val="en-GB" w:eastAsia="zh-CN"/>
        </w:rPr>
      </w:pPr>
      <w:r w:rsidRPr="00086A97">
        <w:rPr>
          <w:rFonts w:eastAsia="SimSun"/>
          <w:szCs w:val="20"/>
          <w:lang w:val="en-GB" w:eastAsia="zh-CN"/>
        </w:rPr>
        <w:t>To request the Technology and Economic Assessment Panel to establish a task force on safety standards and submit a report to the thirty-ninth meeting of the Open-ended Working Group on the following:</w:t>
      </w:r>
    </w:p>
    <w:p w14:paraId="134BDCAF" w14:textId="7BE2E5AB" w:rsidR="009B484A" w:rsidRPr="00086A97" w:rsidRDefault="009B484A" w:rsidP="002E3CBA">
      <w:pPr>
        <w:pStyle w:val="Normalnumber"/>
        <w:numPr>
          <w:ilvl w:val="1"/>
          <w:numId w:val="70"/>
        </w:numPr>
        <w:ind w:left="1247" w:firstLine="624"/>
        <w:rPr>
          <w:lang w:val="en-GB"/>
        </w:rPr>
      </w:pPr>
      <w:r w:rsidRPr="00086A97">
        <w:rPr>
          <w:lang w:val="en-GB"/>
        </w:rPr>
        <w:t xml:space="preserve">Progress in the revision of international safety standards by the International </w:t>
      </w:r>
      <w:proofErr w:type="spellStart"/>
      <w:r w:rsidRPr="00086A97">
        <w:rPr>
          <w:lang w:val="en-GB"/>
        </w:rPr>
        <w:t>Electrotechnical</w:t>
      </w:r>
      <w:proofErr w:type="spellEnd"/>
      <w:r w:rsidRPr="00086A97">
        <w:rPr>
          <w:lang w:val="en-GB"/>
        </w:rPr>
        <w:t xml:space="preserve"> Commission (IEC), the International Organization for Standardization (ISO) and other international standards bodies;</w:t>
      </w:r>
    </w:p>
    <w:p w14:paraId="605DE4E3" w14:textId="77777777" w:rsidR="009B484A" w:rsidRPr="00086A97" w:rsidRDefault="009B484A" w:rsidP="002E3CBA">
      <w:pPr>
        <w:pStyle w:val="Normalnumber"/>
        <w:numPr>
          <w:ilvl w:val="1"/>
          <w:numId w:val="70"/>
        </w:numPr>
        <w:ind w:left="1247" w:firstLine="624"/>
        <w:rPr>
          <w:lang w:val="en-GB"/>
        </w:rPr>
      </w:pPr>
      <w:r w:rsidRPr="00086A97">
        <w:rPr>
          <w:lang w:val="en-GB"/>
        </w:rPr>
        <w:t>Information concerning tests or assessments relevant to safety standards conducted by independent institutions; and</w:t>
      </w:r>
    </w:p>
    <w:p w14:paraId="0D22C4F7" w14:textId="77777777" w:rsidR="009B484A" w:rsidRPr="00086A97" w:rsidRDefault="009B484A" w:rsidP="002E3CBA">
      <w:pPr>
        <w:pStyle w:val="Normalnumber"/>
        <w:numPr>
          <w:ilvl w:val="1"/>
          <w:numId w:val="70"/>
        </w:numPr>
        <w:ind w:left="1247" w:firstLine="624"/>
        <w:rPr>
          <w:lang w:val="en-GB"/>
        </w:rPr>
      </w:pPr>
      <w:r w:rsidRPr="00086A97">
        <w:rPr>
          <w:lang w:val="en-GB"/>
        </w:rPr>
        <w:t xml:space="preserve">The assessment of the implications of international standards for the implementation of the decisions of the Meeting of the Parties to the Montreal Protocol on accelerated phase-out of HCFCs and possible HFC control measures, and recommendations to the </w:t>
      </w:r>
      <w:r w:rsidRPr="00370087">
        <w:rPr>
          <w:lang w:val="en-GB"/>
        </w:rPr>
        <w:t>Parties</w:t>
      </w:r>
      <w:r w:rsidRPr="00086A97">
        <w:rPr>
          <w:lang w:val="en-GB"/>
        </w:rPr>
        <w:t xml:space="preserve"> on promoting actions;</w:t>
      </w:r>
    </w:p>
    <w:p w14:paraId="09EAEBCF" w14:textId="77777777" w:rsidR="009B484A" w:rsidRPr="00086A97" w:rsidRDefault="009B484A" w:rsidP="002E3CBA">
      <w:pPr>
        <w:pStyle w:val="Normalnumber"/>
        <w:numPr>
          <w:ilvl w:val="0"/>
          <w:numId w:val="70"/>
        </w:numPr>
        <w:ind w:left="1247" w:firstLine="624"/>
        <w:rPr>
          <w:rFonts w:eastAsia="SimSun"/>
          <w:szCs w:val="20"/>
          <w:lang w:val="en-GB" w:eastAsia="zh-CN"/>
        </w:rPr>
      </w:pPr>
      <w:r w:rsidRPr="00086A97">
        <w:rPr>
          <w:rFonts w:eastAsia="SimSun"/>
          <w:szCs w:val="20"/>
          <w:lang w:val="en-GB" w:eastAsia="zh-CN"/>
        </w:rPr>
        <w:t>To request that the Ozone Secretariat:</w:t>
      </w:r>
    </w:p>
    <w:p w14:paraId="146520E5" w14:textId="77777777" w:rsidR="009B484A" w:rsidRPr="00086A97" w:rsidRDefault="009B484A" w:rsidP="002E3CBA">
      <w:pPr>
        <w:pStyle w:val="Normalnumber"/>
        <w:numPr>
          <w:ilvl w:val="1"/>
          <w:numId w:val="70"/>
        </w:numPr>
        <w:ind w:left="1247" w:firstLine="624"/>
        <w:rPr>
          <w:lang w:val="en-GB"/>
        </w:rPr>
      </w:pPr>
      <w:r w:rsidRPr="00086A97">
        <w:rPr>
          <w:lang w:val="en-GB"/>
        </w:rPr>
        <w:t xml:space="preserve">Liaise with the relevant international standards bodies (IEC and ISO) and regional standards bodies (European Committee for Standardization (CEN), European Committee for </w:t>
      </w:r>
      <w:proofErr w:type="spellStart"/>
      <w:r w:rsidRPr="00086A97">
        <w:rPr>
          <w:lang w:val="en-GB"/>
        </w:rPr>
        <w:t>Electrotechnical</w:t>
      </w:r>
      <w:proofErr w:type="spellEnd"/>
      <w:r w:rsidRPr="00086A97">
        <w:rPr>
          <w:lang w:val="en-GB"/>
        </w:rPr>
        <w:t xml:space="preserve"> Standardization (CENELEC), etc.) to inform parties and to convey the concerns and expectations of the parties to the Montreal Protocol;</w:t>
      </w:r>
    </w:p>
    <w:p w14:paraId="06ABA99E" w14:textId="77777777" w:rsidR="009B484A" w:rsidRPr="00086A97" w:rsidRDefault="009B484A" w:rsidP="002E3CBA">
      <w:pPr>
        <w:pStyle w:val="Normalnumber"/>
        <w:numPr>
          <w:ilvl w:val="1"/>
          <w:numId w:val="70"/>
        </w:numPr>
        <w:ind w:left="1247" w:firstLine="624"/>
        <w:rPr>
          <w:lang w:val="en-GB"/>
        </w:rPr>
      </w:pPr>
      <w:r w:rsidRPr="00086A97">
        <w:rPr>
          <w:lang w:val="en-GB"/>
        </w:rPr>
        <w:t>Coordinate with national standards organizations of IEC to accelerate the revision of IEC 60335-2-40 and ensure that the requirements for the A2, A2L and A3 categories are revised synchronously using a fair, inclusive and scientifically sound approach;</w:t>
      </w:r>
    </w:p>
    <w:p w14:paraId="0296BD43" w14:textId="77777777" w:rsidR="009B484A" w:rsidRPr="00086A97" w:rsidRDefault="009B484A" w:rsidP="002E3CBA">
      <w:pPr>
        <w:pStyle w:val="Normalnumber"/>
        <w:numPr>
          <w:ilvl w:val="1"/>
          <w:numId w:val="70"/>
        </w:numPr>
        <w:ind w:left="1247" w:firstLine="624"/>
        <w:rPr>
          <w:lang w:val="en-GB"/>
        </w:rPr>
      </w:pPr>
      <w:r w:rsidRPr="00086A97">
        <w:rPr>
          <w:lang w:val="en-GB"/>
        </w:rPr>
        <w:t>Provide information on subparagraphs 2 (b) and 2 (c) of the present decision to the international standards bodies for reference; and</w:t>
      </w:r>
    </w:p>
    <w:p w14:paraId="6BE762EB" w14:textId="77777777" w:rsidR="009B484A" w:rsidRPr="00086A97" w:rsidRDefault="009B484A" w:rsidP="002E3CBA">
      <w:pPr>
        <w:pStyle w:val="Normalnumber"/>
        <w:numPr>
          <w:ilvl w:val="1"/>
          <w:numId w:val="70"/>
        </w:numPr>
        <w:ind w:left="1247" w:firstLine="624"/>
        <w:rPr>
          <w:lang w:val="en-GB"/>
        </w:rPr>
      </w:pPr>
      <w:r w:rsidRPr="00086A97">
        <w:rPr>
          <w:lang w:val="en-GB"/>
        </w:rPr>
        <w:t xml:space="preserve">Organize a two-day workshop on the safety standards relevant to the safe use of </w:t>
      </w:r>
      <w:r w:rsidRPr="00086A97">
        <w:rPr>
          <w:lang w:val="en-GB"/>
        </w:rPr>
        <w:br/>
        <w:t>low-GWP alternatives back to back with the thirty-ninth meeting of the Open-ended Working Group, subject to the availability of resources;</w:t>
      </w:r>
      <w:r w:rsidRPr="00086A97" w:rsidDel="00B41841">
        <w:rPr>
          <w:lang w:val="en-GB"/>
        </w:rPr>
        <w:t xml:space="preserve"> </w:t>
      </w:r>
    </w:p>
    <w:p w14:paraId="26CAB854" w14:textId="77777777" w:rsidR="009B484A" w:rsidRPr="00086A97" w:rsidRDefault="009B484A" w:rsidP="002E3CBA">
      <w:pPr>
        <w:pStyle w:val="Normalnumber"/>
        <w:numPr>
          <w:ilvl w:val="0"/>
          <w:numId w:val="70"/>
        </w:numPr>
        <w:ind w:left="1247" w:firstLine="624"/>
        <w:rPr>
          <w:szCs w:val="20"/>
          <w:lang w:val="en-GB"/>
        </w:rPr>
      </w:pPr>
      <w:r w:rsidRPr="00086A97">
        <w:rPr>
          <w:szCs w:val="20"/>
          <w:lang w:val="en-GB"/>
        </w:rPr>
        <w:t xml:space="preserve">To </w:t>
      </w:r>
      <w:r w:rsidRPr="00086A97">
        <w:rPr>
          <w:rFonts w:eastAsia="SimSun"/>
          <w:szCs w:val="20"/>
          <w:lang w:val="en-GB" w:eastAsia="zh-CN"/>
        </w:rPr>
        <w:t xml:space="preserve">encourage national authorities to take action in this area and </w:t>
      </w:r>
      <w:r w:rsidRPr="00086A97">
        <w:rPr>
          <w:szCs w:val="20"/>
          <w:lang w:val="en-GB"/>
        </w:rPr>
        <w:t xml:space="preserve">invite parties to submit information on their domestic safety standards </w:t>
      </w:r>
      <w:r w:rsidRPr="00086A97">
        <w:rPr>
          <w:rFonts w:eastAsia="SimSun"/>
          <w:szCs w:val="20"/>
          <w:lang w:val="en-GB" w:eastAsia="zh-CN"/>
        </w:rPr>
        <w:t xml:space="preserve">relevant to the use of low-GWP flammable refrigerants </w:t>
      </w:r>
      <w:r w:rsidRPr="00086A97">
        <w:rPr>
          <w:szCs w:val="20"/>
          <w:lang w:val="en-GB"/>
        </w:rPr>
        <w:t>to the Ozone Secretariat by the end of 2016;</w:t>
      </w:r>
    </w:p>
    <w:p w14:paraId="4A0E2896" w14:textId="77777777" w:rsidR="009B484A" w:rsidRPr="00086A97" w:rsidRDefault="009B484A" w:rsidP="002E3CBA">
      <w:pPr>
        <w:pStyle w:val="Normalnumber"/>
        <w:keepNext/>
        <w:keepLines/>
        <w:numPr>
          <w:ilvl w:val="0"/>
          <w:numId w:val="70"/>
        </w:numPr>
        <w:ind w:left="1247" w:firstLine="624"/>
        <w:rPr>
          <w:szCs w:val="20"/>
          <w:lang w:val="en-GB"/>
        </w:rPr>
      </w:pPr>
      <w:r w:rsidRPr="00086A97">
        <w:rPr>
          <w:rFonts w:eastAsia="SimSun"/>
          <w:color w:val="000000"/>
          <w:szCs w:val="20"/>
          <w:shd w:val="clear" w:color="auto" w:fill="FFFFFF"/>
          <w:lang w:val="en-GB" w:eastAsia="zh-CN"/>
        </w:rPr>
        <w:t>T</w:t>
      </w:r>
      <w:r w:rsidRPr="00086A97">
        <w:rPr>
          <w:color w:val="000000"/>
          <w:szCs w:val="20"/>
          <w:shd w:val="clear" w:color="auto" w:fill="FFFFFF"/>
          <w:lang w:val="en-GB"/>
        </w:rPr>
        <w:t xml:space="preserve">o </w:t>
      </w:r>
      <w:r w:rsidRPr="00086A97">
        <w:rPr>
          <w:rFonts w:eastAsia="SimSun"/>
          <w:szCs w:val="20"/>
          <w:lang w:val="en-GB" w:eastAsia="zh-CN"/>
        </w:rPr>
        <w:t>encourage</w:t>
      </w:r>
      <w:r w:rsidRPr="00086A97">
        <w:rPr>
          <w:rFonts w:eastAsia="SimSun"/>
          <w:color w:val="000000"/>
          <w:szCs w:val="20"/>
          <w:shd w:val="clear" w:color="auto" w:fill="FFFFFF"/>
          <w:lang w:val="en-GB" w:eastAsia="zh-CN"/>
        </w:rPr>
        <w:t xml:space="preserve"> </w:t>
      </w:r>
      <w:r w:rsidRPr="00086A97">
        <w:rPr>
          <w:color w:val="000000"/>
          <w:szCs w:val="20"/>
          <w:shd w:val="clear" w:color="auto" w:fill="FFFFFF"/>
          <w:lang w:val="en-GB"/>
        </w:rPr>
        <w:t>parties to take actions to strengthen connection and cooperation between national and regional standards committees and Montreal-Protocol-related national authorities</w:t>
      </w:r>
      <w:r w:rsidRPr="00086A97">
        <w:rPr>
          <w:rFonts w:eastAsia="SimSun"/>
          <w:color w:val="000000"/>
          <w:szCs w:val="20"/>
          <w:shd w:val="clear" w:color="auto" w:fill="FFFFFF"/>
          <w:lang w:val="en-GB" w:eastAsia="zh-CN"/>
        </w:rPr>
        <w:t>;</w:t>
      </w:r>
    </w:p>
    <w:p w14:paraId="1C37D391" w14:textId="37020AA5" w:rsidR="009B484A" w:rsidRPr="00086A97" w:rsidRDefault="009B484A" w:rsidP="002E3CBA">
      <w:pPr>
        <w:pStyle w:val="Normalnumber"/>
        <w:keepNext/>
        <w:keepLines/>
        <w:numPr>
          <w:ilvl w:val="0"/>
          <w:numId w:val="70"/>
        </w:numPr>
        <w:ind w:left="1247" w:firstLine="624"/>
        <w:rPr>
          <w:szCs w:val="20"/>
          <w:lang w:val="en-GB"/>
        </w:rPr>
      </w:pPr>
      <w:r w:rsidRPr="00086A97">
        <w:rPr>
          <w:color w:val="000000"/>
          <w:szCs w:val="20"/>
          <w:shd w:val="clear" w:color="auto" w:fill="FFFFFF"/>
          <w:lang w:val="en-GB"/>
        </w:rPr>
        <w:t xml:space="preserve">To request the Executive Committee of </w:t>
      </w:r>
      <w:r w:rsidRPr="00B307B9">
        <w:rPr>
          <w:color w:val="000000" w:themeColor="text1"/>
          <w:shd w:val="clear" w:color="auto" w:fill="FFFFFF"/>
          <w:lang w:val="en-GB"/>
        </w:rPr>
        <w:t>the Multilateral Fund for the Implementation of the Montreal Protocol</w:t>
      </w:r>
      <w:r w:rsidRPr="00B307B9" w:rsidDel="00913DA9">
        <w:rPr>
          <w:color w:val="000000" w:themeColor="text1"/>
          <w:shd w:val="clear" w:color="auto" w:fill="FFFFFF"/>
          <w:lang w:val="en-GB"/>
        </w:rPr>
        <w:t xml:space="preserve"> </w:t>
      </w:r>
      <w:r w:rsidRPr="00086A97">
        <w:rPr>
          <w:color w:val="000000"/>
          <w:szCs w:val="20"/>
          <w:shd w:val="clear" w:color="auto" w:fill="FFFFFF"/>
          <w:lang w:val="en-GB"/>
        </w:rPr>
        <w:t xml:space="preserve">to consider maintaining or, if required, increasing the Fund’s technical and capacity-building assistance, in particular through the Compliance Assistance Programme, with a view to improving cooperation between national authorities in charge of implementation of the Montreal Protocol and </w:t>
      </w:r>
      <w:r w:rsidRPr="00086A97">
        <w:rPr>
          <w:rFonts w:eastAsia="SimSun"/>
          <w:szCs w:val="20"/>
          <w:lang w:val="en-GB" w:eastAsia="zh-CN"/>
        </w:rPr>
        <w:t>national</w:t>
      </w:r>
      <w:r w:rsidRPr="00086A97">
        <w:rPr>
          <w:color w:val="000000"/>
          <w:szCs w:val="20"/>
          <w:shd w:val="clear" w:color="auto" w:fill="FFFFFF"/>
          <w:lang w:val="en-GB"/>
        </w:rPr>
        <w:t xml:space="preserve"> and regional standards committees</w:t>
      </w:r>
      <w:r w:rsidRPr="00086A97">
        <w:rPr>
          <w:rFonts w:eastAsia="SimSun"/>
          <w:color w:val="000000"/>
          <w:szCs w:val="20"/>
          <w:shd w:val="clear" w:color="auto" w:fill="FFFFFF"/>
          <w:lang w:val="en-GB" w:eastAsia="zh-CN"/>
        </w:rPr>
        <w:t>.</w:t>
      </w:r>
    </w:p>
    <w:tbl>
      <w:tblPr>
        <w:tblW w:w="0" w:type="auto"/>
        <w:tblLook w:val="04A0" w:firstRow="1" w:lastRow="0" w:firstColumn="1" w:lastColumn="0" w:noHBand="0" w:noVBand="1"/>
      </w:tblPr>
      <w:tblGrid>
        <w:gridCol w:w="1942"/>
        <w:gridCol w:w="1942"/>
        <w:gridCol w:w="1943"/>
        <w:gridCol w:w="1943"/>
        <w:gridCol w:w="1943"/>
      </w:tblGrid>
      <w:tr w:rsidR="00B55B71" w:rsidRPr="00B035ED" w14:paraId="5D4551DB" w14:textId="77777777" w:rsidTr="00C66A2A">
        <w:trPr>
          <w:trHeight w:val="652"/>
        </w:trPr>
        <w:tc>
          <w:tcPr>
            <w:tcW w:w="1942" w:type="dxa"/>
            <w:shd w:val="clear" w:color="auto" w:fill="auto"/>
          </w:tcPr>
          <w:p w14:paraId="3D64B64E" w14:textId="77777777" w:rsidR="00B55B71" w:rsidRPr="00086A97" w:rsidRDefault="00B55B71" w:rsidP="002E3CBA">
            <w:pPr>
              <w:pStyle w:val="Normal-pool"/>
              <w:keepNext/>
              <w:keepLines/>
              <w:rPr>
                <w:sz w:val="4"/>
                <w:szCs w:val="4"/>
              </w:rPr>
            </w:pPr>
          </w:p>
        </w:tc>
        <w:tc>
          <w:tcPr>
            <w:tcW w:w="1942" w:type="dxa"/>
            <w:shd w:val="clear" w:color="auto" w:fill="auto"/>
          </w:tcPr>
          <w:p w14:paraId="5BB2AB8C" w14:textId="77777777" w:rsidR="00B55B71" w:rsidRPr="00086A97" w:rsidRDefault="00B55B71" w:rsidP="002E3CBA">
            <w:pPr>
              <w:pStyle w:val="Normal-pool"/>
              <w:keepNext/>
              <w:keepLines/>
              <w:rPr>
                <w:sz w:val="4"/>
                <w:szCs w:val="4"/>
              </w:rPr>
            </w:pPr>
          </w:p>
        </w:tc>
        <w:tc>
          <w:tcPr>
            <w:tcW w:w="1943" w:type="dxa"/>
            <w:tcBorders>
              <w:bottom w:val="single" w:sz="4" w:space="0" w:color="auto"/>
            </w:tcBorders>
            <w:shd w:val="clear" w:color="auto" w:fill="auto"/>
          </w:tcPr>
          <w:p w14:paraId="706BF232" w14:textId="77777777" w:rsidR="00B55B71" w:rsidRPr="00086A97" w:rsidRDefault="00B55B71" w:rsidP="002E3CBA">
            <w:pPr>
              <w:pStyle w:val="Normal-pool"/>
              <w:keepNext/>
              <w:keepLines/>
              <w:rPr>
                <w:sz w:val="4"/>
                <w:szCs w:val="4"/>
              </w:rPr>
            </w:pPr>
          </w:p>
        </w:tc>
        <w:tc>
          <w:tcPr>
            <w:tcW w:w="1943" w:type="dxa"/>
            <w:shd w:val="clear" w:color="auto" w:fill="auto"/>
          </w:tcPr>
          <w:p w14:paraId="78376E48" w14:textId="77777777" w:rsidR="00B55B71" w:rsidRPr="00086A97" w:rsidRDefault="00B55B71" w:rsidP="002E3CBA">
            <w:pPr>
              <w:pStyle w:val="Normal-pool"/>
              <w:keepNext/>
              <w:keepLines/>
              <w:rPr>
                <w:sz w:val="4"/>
                <w:szCs w:val="4"/>
              </w:rPr>
            </w:pPr>
          </w:p>
        </w:tc>
        <w:tc>
          <w:tcPr>
            <w:tcW w:w="1943" w:type="dxa"/>
            <w:shd w:val="clear" w:color="auto" w:fill="auto"/>
          </w:tcPr>
          <w:p w14:paraId="018EC5C2" w14:textId="77777777" w:rsidR="00B55B71" w:rsidRPr="00086A97" w:rsidRDefault="00B55B71" w:rsidP="002E3CBA">
            <w:pPr>
              <w:pStyle w:val="Normal-pool"/>
              <w:keepNext/>
              <w:keepLines/>
              <w:rPr>
                <w:sz w:val="4"/>
                <w:szCs w:val="4"/>
              </w:rPr>
            </w:pPr>
          </w:p>
        </w:tc>
      </w:tr>
    </w:tbl>
    <w:p w14:paraId="4762291C" w14:textId="77777777" w:rsidR="00B55B71" w:rsidRPr="00086A97" w:rsidRDefault="00B55B71" w:rsidP="002E3CBA">
      <w:pPr>
        <w:pStyle w:val="Normal-pool"/>
      </w:pPr>
    </w:p>
    <w:sectPr w:rsidR="00B55B71" w:rsidRPr="00086A97" w:rsidSect="009B484A">
      <w:headerReference w:type="even" r:id="rId23"/>
      <w:headerReference w:type="default" r:id="rId24"/>
      <w:footerReference w:type="even" r:id="rId25"/>
      <w:footerReference w:type="default" r:id="rId26"/>
      <w:headerReference w:type="first" r:id="rId27"/>
      <w:footerReference w:type="first" r:id="rId28"/>
      <w:footnotePr>
        <w:numRestart w:val="eachPage"/>
      </w:footnotePr>
      <w:type w:val="continuous"/>
      <w:pgSz w:w="11907" w:h="16840" w:code="9"/>
      <w:pgMar w:top="907" w:right="992" w:bottom="1418" w:left="1418" w:header="539" w:footer="9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BE4BE" w14:textId="77777777" w:rsidR="00E1412A" w:rsidRDefault="00E1412A">
      <w:r>
        <w:separator/>
      </w:r>
    </w:p>
  </w:endnote>
  <w:endnote w:type="continuationSeparator" w:id="0">
    <w:p w14:paraId="6F0329F8" w14:textId="77777777" w:rsidR="00E1412A" w:rsidRDefault="00E1412A">
      <w:r>
        <w:continuationSeparator/>
      </w:r>
    </w:p>
  </w:endnote>
  <w:endnote w:type="continuationNotice" w:id="1">
    <w:p w14:paraId="008AB39C" w14:textId="77777777" w:rsidR="00E1412A" w:rsidRDefault="00E14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20B0603020202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47E80" w14:textId="77777777" w:rsidR="00AA27D8" w:rsidRPr="00871224" w:rsidRDefault="00AA27D8" w:rsidP="00D4321A">
    <w:pPr>
      <w:pStyle w:val="Footer"/>
    </w:pPr>
    <w:r>
      <w:rPr>
        <w:rStyle w:val="PageNumber"/>
      </w:rPr>
      <w:fldChar w:fldCharType="begin"/>
    </w:r>
    <w:r>
      <w:rPr>
        <w:rStyle w:val="PageNumber"/>
      </w:rPr>
      <w:instrText xml:space="preserve"> PAGE </w:instrText>
    </w:r>
    <w:r>
      <w:rPr>
        <w:rStyle w:val="PageNumber"/>
      </w:rPr>
      <w:fldChar w:fldCharType="separate"/>
    </w:r>
    <w:r w:rsidR="002A5BC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C1F2B" w14:textId="77777777" w:rsidR="00AA27D8" w:rsidRPr="00871224" w:rsidRDefault="00AA27D8" w:rsidP="00D4321A">
    <w:pPr>
      <w:pStyle w:val="Footer"/>
      <w:jc w:val="right"/>
    </w:pPr>
    <w:r>
      <w:rPr>
        <w:rStyle w:val="PageNumber"/>
      </w:rPr>
      <w:fldChar w:fldCharType="begin"/>
    </w:r>
    <w:r>
      <w:rPr>
        <w:rStyle w:val="PageNumber"/>
      </w:rPr>
      <w:instrText xml:space="preserve"> PAGE </w:instrText>
    </w:r>
    <w:r>
      <w:rPr>
        <w:rStyle w:val="PageNumber"/>
      </w:rPr>
      <w:fldChar w:fldCharType="separate"/>
    </w:r>
    <w:r w:rsidR="002A5BC6">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C036" w14:textId="5AD7E8DB" w:rsidR="00AA27D8" w:rsidRPr="00A26FC9" w:rsidRDefault="00AA27D8" w:rsidP="00885760">
    <w:pPr>
      <w:pStyle w:val="Normal-pool"/>
    </w:pPr>
    <w:r w:rsidRPr="00086A97">
      <w:t>K1607293</w:t>
    </w:r>
    <w:r w:rsidRPr="00086A97">
      <w:tab/>
    </w:r>
    <w:r w:rsidR="003A7E8D">
      <w:t>0509</w:t>
    </w:r>
    <w:r w:rsidRPr="00086A97">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1DBB7" w14:textId="77777777" w:rsidR="00E1412A" w:rsidRDefault="00E1412A" w:rsidP="00152A45">
      <w:pPr>
        <w:spacing w:before="60"/>
        <w:ind w:left="624"/>
      </w:pPr>
      <w:r>
        <w:separator/>
      </w:r>
    </w:p>
  </w:footnote>
  <w:footnote w:type="continuationSeparator" w:id="0">
    <w:p w14:paraId="30151C05" w14:textId="77777777" w:rsidR="00E1412A" w:rsidRDefault="00E1412A">
      <w:r>
        <w:continuationSeparator/>
      </w:r>
    </w:p>
  </w:footnote>
  <w:footnote w:type="continuationNotice" w:id="1">
    <w:p w14:paraId="297104BA" w14:textId="77777777" w:rsidR="00E1412A" w:rsidRDefault="00E141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800A" w14:textId="645F242C" w:rsidR="00AA27D8" w:rsidRPr="00030BA0" w:rsidRDefault="00AA27D8" w:rsidP="00D4321A">
    <w:pPr>
      <w:pStyle w:val="Header"/>
      <w:rPr>
        <w:szCs w:val="18"/>
      </w:rPr>
    </w:pPr>
    <w:r w:rsidRPr="00EA260D">
      <w:rPr>
        <w:szCs w:val="18"/>
      </w:rPr>
      <w:t>UNEP/OzL.Pro.WG.1/3</w:t>
    </w:r>
    <w:r>
      <w:rPr>
        <w:szCs w:val="18"/>
      </w:rPr>
      <w:t>8</w:t>
    </w:r>
    <w:r w:rsidRPr="00EA260D">
      <w:rPr>
        <w:szCs w:val="18"/>
      </w:rPr>
      <w:t>/</w:t>
    </w:r>
    <w:r>
      <w:rPr>
        <w:szCs w:val="18"/>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99CF3" w14:textId="30FB89B9" w:rsidR="00AA27D8" w:rsidRDefault="00AA27D8" w:rsidP="00D4321A">
    <w:pPr>
      <w:pStyle w:val="Header"/>
      <w:jc w:val="right"/>
    </w:pPr>
    <w:r w:rsidRPr="009363F2">
      <w:t>UNEP/OzL.Pro</w:t>
    </w:r>
    <w:r w:rsidRPr="000B65C9">
      <w:t>.WG.1/38/</w:t>
    </w:r>
    <w: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17C3" w14:textId="3CDF3A9A" w:rsidR="00AA27D8" w:rsidRDefault="00AA27D8" w:rsidP="00D4321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320E7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81"/>
    <w:multiLevelType w:val="singleLevel"/>
    <w:tmpl w:val="3FD05A68"/>
    <w:lvl w:ilvl="0">
      <w:start w:val="1"/>
      <w:numFmt w:val="bullet"/>
      <w:lvlText w:val=""/>
      <w:lvlJc w:val="left"/>
      <w:pPr>
        <w:tabs>
          <w:tab w:val="num" w:pos="1209"/>
        </w:tabs>
        <w:ind w:left="1209" w:hanging="360"/>
      </w:pPr>
      <w:rPr>
        <w:rFonts w:ascii="Symbol" w:hAnsi="Symbol" w:hint="default"/>
      </w:rPr>
    </w:lvl>
  </w:abstractNum>
  <w:abstractNum w:abstractNumId="2">
    <w:nsid w:val="171113A7"/>
    <w:multiLevelType w:val="multilevel"/>
    <w:tmpl w:val="48241D10"/>
    <w:numStyleLink w:val="Normallist"/>
  </w:abstractNum>
  <w:abstractNum w:abstractNumId="3">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4">
    <w:nsid w:val="21C1127A"/>
    <w:multiLevelType w:val="hybridMultilevel"/>
    <w:tmpl w:val="18CED8B2"/>
    <w:lvl w:ilvl="0" w:tplc="7E6677A2">
      <w:start w:val="1"/>
      <w:numFmt w:val="upperLetter"/>
      <w:lvlText w:val="%1."/>
      <w:lvlJc w:val="left"/>
      <w:pPr>
        <w:ind w:left="1240" w:hanging="62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5">
    <w:nsid w:val="23DA0FE5"/>
    <w:multiLevelType w:val="hybridMultilevel"/>
    <w:tmpl w:val="7D0E14D4"/>
    <w:lvl w:ilvl="0" w:tplc="27B6F94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E429F4"/>
    <w:multiLevelType w:val="hybridMultilevel"/>
    <w:tmpl w:val="1C764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60D7A"/>
    <w:multiLevelType w:val="hybridMultilevel"/>
    <w:tmpl w:val="19460EF8"/>
    <w:lvl w:ilvl="0" w:tplc="37A89052">
      <w:start w:val="1"/>
      <w:numFmt w:val="lowerLetter"/>
      <w:lvlText w:val="(%1)"/>
      <w:lvlJc w:val="left"/>
      <w:pPr>
        <w:ind w:left="3116" w:hanging="1245"/>
      </w:pPr>
      <w:rPr>
        <w:rFonts w:hint="default"/>
      </w:rPr>
    </w:lvl>
    <w:lvl w:ilvl="1" w:tplc="04090019" w:tentative="1">
      <w:start w:val="1"/>
      <w:numFmt w:val="lowerLetter"/>
      <w:lvlText w:val="%2)"/>
      <w:lvlJc w:val="left"/>
      <w:pPr>
        <w:ind w:left="2711" w:hanging="420"/>
      </w:pPr>
    </w:lvl>
    <w:lvl w:ilvl="2" w:tplc="0409001B" w:tentative="1">
      <w:start w:val="1"/>
      <w:numFmt w:val="lowerRoman"/>
      <w:lvlText w:val="%3."/>
      <w:lvlJc w:val="right"/>
      <w:pPr>
        <w:ind w:left="3131" w:hanging="420"/>
      </w:pPr>
    </w:lvl>
    <w:lvl w:ilvl="3" w:tplc="0409000F" w:tentative="1">
      <w:start w:val="1"/>
      <w:numFmt w:val="decimal"/>
      <w:lvlText w:val="%4."/>
      <w:lvlJc w:val="left"/>
      <w:pPr>
        <w:ind w:left="3551" w:hanging="420"/>
      </w:pPr>
    </w:lvl>
    <w:lvl w:ilvl="4" w:tplc="04090019" w:tentative="1">
      <w:start w:val="1"/>
      <w:numFmt w:val="lowerLetter"/>
      <w:lvlText w:val="%5)"/>
      <w:lvlJc w:val="left"/>
      <w:pPr>
        <w:ind w:left="3971" w:hanging="420"/>
      </w:pPr>
    </w:lvl>
    <w:lvl w:ilvl="5" w:tplc="0409001B" w:tentative="1">
      <w:start w:val="1"/>
      <w:numFmt w:val="lowerRoman"/>
      <w:lvlText w:val="%6."/>
      <w:lvlJc w:val="right"/>
      <w:pPr>
        <w:ind w:left="4391" w:hanging="420"/>
      </w:pPr>
    </w:lvl>
    <w:lvl w:ilvl="6" w:tplc="0409000F" w:tentative="1">
      <w:start w:val="1"/>
      <w:numFmt w:val="decimal"/>
      <w:lvlText w:val="%7."/>
      <w:lvlJc w:val="left"/>
      <w:pPr>
        <w:ind w:left="4811" w:hanging="420"/>
      </w:pPr>
    </w:lvl>
    <w:lvl w:ilvl="7" w:tplc="04090019" w:tentative="1">
      <w:start w:val="1"/>
      <w:numFmt w:val="lowerLetter"/>
      <w:lvlText w:val="%8)"/>
      <w:lvlJc w:val="left"/>
      <w:pPr>
        <w:ind w:left="5231" w:hanging="420"/>
      </w:pPr>
    </w:lvl>
    <w:lvl w:ilvl="8" w:tplc="0409001B" w:tentative="1">
      <w:start w:val="1"/>
      <w:numFmt w:val="lowerRoman"/>
      <w:lvlText w:val="%9."/>
      <w:lvlJc w:val="right"/>
      <w:pPr>
        <w:ind w:left="5651" w:hanging="420"/>
      </w:pPr>
    </w:lvl>
  </w:abstractNum>
  <w:abstractNum w:abstractNumId="8">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9">
    <w:nsid w:val="47380541"/>
    <w:multiLevelType w:val="hybridMultilevel"/>
    <w:tmpl w:val="9EB290E4"/>
    <w:lvl w:ilvl="0" w:tplc="B150C7D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A66A9D"/>
    <w:multiLevelType w:val="multilevel"/>
    <w:tmpl w:val="48241D1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1">
    <w:nsid w:val="56205328"/>
    <w:multiLevelType w:val="multilevel"/>
    <w:tmpl w:val="48241D1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2">
    <w:nsid w:val="5760470A"/>
    <w:multiLevelType w:val="hybridMultilevel"/>
    <w:tmpl w:val="19460EF8"/>
    <w:lvl w:ilvl="0" w:tplc="37A89052">
      <w:start w:val="1"/>
      <w:numFmt w:val="lowerLetter"/>
      <w:lvlText w:val="(%1)"/>
      <w:lvlJc w:val="left"/>
      <w:pPr>
        <w:ind w:left="3116" w:hanging="1245"/>
      </w:pPr>
      <w:rPr>
        <w:rFonts w:hint="default"/>
      </w:rPr>
    </w:lvl>
    <w:lvl w:ilvl="1" w:tplc="04090019" w:tentative="1">
      <w:start w:val="1"/>
      <w:numFmt w:val="lowerLetter"/>
      <w:lvlText w:val="%2)"/>
      <w:lvlJc w:val="left"/>
      <w:pPr>
        <w:ind w:left="2711" w:hanging="420"/>
      </w:pPr>
    </w:lvl>
    <w:lvl w:ilvl="2" w:tplc="0409001B" w:tentative="1">
      <w:start w:val="1"/>
      <w:numFmt w:val="lowerRoman"/>
      <w:lvlText w:val="%3."/>
      <w:lvlJc w:val="right"/>
      <w:pPr>
        <w:ind w:left="3131" w:hanging="420"/>
      </w:pPr>
    </w:lvl>
    <w:lvl w:ilvl="3" w:tplc="0409000F" w:tentative="1">
      <w:start w:val="1"/>
      <w:numFmt w:val="decimal"/>
      <w:lvlText w:val="%4."/>
      <w:lvlJc w:val="left"/>
      <w:pPr>
        <w:ind w:left="3551" w:hanging="420"/>
      </w:pPr>
    </w:lvl>
    <w:lvl w:ilvl="4" w:tplc="04090019" w:tentative="1">
      <w:start w:val="1"/>
      <w:numFmt w:val="lowerLetter"/>
      <w:lvlText w:val="%5)"/>
      <w:lvlJc w:val="left"/>
      <w:pPr>
        <w:ind w:left="3971" w:hanging="420"/>
      </w:pPr>
    </w:lvl>
    <w:lvl w:ilvl="5" w:tplc="0409001B" w:tentative="1">
      <w:start w:val="1"/>
      <w:numFmt w:val="lowerRoman"/>
      <w:lvlText w:val="%6."/>
      <w:lvlJc w:val="right"/>
      <w:pPr>
        <w:ind w:left="4391" w:hanging="420"/>
      </w:pPr>
    </w:lvl>
    <w:lvl w:ilvl="6" w:tplc="0409000F" w:tentative="1">
      <w:start w:val="1"/>
      <w:numFmt w:val="decimal"/>
      <w:lvlText w:val="%7."/>
      <w:lvlJc w:val="left"/>
      <w:pPr>
        <w:ind w:left="4811" w:hanging="420"/>
      </w:pPr>
    </w:lvl>
    <w:lvl w:ilvl="7" w:tplc="04090019" w:tentative="1">
      <w:start w:val="1"/>
      <w:numFmt w:val="lowerLetter"/>
      <w:lvlText w:val="%8)"/>
      <w:lvlJc w:val="left"/>
      <w:pPr>
        <w:ind w:left="5231" w:hanging="420"/>
      </w:pPr>
    </w:lvl>
    <w:lvl w:ilvl="8" w:tplc="0409001B" w:tentative="1">
      <w:start w:val="1"/>
      <w:numFmt w:val="lowerRoman"/>
      <w:lvlText w:val="%9."/>
      <w:lvlJc w:val="right"/>
      <w:pPr>
        <w:ind w:left="5651" w:hanging="420"/>
      </w:pPr>
    </w:lvl>
  </w:abstractNum>
  <w:abstractNum w:abstractNumId="13">
    <w:nsid w:val="67D63837"/>
    <w:multiLevelType w:val="hybridMultilevel"/>
    <w:tmpl w:val="5D841338"/>
    <w:lvl w:ilvl="0" w:tplc="159C689A">
      <w:start w:val="1"/>
      <w:numFmt w:val="decimal"/>
      <w:pStyle w:val="Normalnumber"/>
      <w:lvlText w:val="%1."/>
      <w:lvlJc w:val="left"/>
      <w:pPr>
        <w:ind w:left="1967" w:hanging="360"/>
      </w:pPr>
    </w:lvl>
    <w:lvl w:ilvl="1" w:tplc="BC2ECB8C">
      <w:start w:val="1"/>
      <w:numFmt w:val="lowerLetter"/>
      <w:lvlText w:val="(%2)"/>
      <w:lvlJc w:val="left"/>
      <w:pPr>
        <w:ind w:left="2687" w:hanging="360"/>
      </w:pPr>
      <w:rPr>
        <w:rFonts w:ascii="Times New Roman" w:eastAsia="Times New Roman" w:hAnsi="Times New Roman" w:cs="Times New Roman"/>
      </w:r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4">
    <w:nsid w:val="6BA55AEC"/>
    <w:multiLevelType w:val="multilevel"/>
    <w:tmpl w:val="130CEFD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Letter"/>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5">
    <w:nsid w:val="7DCA74CF"/>
    <w:multiLevelType w:val="multilevel"/>
    <w:tmpl w:val="E4483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8"/>
  </w:num>
  <w:num w:numId="3">
    <w:abstractNumId w:val="10"/>
  </w:num>
  <w:num w:numId="4">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5">
    <w:abstractNumId w:val="0"/>
  </w:num>
  <w:num w:numId="6">
    <w:abstractNumId w:val="4"/>
  </w:num>
  <w:num w:numId="7">
    <w:abstractNumId w:val="14"/>
  </w:num>
  <w:num w:numId="8">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9">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0">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1">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2">
    <w:abstractNumId w:val="1"/>
  </w:num>
  <w:num w:numId="13">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4">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5">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6">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7">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8">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9">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0">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21">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2">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23">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4">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25">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6">
    <w:abstractNumId w:val="15"/>
  </w:num>
  <w:num w:numId="27">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8">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29">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0">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1">
    <w:abstractNumId w:val="2"/>
    <w:lvlOverride w:ilvl="0">
      <w:startOverride w:val="1"/>
      <w:lvl w:ilvl="0">
        <w:start w:val="1"/>
        <w:numFmt w:val="decimal"/>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32">
    <w:abstractNumId w:val="2"/>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3">
    <w:abstractNumId w:val="9"/>
  </w:num>
  <w:num w:numId="34">
    <w:abstractNumId w:val="6"/>
  </w:num>
  <w:num w:numId="35">
    <w:abstractNumId w:val="2"/>
  </w:num>
  <w:num w:numId="36">
    <w:abstractNumId w:val="11"/>
  </w:num>
  <w:num w:numId="37">
    <w:abstractNumId w:val="5"/>
  </w:num>
  <w:num w:numId="38">
    <w:abstractNumId w:val="7"/>
  </w:num>
  <w:num w:numId="39">
    <w:abstractNumId w:val="12"/>
  </w:num>
  <w:num w:numId="40">
    <w:abstractNumId w:val="13"/>
  </w:num>
  <w:num w:numId="41">
    <w:abstractNumId w:val="13"/>
    <w:lvlOverride w:ilvl="0">
      <w:startOverride w:val="1"/>
    </w:lvlOverride>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num>
  <w:num w:numId="63">
    <w:abstractNumId w:val="13"/>
  </w:num>
  <w:num w:numId="64">
    <w:abstractNumId w:val="13"/>
  </w:num>
  <w:num w:numId="65">
    <w:abstractNumId w:val="13"/>
    <w:lvlOverride w:ilvl="0">
      <w:startOverride w:val="1"/>
    </w:lvlOverride>
  </w:num>
  <w:num w:numId="66">
    <w:abstractNumId w:val="13"/>
    <w:lvlOverride w:ilvl="0">
      <w:startOverride w:val="1"/>
    </w:lvlOverride>
  </w:num>
  <w:num w:numId="67">
    <w:abstractNumId w:val="13"/>
    <w:lvlOverride w:ilvl="0">
      <w:startOverride w:val="1"/>
    </w:lvlOverride>
  </w:num>
  <w:num w:numId="68">
    <w:abstractNumId w:val="13"/>
  </w:num>
  <w:num w:numId="69">
    <w:abstractNumId w:val="13"/>
  </w:num>
  <w:num w:numId="70">
    <w:abstractNumId w:val="13"/>
    <w:lvlOverride w:ilvl="0">
      <w:startOverride w:val="1"/>
    </w:lvlOverride>
  </w:num>
  <w:num w:numId="71">
    <w:abstractNumId w:val="13"/>
  </w:num>
  <w:num w:numId="72">
    <w:abstractNumId w:val="13"/>
  </w:num>
  <w:num w:numId="73">
    <w:abstractNumId w:val="13"/>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3"/>
  </w:num>
  <w:num w:numId="93">
    <w:abstractNumId w:val="13"/>
  </w:num>
  <w:num w:numId="94">
    <w:abstractNumId w:val="13"/>
  </w:num>
  <w:num w:numId="95">
    <w:abstractNumId w:val="13"/>
  </w:num>
  <w:num w:numId="96">
    <w:abstractNumId w:val="13"/>
  </w:num>
  <w:num w:numId="97">
    <w:abstractNumId w:val="13"/>
  </w:num>
  <w:num w:numId="98">
    <w:abstractNumId w:val="13"/>
  </w:num>
  <w:num w:numId="99">
    <w:abstractNumId w:val="13"/>
  </w:num>
  <w:num w:numId="100">
    <w:abstractNumId w:val="13"/>
  </w:num>
  <w:num w:numId="101">
    <w:abstractNumId w:val="13"/>
  </w:num>
  <w:num w:numId="102">
    <w:abstractNumId w:val="13"/>
  </w:num>
  <w:num w:numId="103">
    <w:abstractNumId w:val="13"/>
  </w:num>
  <w:num w:numId="104">
    <w:abstractNumId w:val="13"/>
  </w:num>
  <w:num w:numId="105">
    <w:abstractNumId w:val="13"/>
  </w:num>
  <w:num w:numId="106">
    <w:abstractNumId w:val="13"/>
  </w:num>
  <w:num w:numId="107">
    <w:abstractNumId w:val="13"/>
  </w:num>
  <w:num w:numId="108">
    <w:abstractNumId w:val="13"/>
  </w:num>
  <w:num w:numId="109">
    <w:abstractNumId w:val="13"/>
  </w:num>
  <w:num w:numId="110">
    <w:abstractNumId w:val="13"/>
  </w:num>
  <w:num w:numId="111">
    <w:abstractNumId w:val="13"/>
  </w:num>
  <w:num w:numId="112">
    <w:abstractNumId w:val="13"/>
  </w:num>
  <w:num w:numId="113">
    <w:abstractNumId w:val="13"/>
  </w:num>
  <w:num w:numId="114">
    <w:abstractNumId w:val="13"/>
  </w:num>
  <w:num w:numId="115">
    <w:abstractNumId w:val="13"/>
  </w:num>
  <w:num w:numId="116">
    <w:abstractNumId w:val="13"/>
  </w:num>
  <w:num w:numId="117">
    <w:abstractNumId w:val="13"/>
  </w:num>
  <w:num w:numId="118">
    <w:abstractNumId w:val="13"/>
  </w:num>
  <w:num w:numId="119">
    <w:abstractNumId w:val="13"/>
  </w:num>
  <w:num w:numId="120">
    <w:abstractNumId w:val="13"/>
  </w:num>
  <w:num w:numId="121">
    <w:abstractNumId w:val="13"/>
  </w:num>
  <w:num w:numId="122">
    <w:abstractNumId w:val="13"/>
  </w:num>
  <w:num w:numId="123">
    <w:abstractNumId w:val="13"/>
  </w:num>
  <w:num w:numId="124">
    <w:abstractNumId w:val="13"/>
  </w:num>
  <w:num w:numId="125">
    <w:abstractNumId w:val="13"/>
  </w:num>
  <w:num w:numId="126">
    <w:abstractNumId w:val="13"/>
  </w:num>
  <w:num w:numId="127">
    <w:abstractNumId w:val="13"/>
  </w:num>
  <w:num w:numId="128">
    <w:abstractNumId w:val="13"/>
  </w:num>
  <w:num w:numId="129">
    <w:abstractNumId w:val="13"/>
  </w:num>
  <w:num w:numId="130">
    <w:abstractNumId w:val="13"/>
  </w:num>
  <w:num w:numId="131">
    <w:abstractNumId w:val="13"/>
  </w:num>
  <w:num w:numId="132">
    <w:abstractNumId w:val="13"/>
  </w:num>
  <w:num w:numId="133">
    <w:abstractNumId w:val="13"/>
  </w:num>
  <w:num w:numId="134">
    <w:abstractNumId w:val="13"/>
  </w:num>
  <w:num w:numId="135">
    <w:abstractNumId w:val="13"/>
  </w:num>
  <w:num w:numId="136">
    <w:abstractNumId w:val="13"/>
  </w:num>
  <w:num w:numId="137">
    <w:abstractNumId w:val="13"/>
  </w:num>
  <w:num w:numId="138">
    <w:abstractNumId w:val="13"/>
  </w:num>
  <w:num w:numId="139">
    <w:abstractNumId w:val="13"/>
  </w:num>
  <w:num w:numId="140">
    <w:abstractNumId w:val="13"/>
  </w:num>
  <w:num w:numId="141">
    <w:abstractNumId w:val="13"/>
  </w:num>
  <w:num w:numId="142">
    <w:abstractNumId w:val="13"/>
  </w:num>
  <w:num w:numId="143">
    <w:abstractNumId w:val="13"/>
  </w:num>
  <w:num w:numId="144">
    <w:abstractNumId w:val="13"/>
  </w:num>
  <w:num w:numId="145">
    <w:abstractNumId w:val="13"/>
  </w:num>
  <w:num w:numId="146">
    <w:abstractNumId w:val="13"/>
  </w:num>
  <w:num w:numId="147">
    <w:abstractNumId w:val="13"/>
  </w:num>
  <w:num w:numId="148">
    <w:abstractNumId w:val="13"/>
  </w:num>
  <w:num w:numId="149">
    <w:abstractNumId w:val="13"/>
  </w:num>
  <w:num w:numId="150">
    <w:abstractNumId w:val="13"/>
  </w:num>
  <w:num w:numId="151">
    <w:abstractNumId w:val="13"/>
  </w:num>
  <w:num w:numId="152">
    <w:abstractNumId w:val="13"/>
  </w:num>
  <w:num w:numId="153">
    <w:abstractNumId w:val="13"/>
  </w:num>
  <w:num w:numId="154">
    <w:abstractNumId w:val="13"/>
  </w:num>
  <w:num w:numId="155">
    <w:abstractNumId w:val="13"/>
  </w:num>
  <w:num w:numId="156">
    <w:abstractNumId w:val="13"/>
  </w:num>
  <w:num w:numId="157">
    <w:abstractNumId w:val="13"/>
  </w:num>
  <w:num w:numId="158">
    <w:abstractNumId w:val="13"/>
  </w:num>
  <w:num w:numId="159">
    <w:abstractNumId w:val="13"/>
  </w:num>
  <w:num w:numId="160">
    <w:abstractNumId w:val="13"/>
  </w:num>
  <w:num w:numId="161">
    <w:abstractNumId w:val="13"/>
  </w:num>
  <w:num w:numId="162">
    <w:abstractNumId w:val="13"/>
  </w:num>
  <w:num w:numId="163">
    <w:abstractNumId w:val="13"/>
  </w:num>
  <w:num w:numId="164">
    <w:abstractNumId w:val="13"/>
  </w:num>
  <w:num w:numId="165">
    <w:abstractNumId w:val="13"/>
  </w:num>
  <w:num w:numId="166">
    <w:abstractNumId w:val="13"/>
  </w:num>
  <w:num w:numId="167">
    <w:abstractNumId w:val="13"/>
  </w:num>
  <w:num w:numId="168">
    <w:abstractNumId w:val="13"/>
  </w:num>
  <w:num w:numId="169">
    <w:abstractNumId w:val="13"/>
  </w:num>
  <w:num w:numId="170">
    <w:abstractNumId w:val="13"/>
  </w:num>
  <w:num w:numId="171">
    <w:abstractNumId w:val="13"/>
  </w:num>
  <w:num w:numId="172">
    <w:abstractNumId w:val="13"/>
  </w:num>
  <w:num w:numId="173">
    <w:abstractNumId w:val="10"/>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74">
    <w:abstractNumId w:val="1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drawingGridHorizontalSpacing w:val="171"/>
  <w:drawingGridVerticalSpacing w:val="233"/>
  <w:displayHorizontalDrawingGridEvery w:val="0"/>
  <w:noPunctuationKerning/>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2B"/>
    <w:rsid w:val="00007C2E"/>
    <w:rsid w:val="000101AF"/>
    <w:rsid w:val="00011556"/>
    <w:rsid w:val="00015836"/>
    <w:rsid w:val="00015A5E"/>
    <w:rsid w:val="0002123B"/>
    <w:rsid w:val="00021251"/>
    <w:rsid w:val="0002610F"/>
    <w:rsid w:val="000264D8"/>
    <w:rsid w:val="0002782B"/>
    <w:rsid w:val="00030B5B"/>
    <w:rsid w:val="00032458"/>
    <w:rsid w:val="00032AE0"/>
    <w:rsid w:val="000345B6"/>
    <w:rsid w:val="00036964"/>
    <w:rsid w:val="00041233"/>
    <w:rsid w:val="00042CCE"/>
    <w:rsid w:val="00044627"/>
    <w:rsid w:val="00045119"/>
    <w:rsid w:val="00046218"/>
    <w:rsid w:val="0004744A"/>
    <w:rsid w:val="000516F6"/>
    <w:rsid w:val="0005509B"/>
    <w:rsid w:val="000558C9"/>
    <w:rsid w:val="00060476"/>
    <w:rsid w:val="00062408"/>
    <w:rsid w:val="0006257D"/>
    <w:rsid w:val="00062A83"/>
    <w:rsid w:val="0006314E"/>
    <w:rsid w:val="00065F9D"/>
    <w:rsid w:val="000664B6"/>
    <w:rsid w:val="00067295"/>
    <w:rsid w:val="00067461"/>
    <w:rsid w:val="00073D1D"/>
    <w:rsid w:val="000744A4"/>
    <w:rsid w:val="000746C0"/>
    <w:rsid w:val="000749D8"/>
    <w:rsid w:val="00076324"/>
    <w:rsid w:val="00077946"/>
    <w:rsid w:val="00077A75"/>
    <w:rsid w:val="0008029C"/>
    <w:rsid w:val="00081C3F"/>
    <w:rsid w:val="00082AA6"/>
    <w:rsid w:val="00082C90"/>
    <w:rsid w:val="0008419E"/>
    <w:rsid w:val="0008452E"/>
    <w:rsid w:val="000848CA"/>
    <w:rsid w:val="00084D08"/>
    <w:rsid w:val="00086A97"/>
    <w:rsid w:val="000876AE"/>
    <w:rsid w:val="0009026F"/>
    <w:rsid w:val="00092741"/>
    <w:rsid w:val="000A2191"/>
    <w:rsid w:val="000A2D4B"/>
    <w:rsid w:val="000A5F67"/>
    <w:rsid w:val="000A6ED3"/>
    <w:rsid w:val="000A7865"/>
    <w:rsid w:val="000A7C31"/>
    <w:rsid w:val="000B1D98"/>
    <w:rsid w:val="000B2075"/>
    <w:rsid w:val="000B2EAB"/>
    <w:rsid w:val="000B3DD7"/>
    <w:rsid w:val="000B53D0"/>
    <w:rsid w:val="000B65C9"/>
    <w:rsid w:val="000B74B9"/>
    <w:rsid w:val="000C031B"/>
    <w:rsid w:val="000C0C72"/>
    <w:rsid w:val="000C0F82"/>
    <w:rsid w:val="000C356F"/>
    <w:rsid w:val="000C4B93"/>
    <w:rsid w:val="000C6B64"/>
    <w:rsid w:val="000D068B"/>
    <w:rsid w:val="000D2ECB"/>
    <w:rsid w:val="000E05F3"/>
    <w:rsid w:val="000E15A2"/>
    <w:rsid w:val="000E19F1"/>
    <w:rsid w:val="000E3E62"/>
    <w:rsid w:val="000E5B52"/>
    <w:rsid w:val="000E6647"/>
    <w:rsid w:val="000E67B2"/>
    <w:rsid w:val="000F0F33"/>
    <w:rsid w:val="000F1857"/>
    <w:rsid w:val="000F30F5"/>
    <w:rsid w:val="000F363F"/>
    <w:rsid w:val="000F4240"/>
    <w:rsid w:val="000F56DB"/>
    <w:rsid w:val="000F6C69"/>
    <w:rsid w:val="000F7CD6"/>
    <w:rsid w:val="0010069A"/>
    <w:rsid w:val="00100DA4"/>
    <w:rsid w:val="001015B9"/>
    <w:rsid w:val="001054C9"/>
    <w:rsid w:val="00105528"/>
    <w:rsid w:val="00110333"/>
    <w:rsid w:val="00111467"/>
    <w:rsid w:val="00111790"/>
    <w:rsid w:val="001130AD"/>
    <w:rsid w:val="00116C0B"/>
    <w:rsid w:val="00124841"/>
    <w:rsid w:val="001265E1"/>
    <w:rsid w:val="0013233D"/>
    <w:rsid w:val="00132A36"/>
    <w:rsid w:val="00134B73"/>
    <w:rsid w:val="001418C0"/>
    <w:rsid w:val="00142FE8"/>
    <w:rsid w:val="00144068"/>
    <w:rsid w:val="001442F0"/>
    <w:rsid w:val="001459BE"/>
    <w:rsid w:val="00145D54"/>
    <w:rsid w:val="0015096F"/>
    <w:rsid w:val="00152A45"/>
    <w:rsid w:val="001560A7"/>
    <w:rsid w:val="00156357"/>
    <w:rsid w:val="00164D07"/>
    <w:rsid w:val="001716B3"/>
    <w:rsid w:val="001726A7"/>
    <w:rsid w:val="00173343"/>
    <w:rsid w:val="00174217"/>
    <w:rsid w:val="00184CC5"/>
    <w:rsid w:val="00186E4A"/>
    <w:rsid w:val="001928F1"/>
    <w:rsid w:val="00192D4E"/>
    <w:rsid w:val="001952E1"/>
    <w:rsid w:val="00197BEA"/>
    <w:rsid w:val="001A1ED6"/>
    <w:rsid w:val="001A28E7"/>
    <w:rsid w:val="001A2902"/>
    <w:rsid w:val="001A2AD5"/>
    <w:rsid w:val="001A5C3A"/>
    <w:rsid w:val="001B2D14"/>
    <w:rsid w:val="001B377C"/>
    <w:rsid w:val="001B3C77"/>
    <w:rsid w:val="001B62CC"/>
    <w:rsid w:val="001B6D0F"/>
    <w:rsid w:val="001C1332"/>
    <w:rsid w:val="001C2403"/>
    <w:rsid w:val="001C2F0B"/>
    <w:rsid w:val="001C2F80"/>
    <w:rsid w:val="001C4242"/>
    <w:rsid w:val="001C4AD0"/>
    <w:rsid w:val="001C5E3E"/>
    <w:rsid w:val="001D4469"/>
    <w:rsid w:val="001D666A"/>
    <w:rsid w:val="001D6E04"/>
    <w:rsid w:val="001D75FD"/>
    <w:rsid w:val="001E14D9"/>
    <w:rsid w:val="001E1636"/>
    <w:rsid w:val="001E259B"/>
    <w:rsid w:val="001E3ABD"/>
    <w:rsid w:val="001E465B"/>
    <w:rsid w:val="001F1182"/>
    <w:rsid w:val="001F1882"/>
    <w:rsid w:val="001F417C"/>
    <w:rsid w:val="0020385C"/>
    <w:rsid w:val="00206F94"/>
    <w:rsid w:val="0021396D"/>
    <w:rsid w:val="0021472C"/>
    <w:rsid w:val="002268D9"/>
    <w:rsid w:val="00227705"/>
    <w:rsid w:val="00231AEC"/>
    <w:rsid w:val="00231E7A"/>
    <w:rsid w:val="0023213D"/>
    <w:rsid w:val="00233DE1"/>
    <w:rsid w:val="0023635E"/>
    <w:rsid w:val="00237251"/>
    <w:rsid w:val="00242BC6"/>
    <w:rsid w:val="00247732"/>
    <w:rsid w:val="00247F97"/>
    <w:rsid w:val="002505D8"/>
    <w:rsid w:val="0025446A"/>
    <w:rsid w:val="00255D88"/>
    <w:rsid w:val="002617A0"/>
    <w:rsid w:val="00261F95"/>
    <w:rsid w:val="00262A2B"/>
    <w:rsid w:val="00262F84"/>
    <w:rsid w:val="00263210"/>
    <w:rsid w:val="00266D14"/>
    <w:rsid w:val="00270B01"/>
    <w:rsid w:val="00274CFE"/>
    <w:rsid w:val="00276A79"/>
    <w:rsid w:val="00284333"/>
    <w:rsid w:val="0029112B"/>
    <w:rsid w:val="00291E02"/>
    <w:rsid w:val="002928D6"/>
    <w:rsid w:val="00292C61"/>
    <w:rsid w:val="00292F3C"/>
    <w:rsid w:val="002A1AA2"/>
    <w:rsid w:val="002A1C3C"/>
    <w:rsid w:val="002A2806"/>
    <w:rsid w:val="002A488F"/>
    <w:rsid w:val="002A55FF"/>
    <w:rsid w:val="002A5BC6"/>
    <w:rsid w:val="002A6A37"/>
    <w:rsid w:val="002A6F7C"/>
    <w:rsid w:val="002B06B9"/>
    <w:rsid w:val="002B0F5D"/>
    <w:rsid w:val="002B330E"/>
    <w:rsid w:val="002B44A0"/>
    <w:rsid w:val="002B4F61"/>
    <w:rsid w:val="002B631B"/>
    <w:rsid w:val="002B665F"/>
    <w:rsid w:val="002C07C8"/>
    <w:rsid w:val="002C4907"/>
    <w:rsid w:val="002C4C57"/>
    <w:rsid w:val="002C4FC1"/>
    <w:rsid w:val="002C505E"/>
    <w:rsid w:val="002C7C03"/>
    <w:rsid w:val="002D0683"/>
    <w:rsid w:val="002D1CD1"/>
    <w:rsid w:val="002D3A87"/>
    <w:rsid w:val="002D42F2"/>
    <w:rsid w:val="002D451D"/>
    <w:rsid w:val="002D6DF5"/>
    <w:rsid w:val="002E12D3"/>
    <w:rsid w:val="002E1B3A"/>
    <w:rsid w:val="002E2867"/>
    <w:rsid w:val="002E3CBA"/>
    <w:rsid w:val="002E41B0"/>
    <w:rsid w:val="002E5558"/>
    <w:rsid w:val="002E734F"/>
    <w:rsid w:val="002F113D"/>
    <w:rsid w:val="002F1C2F"/>
    <w:rsid w:val="002F40DC"/>
    <w:rsid w:val="002F5947"/>
    <w:rsid w:val="0030066E"/>
    <w:rsid w:val="00305747"/>
    <w:rsid w:val="00306885"/>
    <w:rsid w:val="00307750"/>
    <w:rsid w:val="00310917"/>
    <w:rsid w:val="00320BE7"/>
    <w:rsid w:val="00321F5A"/>
    <w:rsid w:val="00323168"/>
    <w:rsid w:val="00323640"/>
    <w:rsid w:val="003250FC"/>
    <w:rsid w:val="00325C7C"/>
    <w:rsid w:val="003270C2"/>
    <w:rsid w:val="00331002"/>
    <w:rsid w:val="003318DE"/>
    <w:rsid w:val="003377B5"/>
    <w:rsid w:val="00341840"/>
    <w:rsid w:val="00342175"/>
    <w:rsid w:val="0034252A"/>
    <w:rsid w:val="003432D6"/>
    <w:rsid w:val="0034538E"/>
    <w:rsid w:val="0034640F"/>
    <w:rsid w:val="003466F1"/>
    <w:rsid w:val="003508E2"/>
    <w:rsid w:val="00351A2D"/>
    <w:rsid w:val="00353E60"/>
    <w:rsid w:val="003548F5"/>
    <w:rsid w:val="00355BA2"/>
    <w:rsid w:val="00357936"/>
    <w:rsid w:val="00357C71"/>
    <w:rsid w:val="00360F53"/>
    <w:rsid w:val="0036211E"/>
    <w:rsid w:val="00365657"/>
    <w:rsid w:val="00370087"/>
    <w:rsid w:val="00371244"/>
    <w:rsid w:val="003762DF"/>
    <w:rsid w:val="00376426"/>
    <w:rsid w:val="00377153"/>
    <w:rsid w:val="00380876"/>
    <w:rsid w:val="00381169"/>
    <w:rsid w:val="00381F02"/>
    <w:rsid w:val="00382128"/>
    <w:rsid w:val="00382B69"/>
    <w:rsid w:val="00384781"/>
    <w:rsid w:val="003872DE"/>
    <w:rsid w:val="00391069"/>
    <w:rsid w:val="00391E62"/>
    <w:rsid w:val="003930D5"/>
    <w:rsid w:val="00395721"/>
    <w:rsid w:val="00395E81"/>
    <w:rsid w:val="003A0EC0"/>
    <w:rsid w:val="003A13B2"/>
    <w:rsid w:val="003A6D2D"/>
    <w:rsid w:val="003A7E8D"/>
    <w:rsid w:val="003B1D54"/>
    <w:rsid w:val="003C03F1"/>
    <w:rsid w:val="003C0724"/>
    <w:rsid w:val="003C1C01"/>
    <w:rsid w:val="003C59A8"/>
    <w:rsid w:val="003C7646"/>
    <w:rsid w:val="003D37B0"/>
    <w:rsid w:val="003D5683"/>
    <w:rsid w:val="003D5AFE"/>
    <w:rsid w:val="003E16AD"/>
    <w:rsid w:val="003E1C6C"/>
    <w:rsid w:val="003E555E"/>
    <w:rsid w:val="003F0DEE"/>
    <w:rsid w:val="003F2175"/>
    <w:rsid w:val="003F2938"/>
    <w:rsid w:val="003F3DE1"/>
    <w:rsid w:val="003F5D77"/>
    <w:rsid w:val="003F77B8"/>
    <w:rsid w:val="004000BD"/>
    <w:rsid w:val="004011C8"/>
    <w:rsid w:val="004062FC"/>
    <w:rsid w:val="004138D2"/>
    <w:rsid w:val="00416022"/>
    <w:rsid w:val="00416315"/>
    <w:rsid w:val="00416920"/>
    <w:rsid w:val="00417071"/>
    <w:rsid w:val="00424068"/>
    <w:rsid w:val="00424463"/>
    <w:rsid w:val="004276F8"/>
    <w:rsid w:val="00430F64"/>
    <w:rsid w:val="00431033"/>
    <w:rsid w:val="00431471"/>
    <w:rsid w:val="00431A73"/>
    <w:rsid w:val="00432102"/>
    <w:rsid w:val="004325A1"/>
    <w:rsid w:val="00433BEB"/>
    <w:rsid w:val="00433CEA"/>
    <w:rsid w:val="00434CF3"/>
    <w:rsid w:val="004363CB"/>
    <w:rsid w:val="0043672C"/>
    <w:rsid w:val="00436C1C"/>
    <w:rsid w:val="00437B60"/>
    <w:rsid w:val="00440C0B"/>
    <w:rsid w:val="00440C9F"/>
    <w:rsid w:val="004414F9"/>
    <w:rsid w:val="00442148"/>
    <w:rsid w:val="004422F8"/>
    <w:rsid w:val="0044340F"/>
    <w:rsid w:val="00444F92"/>
    <w:rsid w:val="00445DEF"/>
    <w:rsid w:val="00446FD2"/>
    <w:rsid w:val="00450E22"/>
    <w:rsid w:val="00453B2A"/>
    <w:rsid w:val="00455E53"/>
    <w:rsid w:val="004565F0"/>
    <w:rsid w:val="00457111"/>
    <w:rsid w:val="00462DB5"/>
    <w:rsid w:val="004638D2"/>
    <w:rsid w:val="00463DBE"/>
    <w:rsid w:val="00472B4D"/>
    <w:rsid w:val="0047383C"/>
    <w:rsid w:val="004753A4"/>
    <w:rsid w:val="0047718C"/>
    <w:rsid w:val="00482A2B"/>
    <w:rsid w:val="00482B3D"/>
    <w:rsid w:val="004849AE"/>
    <w:rsid w:val="00486876"/>
    <w:rsid w:val="0048721D"/>
    <w:rsid w:val="004873D3"/>
    <w:rsid w:val="004904AF"/>
    <w:rsid w:val="00491F52"/>
    <w:rsid w:val="00492E0F"/>
    <w:rsid w:val="004967E1"/>
    <w:rsid w:val="00496D68"/>
    <w:rsid w:val="00497DFC"/>
    <w:rsid w:val="004A0932"/>
    <w:rsid w:val="004A0BD2"/>
    <w:rsid w:val="004A2091"/>
    <w:rsid w:val="004A40E0"/>
    <w:rsid w:val="004A4409"/>
    <w:rsid w:val="004A717C"/>
    <w:rsid w:val="004B517A"/>
    <w:rsid w:val="004B6DC6"/>
    <w:rsid w:val="004B78FF"/>
    <w:rsid w:val="004B7F60"/>
    <w:rsid w:val="004C6181"/>
    <w:rsid w:val="004C7CD9"/>
    <w:rsid w:val="004D0531"/>
    <w:rsid w:val="004D0D80"/>
    <w:rsid w:val="004D0D95"/>
    <w:rsid w:val="004D2552"/>
    <w:rsid w:val="004D25C3"/>
    <w:rsid w:val="004D4319"/>
    <w:rsid w:val="004E03A7"/>
    <w:rsid w:val="004E0578"/>
    <w:rsid w:val="004E0C76"/>
    <w:rsid w:val="004E448E"/>
    <w:rsid w:val="004E698D"/>
    <w:rsid w:val="004E6C02"/>
    <w:rsid w:val="004F08C7"/>
    <w:rsid w:val="004F0F60"/>
    <w:rsid w:val="004F2E19"/>
    <w:rsid w:val="004F3A14"/>
    <w:rsid w:val="004F5C34"/>
    <w:rsid w:val="004F787B"/>
    <w:rsid w:val="004F7B3A"/>
    <w:rsid w:val="005014AF"/>
    <w:rsid w:val="005014E0"/>
    <w:rsid w:val="00501C5B"/>
    <w:rsid w:val="005042FA"/>
    <w:rsid w:val="00506F52"/>
    <w:rsid w:val="00510090"/>
    <w:rsid w:val="00511D6B"/>
    <w:rsid w:val="005126DC"/>
    <w:rsid w:val="00512FDC"/>
    <w:rsid w:val="0052221B"/>
    <w:rsid w:val="00522897"/>
    <w:rsid w:val="00525D7B"/>
    <w:rsid w:val="005277BE"/>
    <w:rsid w:val="00527E9A"/>
    <w:rsid w:val="00532564"/>
    <w:rsid w:val="00537111"/>
    <w:rsid w:val="0053728D"/>
    <w:rsid w:val="00544462"/>
    <w:rsid w:val="00544B1F"/>
    <w:rsid w:val="005462D3"/>
    <w:rsid w:val="00550A4A"/>
    <w:rsid w:val="00550F6F"/>
    <w:rsid w:val="00551EA7"/>
    <w:rsid w:val="0055269A"/>
    <w:rsid w:val="005538BE"/>
    <w:rsid w:val="00553E73"/>
    <w:rsid w:val="00553EB2"/>
    <w:rsid w:val="005555DD"/>
    <w:rsid w:val="00563F16"/>
    <w:rsid w:val="00564586"/>
    <w:rsid w:val="00567DAB"/>
    <w:rsid w:val="005704AE"/>
    <w:rsid w:val="005704C6"/>
    <w:rsid w:val="00577ED4"/>
    <w:rsid w:val="0058069D"/>
    <w:rsid w:val="00584899"/>
    <w:rsid w:val="005879CD"/>
    <w:rsid w:val="005959A9"/>
    <w:rsid w:val="005964E0"/>
    <w:rsid w:val="00596688"/>
    <w:rsid w:val="005A02E5"/>
    <w:rsid w:val="005A160C"/>
    <w:rsid w:val="005A2AF6"/>
    <w:rsid w:val="005A42D0"/>
    <w:rsid w:val="005A5638"/>
    <w:rsid w:val="005A5641"/>
    <w:rsid w:val="005A62F9"/>
    <w:rsid w:val="005A6CDD"/>
    <w:rsid w:val="005A7917"/>
    <w:rsid w:val="005B02F1"/>
    <w:rsid w:val="005B14C8"/>
    <w:rsid w:val="005B2141"/>
    <w:rsid w:val="005B28C9"/>
    <w:rsid w:val="005B3C88"/>
    <w:rsid w:val="005B437A"/>
    <w:rsid w:val="005B6A2A"/>
    <w:rsid w:val="005B7188"/>
    <w:rsid w:val="005B7404"/>
    <w:rsid w:val="005C011E"/>
    <w:rsid w:val="005C1F61"/>
    <w:rsid w:val="005C78AE"/>
    <w:rsid w:val="005C7F89"/>
    <w:rsid w:val="005D16BB"/>
    <w:rsid w:val="005D3CCD"/>
    <w:rsid w:val="005D7CD4"/>
    <w:rsid w:val="005E14E7"/>
    <w:rsid w:val="005E25AA"/>
    <w:rsid w:val="005E3A93"/>
    <w:rsid w:val="005E4302"/>
    <w:rsid w:val="005E4F50"/>
    <w:rsid w:val="005E5440"/>
    <w:rsid w:val="005E63F2"/>
    <w:rsid w:val="005E651D"/>
    <w:rsid w:val="005E7400"/>
    <w:rsid w:val="005F0098"/>
    <w:rsid w:val="005F01E3"/>
    <w:rsid w:val="005F1F55"/>
    <w:rsid w:val="005F4ACE"/>
    <w:rsid w:val="005F5508"/>
    <w:rsid w:val="005F6D09"/>
    <w:rsid w:val="005F6FD4"/>
    <w:rsid w:val="006017D5"/>
    <w:rsid w:val="006019C2"/>
    <w:rsid w:val="0060375E"/>
    <w:rsid w:val="0060396B"/>
    <w:rsid w:val="00606B2A"/>
    <w:rsid w:val="00610481"/>
    <w:rsid w:val="00611CA5"/>
    <w:rsid w:val="006121AE"/>
    <w:rsid w:val="00612F31"/>
    <w:rsid w:val="00614821"/>
    <w:rsid w:val="00614EF8"/>
    <w:rsid w:val="006158E9"/>
    <w:rsid w:val="006172DE"/>
    <w:rsid w:val="00620AC7"/>
    <w:rsid w:val="006225AC"/>
    <w:rsid w:val="006240EC"/>
    <w:rsid w:val="00624CAE"/>
    <w:rsid w:val="006260E6"/>
    <w:rsid w:val="00630E16"/>
    <w:rsid w:val="0063189E"/>
    <w:rsid w:val="00633B5E"/>
    <w:rsid w:val="006345A9"/>
    <w:rsid w:val="0063461D"/>
    <w:rsid w:val="006358A1"/>
    <w:rsid w:val="006361B0"/>
    <w:rsid w:val="00636339"/>
    <w:rsid w:val="00636E40"/>
    <w:rsid w:val="00641E6D"/>
    <w:rsid w:val="006427D8"/>
    <w:rsid w:val="00644653"/>
    <w:rsid w:val="00646BE7"/>
    <w:rsid w:val="00646F44"/>
    <w:rsid w:val="00647F32"/>
    <w:rsid w:val="00650138"/>
    <w:rsid w:val="0065183D"/>
    <w:rsid w:val="00654A6F"/>
    <w:rsid w:val="00655DE7"/>
    <w:rsid w:val="0066028B"/>
    <w:rsid w:val="00661509"/>
    <w:rsid w:val="006628AB"/>
    <w:rsid w:val="0066499D"/>
    <w:rsid w:val="00667A41"/>
    <w:rsid w:val="0067599D"/>
    <w:rsid w:val="0067654A"/>
    <w:rsid w:val="00677253"/>
    <w:rsid w:val="00677A34"/>
    <w:rsid w:val="00680EEB"/>
    <w:rsid w:val="006813C6"/>
    <w:rsid w:val="00683910"/>
    <w:rsid w:val="006843E0"/>
    <w:rsid w:val="0068571A"/>
    <w:rsid w:val="00685D2C"/>
    <w:rsid w:val="0069128E"/>
    <w:rsid w:val="006935EC"/>
    <w:rsid w:val="00693A5A"/>
    <w:rsid w:val="006971BF"/>
    <w:rsid w:val="006A0054"/>
    <w:rsid w:val="006A0D31"/>
    <w:rsid w:val="006A2253"/>
    <w:rsid w:val="006A40AE"/>
    <w:rsid w:val="006A42C2"/>
    <w:rsid w:val="006A5DC7"/>
    <w:rsid w:val="006A62D3"/>
    <w:rsid w:val="006A76A5"/>
    <w:rsid w:val="006B06A5"/>
    <w:rsid w:val="006B263A"/>
    <w:rsid w:val="006B2E05"/>
    <w:rsid w:val="006C22F1"/>
    <w:rsid w:val="006C2FB4"/>
    <w:rsid w:val="006C4454"/>
    <w:rsid w:val="006C4974"/>
    <w:rsid w:val="006C65DE"/>
    <w:rsid w:val="006C6EE8"/>
    <w:rsid w:val="006C73B1"/>
    <w:rsid w:val="006D2AE8"/>
    <w:rsid w:val="006E029F"/>
    <w:rsid w:val="006E0C69"/>
    <w:rsid w:val="006E14CE"/>
    <w:rsid w:val="006E25DA"/>
    <w:rsid w:val="006E269B"/>
    <w:rsid w:val="006E2D9D"/>
    <w:rsid w:val="006E3464"/>
    <w:rsid w:val="006E3A4C"/>
    <w:rsid w:val="006E3B72"/>
    <w:rsid w:val="006E3E4D"/>
    <w:rsid w:val="006E6C10"/>
    <w:rsid w:val="006E702B"/>
    <w:rsid w:val="006F1E01"/>
    <w:rsid w:val="006F2EF8"/>
    <w:rsid w:val="006F450B"/>
    <w:rsid w:val="006F4E6C"/>
    <w:rsid w:val="006F620D"/>
    <w:rsid w:val="006F6D3D"/>
    <w:rsid w:val="006F7035"/>
    <w:rsid w:val="006F721D"/>
    <w:rsid w:val="00701598"/>
    <w:rsid w:val="00703B2E"/>
    <w:rsid w:val="0070624E"/>
    <w:rsid w:val="00706E31"/>
    <w:rsid w:val="007101B8"/>
    <w:rsid w:val="0071082A"/>
    <w:rsid w:val="007108C9"/>
    <w:rsid w:val="00713617"/>
    <w:rsid w:val="00713DD5"/>
    <w:rsid w:val="00714B02"/>
    <w:rsid w:val="00715AED"/>
    <w:rsid w:val="00715CDC"/>
    <w:rsid w:val="007170D9"/>
    <w:rsid w:val="00720563"/>
    <w:rsid w:val="00720956"/>
    <w:rsid w:val="007212A0"/>
    <w:rsid w:val="0072664D"/>
    <w:rsid w:val="00726988"/>
    <w:rsid w:val="00730508"/>
    <w:rsid w:val="00733812"/>
    <w:rsid w:val="00734135"/>
    <w:rsid w:val="007343F2"/>
    <w:rsid w:val="007359BB"/>
    <w:rsid w:val="0073777B"/>
    <w:rsid w:val="00742D30"/>
    <w:rsid w:val="0075146F"/>
    <w:rsid w:val="007538A4"/>
    <w:rsid w:val="00754717"/>
    <w:rsid w:val="00760DDB"/>
    <w:rsid w:val="007612B2"/>
    <w:rsid w:val="00761E2B"/>
    <w:rsid w:val="00762D21"/>
    <w:rsid w:val="00762DC1"/>
    <w:rsid w:val="007642A3"/>
    <w:rsid w:val="00771536"/>
    <w:rsid w:val="007728D3"/>
    <w:rsid w:val="007737CF"/>
    <w:rsid w:val="00774A5C"/>
    <w:rsid w:val="007765DB"/>
    <w:rsid w:val="0077674A"/>
    <w:rsid w:val="00784A28"/>
    <w:rsid w:val="007872E0"/>
    <w:rsid w:val="0079008B"/>
    <w:rsid w:val="007913EA"/>
    <w:rsid w:val="007971B5"/>
    <w:rsid w:val="007974C9"/>
    <w:rsid w:val="007A0B34"/>
    <w:rsid w:val="007A13FE"/>
    <w:rsid w:val="007A2BAC"/>
    <w:rsid w:val="007A2DC1"/>
    <w:rsid w:val="007A45E9"/>
    <w:rsid w:val="007A4C7F"/>
    <w:rsid w:val="007A7CAA"/>
    <w:rsid w:val="007B0CB4"/>
    <w:rsid w:val="007B161D"/>
    <w:rsid w:val="007B3B4C"/>
    <w:rsid w:val="007B43A9"/>
    <w:rsid w:val="007B59CC"/>
    <w:rsid w:val="007B68EB"/>
    <w:rsid w:val="007C0DDE"/>
    <w:rsid w:val="007C15D7"/>
    <w:rsid w:val="007C2378"/>
    <w:rsid w:val="007C590C"/>
    <w:rsid w:val="007C5F33"/>
    <w:rsid w:val="007C72E7"/>
    <w:rsid w:val="007D1499"/>
    <w:rsid w:val="007D14EE"/>
    <w:rsid w:val="007D1B3A"/>
    <w:rsid w:val="007D598E"/>
    <w:rsid w:val="007D6730"/>
    <w:rsid w:val="007E4675"/>
    <w:rsid w:val="007E513C"/>
    <w:rsid w:val="007E72A2"/>
    <w:rsid w:val="007E7EB7"/>
    <w:rsid w:val="007F026C"/>
    <w:rsid w:val="007F3470"/>
    <w:rsid w:val="007F4CF9"/>
    <w:rsid w:val="007F7B8B"/>
    <w:rsid w:val="00800251"/>
    <w:rsid w:val="008012ED"/>
    <w:rsid w:val="00802061"/>
    <w:rsid w:val="008024B1"/>
    <w:rsid w:val="00802A53"/>
    <w:rsid w:val="00805534"/>
    <w:rsid w:val="00806338"/>
    <w:rsid w:val="00812561"/>
    <w:rsid w:val="00812AA5"/>
    <w:rsid w:val="00813C7E"/>
    <w:rsid w:val="0081546A"/>
    <w:rsid w:val="0081637F"/>
    <w:rsid w:val="00816537"/>
    <w:rsid w:val="00816DA7"/>
    <w:rsid w:val="008171E0"/>
    <w:rsid w:val="00820C60"/>
    <w:rsid w:val="00820EC7"/>
    <w:rsid w:val="008239C9"/>
    <w:rsid w:val="00823B15"/>
    <w:rsid w:val="008242DC"/>
    <w:rsid w:val="008261D9"/>
    <w:rsid w:val="00826789"/>
    <w:rsid w:val="00833B81"/>
    <w:rsid w:val="00833F57"/>
    <w:rsid w:val="00837698"/>
    <w:rsid w:val="00840136"/>
    <w:rsid w:val="00842C67"/>
    <w:rsid w:val="00845836"/>
    <w:rsid w:val="00845896"/>
    <w:rsid w:val="00853562"/>
    <w:rsid w:val="0085595A"/>
    <w:rsid w:val="00855EBB"/>
    <w:rsid w:val="00856B66"/>
    <w:rsid w:val="00857D1C"/>
    <w:rsid w:val="00862BB3"/>
    <w:rsid w:val="00864E14"/>
    <w:rsid w:val="00864FEF"/>
    <w:rsid w:val="00865268"/>
    <w:rsid w:val="008667C1"/>
    <w:rsid w:val="008676A1"/>
    <w:rsid w:val="00872AA5"/>
    <w:rsid w:val="00873B1B"/>
    <w:rsid w:val="00876A2C"/>
    <w:rsid w:val="00884284"/>
    <w:rsid w:val="008856A7"/>
    <w:rsid w:val="00885760"/>
    <w:rsid w:val="00891DA6"/>
    <w:rsid w:val="008A22A9"/>
    <w:rsid w:val="008A3249"/>
    <w:rsid w:val="008A3BAF"/>
    <w:rsid w:val="008A3BEF"/>
    <w:rsid w:val="008A41F9"/>
    <w:rsid w:val="008A57B2"/>
    <w:rsid w:val="008A5D64"/>
    <w:rsid w:val="008A6B27"/>
    <w:rsid w:val="008B481B"/>
    <w:rsid w:val="008B6722"/>
    <w:rsid w:val="008C15C5"/>
    <w:rsid w:val="008D796A"/>
    <w:rsid w:val="008D7D46"/>
    <w:rsid w:val="008E1F4F"/>
    <w:rsid w:val="008E214E"/>
    <w:rsid w:val="008E304A"/>
    <w:rsid w:val="008E3575"/>
    <w:rsid w:val="008E447F"/>
    <w:rsid w:val="008E629F"/>
    <w:rsid w:val="008E62F8"/>
    <w:rsid w:val="008E6560"/>
    <w:rsid w:val="008F1107"/>
    <w:rsid w:val="008F1F44"/>
    <w:rsid w:val="008F27B4"/>
    <w:rsid w:val="008F29C9"/>
    <w:rsid w:val="008F4B15"/>
    <w:rsid w:val="008F5E9E"/>
    <w:rsid w:val="008F6C8B"/>
    <w:rsid w:val="00900D11"/>
    <w:rsid w:val="009036C7"/>
    <w:rsid w:val="0090595B"/>
    <w:rsid w:val="00906019"/>
    <w:rsid w:val="00913C30"/>
    <w:rsid w:val="009146AE"/>
    <w:rsid w:val="009159FF"/>
    <w:rsid w:val="009170FD"/>
    <w:rsid w:val="009237C7"/>
    <w:rsid w:val="00923C3C"/>
    <w:rsid w:val="00924638"/>
    <w:rsid w:val="009246D8"/>
    <w:rsid w:val="0092772C"/>
    <w:rsid w:val="009313B1"/>
    <w:rsid w:val="00931C66"/>
    <w:rsid w:val="00931F70"/>
    <w:rsid w:val="00933259"/>
    <w:rsid w:val="009363F2"/>
    <w:rsid w:val="0093794C"/>
    <w:rsid w:val="00940B10"/>
    <w:rsid w:val="00941FBC"/>
    <w:rsid w:val="00942B4B"/>
    <w:rsid w:val="00942CDB"/>
    <w:rsid w:val="009443D5"/>
    <w:rsid w:val="00946360"/>
    <w:rsid w:val="009479C8"/>
    <w:rsid w:val="00950B6A"/>
    <w:rsid w:val="0095281B"/>
    <w:rsid w:val="00952DD9"/>
    <w:rsid w:val="0095344E"/>
    <w:rsid w:val="00953D77"/>
    <w:rsid w:val="00956866"/>
    <w:rsid w:val="00960DE3"/>
    <w:rsid w:val="00962C8B"/>
    <w:rsid w:val="0096511D"/>
    <w:rsid w:val="009661F5"/>
    <w:rsid w:val="009662D4"/>
    <w:rsid w:val="00971D5A"/>
    <w:rsid w:val="00971E0D"/>
    <w:rsid w:val="00972353"/>
    <w:rsid w:val="0097266E"/>
    <w:rsid w:val="00973AD7"/>
    <w:rsid w:val="00973DD4"/>
    <w:rsid w:val="0097559C"/>
    <w:rsid w:val="009767FF"/>
    <w:rsid w:val="00981747"/>
    <w:rsid w:val="009825BC"/>
    <w:rsid w:val="00985A96"/>
    <w:rsid w:val="00987915"/>
    <w:rsid w:val="009906DC"/>
    <w:rsid w:val="009922A4"/>
    <w:rsid w:val="00992635"/>
    <w:rsid w:val="009939E5"/>
    <w:rsid w:val="0099595A"/>
    <w:rsid w:val="00996A00"/>
    <w:rsid w:val="0099737D"/>
    <w:rsid w:val="00997CC6"/>
    <w:rsid w:val="009A09E9"/>
    <w:rsid w:val="009A0D72"/>
    <w:rsid w:val="009A0F49"/>
    <w:rsid w:val="009A2E4B"/>
    <w:rsid w:val="009A5EF6"/>
    <w:rsid w:val="009B105F"/>
    <w:rsid w:val="009B1169"/>
    <w:rsid w:val="009B484A"/>
    <w:rsid w:val="009B7DED"/>
    <w:rsid w:val="009C284D"/>
    <w:rsid w:val="009C5EB4"/>
    <w:rsid w:val="009C608F"/>
    <w:rsid w:val="009C6B6A"/>
    <w:rsid w:val="009D06B9"/>
    <w:rsid w:val="009D26FA"/>
    <w:rsid w:val="009D406B"/>
    <w:rsid w:val="009D509A"/>
    <w:rsid w:val="009D6FD8"/>
    <w:rsid w:val="009E1247"/>
    <w:rsid w:val="009E2679"/>
    <w:rsid w:val="009E269D"/>
    <w:rsid w:val="009E380D"/>
    <w:rsid w:val="009E6609"/>
    <w:rsid w:val="009E7131"/>
    <w:rsid w:val="009E72DF"/>
    <w:rsid w:val="009E7802"/>
    <w:rsid w:val="009F146B"/>
    <w:rsid w:val="009F2279"/>
    <w:rsid w:val="009F3B24"/>
    <w:rsid w:val="009F4836"/>
    <w:rsid w:val="009F4EB1"/>
    <w:rsid w:val="009F7E60"/>
    <w:rsid w:val="009F7E8F"/>
    <w:rsid w:val="00A028E3"/>
    <w:rsid w:val="00A038C7"/>
    <w:rsid w:val="00A05FB2"/>
    <w:rsid w:val="00A07460"/>
    <w:rsid w:val="00A10FB5"/>
    <w:rsid w:val="00A14356"/>
    <w:rsid w:val="00A15CB8"/>
    <w:rsid w:val="00A16DF0"/>
    <w:rsid w:val="00A17212"/>
    <w:rsid w:val="00A17EC8"/>
    <w:rsid w:val="00A211D9"/>
    <w:rsid w:val="00A216AA"/>
    <w:rsid w:val="00A26FC9"/>
    <w:rsid w:val="00A270B3"/>
    <w:rsid w:val="00A272C2"/>
    <w:rsid w:val="00A30032"/>
    <w:rsid w:val="00A30678"/>
    <w:rsid w:val="00A3113B"/>
    <w:rsid w:val="00A3170A"/>
    <w:rsid w:val="00A3375A"/>
    <w:rsid w:val="00A33CD7"/>
    <w:rsid w:val="00A35E81"/>
    <w:rsid w:val="00A36290"/>
    <w:rsid w:val="00A36A51"/>
    <w:rsid w:val="00A40140"/>
    <w:rsid w:val="00A405FB"/>
    <w:rsid w:val="00A40F09"/>
    <w:rsid w:val="00A43238"/>
    <w:rsid w:val="00A4413A"/>
    <w:rsid w:val="00A44AFF"/>
    <w:rsid w:val="00A4761B"/>
    <w:rsid w:val="00A5340A"/>
    <w:rsid w:val="00A5436F"/>
    <w:rsid w:val="00A5535E"/>
    <w:rsid w:val="00A560DD"/>
    <w:rsid w:val="00A56A32"/>
    <w:rsid w:val="00A57064"/>
    <w:rsid w:val="00A618EE"/>
    <w:rsid w:val="00A65395"/>
    <w:rsid w:val="00A70103"/>
    <w:rsid w:val="00A71737"/>
    <w:rsid w:val="00A730F6"/>
    <w:rsid w:val="00A74662"/>
    <w:rsid w:val="00A75E37"/>
    <w:rsid w:val="00A80AD3"/>
    <w:rsid w:val="00A81261"/>
    <w:rsid w:val="00A82255"/>
    <w:rsid w:val="00A847F6"/>
    <w:rsid w:val="00A9286E"/>
    <w:rsid w:val="00A93A50"/>
    <w:rsid w:val="00A93BD8"/>
    <w:rsid w:val="00A967AF"/>
    <w:rsid w:val="00AA16FD"/>
    <w:rsid w:val="00AA27D8"/>
    <w:rsid w:val="00AA4047"/>
    <w:rsid w:val="00AA4FEA"/>
    <w:rsid w:val="00AA5EA2"/>
    <w:rsid w:val="00AA6935"/>
    <w:rsid w:val="00AB3BB9"/>
    <w:rsid w:val="00AB4784"/>
    <w:rsid w:val="00AB66D8"/>
    <w:rsid w:val="00AB6974"/>
    <w:rsid w:val="00AB757F"/>
    <w:rsid w:val="00AC164A"/>
    <w:rsid w:val="00AC1F1C"/>
    <w:rsid w:val="00AC4955"/>
    <w:rsid w:val="00AC6907"/>
    <w:rsid w:val="00AD2A91"/>
    <w:rsid w:val="00AD2E8C"/>
    <w:rsid w:val="00AD6205"/>
    <w:rsid w:val="00AD7995"/>
    <w:rsid w:val="00AE23D9"/>
    <w:rsid w:val="00AF0C2C"/>
    <w:rsid w:val="00AF13C1"/>
    <w:rsid w:val="00AF1BCE"/>
    <w:rsid w:val="00AF203E"/>
    <w:rsid w:val="00AF5107"/>
    <w:rsid w:val="00AF5816"/>
    <w:rsid w:val="00AF6747"/>
    <w:rsid w:val="00B00BAA"/>
    <w:rsid w:val="00B01ACC"/>
    <w:rsid w:val="00B035ED"/>
    <w:rsid w:val="00B055A2"/>
    <w:rsid w:val="00B05D85"/>
    <w:rsid w:val="00B07982"/>
    <w:rsid w:val="00B1042C"/>
    <w:rsid w:val="00B1324F"/>
    <w:rsid w:val="00B170D4"/>
    <w:rsid w:val="00B23C61"/>
    <w:rsid w:val="00B23D0D"/>
    <w:rsid w:val="00B240B7"/>
    <w:rsid w:val="00B261F5"/>
    <w:rsid w:val="00B266A6"/>
    <w:rsid w:val="00B26802"/>
    <w:rsid w:val="00B270A5"/>
    <w:rsid w:val="00B307B9"/>
    <w:rsid w:val="00B30889"/>
    <w:rsid w:val="00B33001"/>
    <w:rsid w:val="00B3593E"/>
    <w:rsid w:val="00B42E7A"/>
    <w:rsid w:val="00B43415"/>
    <w:rsid w:val="00B44B32"/>
    <w:rsid w:val="00B45855"/>
    <w:rsid w:val="00B55B71"/>
    <w:rsid w:val="00B5674B"/>
    <w:rsid w:val="00B574BB"/>
    <w:rsid w:val="00B648C8"/>
    <w:rsid w:val="00B6599C"/>
    <w:rsid w:val="00B66AF7"/>
    <w:rsid w:val="00B66DE4"/>
    <w:rsid w:val="00B741E7"/>
    <w:rsid w:val="00B77656"/>
    <w:rsid w:val="00B837F7"/>
    <w:rsid w:val="00B845C9"/>
    <w:rsid w:val="00B858F8"/>
    <w:rsid w:val="00B93B83"/>
    <w:rsid w:val="00B949C8"/>
    <w:rsid w:val="00B94EFC"/>
    <w:rsid w:val="00B9561D"/>
    <w:rsid w:val="00B97C0B"/>
    <w:rsid w:val="00BA41D9"/>
    <w:rsid w:val="00BA5033"/>
    <w:rsid w:val="00BA5D1B"/>
    <w:rsid w:val="00BA5FC1"/>
    <w:rsid w:val="00BA7DC6"/>
    <w:rsid w:val="00BB0188"/>
    <w:rsid w:val="00BB4372"/>
    <w:rsid w:val="00BB4C6B"/>
    <w:rsid w:val="00BB7CEB"/>
    <w:rsid w:val="00BB7DB3"/>
    <w:rsid w:val="00BC3411"/>
    <w:rsid w:val="00BC6DD8"/>
    <w:rsid w:val="00BD00FF"/>
    <w:rsid w:val="00BD0DD4"/>
    <w:rsid w:val="00BD142C"/>
    <w:rsid w:val="00BD1731"/>
    <w:rsid w:val="00BD3792"/>
    <w:rsid w:val="00BD4E1B"/>
    <w:rsid w:val="00BD4EE0"/>
    <w:rsid w:val="00BE314B"/>
    <w:rsid w:val="00BE64CE"/>
    <w:rsid w:val="00BE7D6A"/>
    <w:rsid w:val="00BF0C46"/>
    <w:rsid w:val="00BF138B"/>
    <w:rsid w:val="00BF14A7"/>
    <w:rsid w:val="00BF27BC"/>
    <w:rsid w:val="00BF29AE"/>
    <w:rsid w:val="00BF37AA"/>
    <w:rsid w:val="00BF4CEB"/>
    <w:rsid w:val="00BF5F58"/>
    <w:rsid w:val="00C03B39"/>
    <w:rsid w:val="00C047AE"/>
    <w:rsid w:val="00C04C0A"/>
    <w:rsid w:val="00C0746A"/>
    <w:rsid w:val="00C077BD"/>
    <w:rsid w:val="00C106A4"/>
    <w:rsid w:val="00C11228"/>
    <w:rsid w:val="00C112F9"/>
    <w:rsid w:val="00C12271"/>
    <w:rsid w:val="00C12893"/>
    <w:rsid w:val="00C160A9"/>
    <w:rsid w:val="00C2118A"/>
    <w:rsid w:val="00C23C79"/>
    <w:rsid w:val="00C24950"/>
    <w:rsid w:val="00C24D16"/>
    <w:rsid w:val="00C268C2"/>
    <w:rsid w:val="00C373FE"/>
    <w:rsid w:val="00C41BFA"/>
    <w:rsid w:val="00C4247B"/>
    <w:rsid w:val="00C44CDF"/>
    <w:rsid w:val="00C46473"/>
    <w:rsid w:val="00C47A0D"/>
    <w:rsid w:val="00C504E4"/>
    <w:rsid w:val="00C50747"/>
    <w:rsid w:val="00C51D30"/>
    <w:rsid w:val="00C56CB6"/>
    <w:rsid w:val="00C57D3F"/>
    <w:rsid w:val="00C630DF"/>
    <w:rsid w:val="00C64F32"/>
    <w:rsid w:val="00C66A2A"/>
    <w:rsid w:val="00C71628"/>
    <w:rsid w:val="00C72B6C"/>
    <w:rsid w:val="00C72C71"/>
    <w:rsid w:val="00C73DD6"/>
    <w:rsid w:val="00C767D0"/>
    <w:rsid w:val="00C814C1"/>
    <w:rsid w:val="00C81E09"/>
    <w:rsid w:val="00C83010"/>
    <w:rsid w:val="00C83FFE"/>
    <w:rsid w:val="00C848C8"/>
    <w:rsid w:val="00C851F7"/>
    <w:rsid w:val="00C865BD"/>
    <w:rsid w:val="00C86ACF"/>
    <w:rsid w:val="00C91E4E"/>
    <w:rsid w:val="00C92CD9"/>
    <w:rsid w:val="00C93C0C"/>
    <w:rsid w:val="00C96ACE"/>
    <w:rsid w:val="00C96EA4"/>
    <w:rsid w:val="00C97447"/>
    <w:rsid w:val="00C97666"/>
    <w:rsid w:val="00C97948"/>
    <w:rsid w:val="00CA050A"/>
    <w:rsid w:val="00CA1D89"/>
    <w:rsid w:val="00CA4969"/>
    <w:rsid w:val="00CA5310"/>
    <w:rsid w:val="00CA5AAC"/>
    <w:rsid w:val="00CB1016"/>
    <w:rsid w:val="00CB2660"/>
    <w:rsid w:val="00CB5B6B"/>
    <w:rsid w:val="00CB7871"/>
    <w:rsid w:val="00CC0E18"/>
    <w:rsid w:val="00CD0A37"/>
    <w:rsid w:val="00CD0B5E"/>
    <w:rsid w:val="00CD0C24"/>
    <w:rsid w:val="00CD0D0E"/>
    <w:rsid w:val="00CD3160"/>
    <w:rsid w:val="00CD3EAC"/>
    <w:rsid w:val="00CD4A25"/>
    <w:rsid w:val="00CE099D"/>
    <w:rsid w:val="00CE0BA2"/>
    <w:rsid w:val="00CE0C26"/>
    <w:rsid w:val="00CE0E67"/>
    <w:rsid w:val="00CE45D6"/>
    <w:rsid w:val="00CE61FA"/>
    <w:rsid w:val="00CE68F7"/>
    <w:rsid w:val="00CE77F8"/>
    <w:rsid w:val="00CF78C5"/>
    <w:rsid w:val="00D00BD9"/>
    <w:rsid w:val="00D03052"/>
    <w:rsid w:val="00D040A3"/>
    <w:rsid w:val="00D04F7A"/>
    <w:rsid w:val="00D0584B"/>
    <w:rsid w:val="00D05C6F"/>
    <w:rsid w:val="00D07C57"/>
    <w:rsid w:val="00D11D90"/>
    <w:rsid w:val="00D12806"/>
    <w:rsid w:val="00D14054"/>
    <w:rsid w:val="00D14170"/>
    <w:rsid w:val="00D2225C"/>
    <w:rsid w:val="00D24E4E"/>
    <w:rsid w:val="00D35840"/>
    <w:rsid w:val="00D359B8"/>
    <w:rsid w:val="00D3638E"/>
    <w:rsid w:val="00D363C2"/>
    <w:rsid w:val="00D40F2D"/>
    <w:rsid w:val="00D4321A"/>
    <w:rsid w:val="00D446A5"/>
    <w:rsid w:val="00D44D37"/>
    <w:rsid w:val="00D4787A"/>
    <w:rsid w:val="00D57A21"/>
    <w:rsid w:val="00D62275"/>
    <w:rsid w:val="00D63EC7"/>
    <w:rsid w:val="00D64668"/>
    <w:rsid w:val="00D721D2"/>
    <w:rsid w:val="00D739E2"/>
    <w:rsid w:val="00D7537C"/>
    <w:rsid w:val="00D76328"/>
    <w:rsid w:val="00D772A8"/>
    <w:rsid w:val="00D821C0"/>
    <w:rsid w:val="00D867E1"/>
    <w:rsid w:val="00D87964"/>
    <w:rsid w:val="00D90175"/>
    <w:rsid w:val="00D938DA"/>
    <w:rsid w:val="00D938ED"/>
    <w:rsid w:val="00D94442"/>
    <w:rsid w:val="00D97A56"/>
    <w:rsid w:val="00D97DCD"/>
    <w:rsid w:val="00DA5BA6"/>
    <w:rsid w:val="00DB1F50"/>
    <w:rsid w:val="00DC0D5E"/>
    <w:rsid w:val="00DC1401"/>
    <w:rsid w:val="00DC305C"/>
    <w:rsid w:val="00DC3A37"/>
    <w:rsid w:val="00DC4F56"/>
    <w:rsid w:val="00DC68FD"/>
    <w:rsid w:val="00DC7D4A"/>
    <w:rsid w:val="00DD0614"/>
    <w:rsid w:val="00DD0C57"/>
    <w:rsid w:val="00DD1DA3"/>
    <w:rsid w:val="00DD1ECF"/>
    <w:rsid w:val="00DD3CEA"/>
    <w:rsid w:val="00DD40C4"/>
    <w:rsid w:val="00DD5CB9"/>
    <w:rsid w:val="00DE19AE"/>
    <w:rsid w:val="00DE2354"/>
    <w:rsid w:val="00DE45F8"/>
    <w:rsid w:val="00DE4911"/>
    <w:rsid w:val="00DE522A"/>
    <w:rsid w:val="00DF002F"/>
    <w:rsid w:val="00DF1811"/>
    <w:rsid w:val="00DF27D3"/>
    <w:rsid w:val="00DF28C3"/>
    <w:rsid w:val="00DF32F9"/>
    <w:rsid w:val="00DF3C8A"/>
    <w:rsid w:val="00DF64B2"/>
    <w:rsid w:val="00DF6796"/>
    <w:rsid w:val="00E00C2F"/>
    <w:rsid w:val="00E00D99"/>
    <w:rsid w:val="00E01B4B"/>
    <w:rsid w:val="00E03C1E"/>
    <w:rsid w:val="00E05766"/>
    <w:rsid w:val="00E104C5"/>
    <w:rsid w:val="00E10C95"/>
    <w:rsid w:val="00E11197"/>
    <w:rsid w:val="00E12FAD"/>
    <w:rsid w:val="00E1412A"/>
    <w:rsid w:val="00E16856"/>
    <w:rsid w:val="00E207F5"/>
    <w:rsid w:val="00E23C41"/>
    <w:rsid w:val="00E253FF"/>
    <w:rsid w:val="00E31CAA"/>
    <w:rsid w:val="00E32034"/>
    <w:rsid w:val="00E345E5"/>
    <w:rsid w:val="00E34B04"/>
    <w:rsid w:val="00E34CF6"/>
    <w:rsid w:val="00E37FDC"/>
    <w:rsid w:val="00E40CFE"/>
    <w:rsid w:val="00E41C55"/>
    <w:rsid w:val="00E43574"/>
    <w:rsid w:val="00E47B8A"/>
    <w:rsid w:val="00E51B96"/>
    <w:rsid w:val="00E543EE"/>
    <w:rsid w:val="00E56874"/>
    <w:rsid w:val="00E61505"/>
    <w:rsid w:val="00E6160A"/>
    <w:rsid w:val="00E635B3"/>
    <w:rsid w:val="00E65462"/>
    <w:rsid w:val="00E66341"/>
    <w:rsid w:val="00E666AA"/>
    <w:rsid w:val="00E66F41"/>
    <w:rsid w:val="00E67D12"/>
    <w:rsid w:val="00E7365C"/>
    <w:rsid w:val="00E75220"/>
    <w:rsid w:val="00E80424"/>
    <w:rsid w:val="00E80509"/>
    <w:rsid w:val="00E83418"/>
    <w:rsid w:val="00E8411F"/>
    <w:rsid w:val="00E86EA1"/>
    <w:rsid w:val="00E90C38"/>
    <w:rsid w:val="00E9148B"/>
    <w:rsid w:val="00E92390"/>
    <w:rsid w:val="00E92D0E"/>
    <w:rsid w:val="00E9344E"/>
    <w:rsid w:val="00E97341"/>
    <w:rsid w:val="00EA2595"/>
    <w:rsid w:val="00EA260D"/>
    <w:rsid w:val="00EA2771"/>
    <w:rsid w:val="00EA3551"/>
    <w:rsid w:val="00EA5026"/>
    <w:rsid w:val="00EA6A44"/>
    <w:rsid w:val="00EA6F9B"/>
    <w:rsid w:val="00EB4B31"/>
    <w:rsid w:val="00EB552D"/>
    <w:rsid w:val="00EB6E83"/>
    <w:rsid w:val="00EC1ECA"/>
    <w:rsid w:val="00EC3D5F"/>
    <w:rsid w:val="00EC654E"/>
    <w:rsid w:val="00EC7E82"/>
    <w:rsid w:val="00ED026D"/>
    <w:rsid w:val="00ED04C1"/>
    <w:rsid w:val="00ED06E9"/>
    <w:rsid w:val="00ED4839"/>
    <w:rsid w:val="00ED6294"/>
    <w:rsid w:val="00EE498A"/>
    <w:rsid w:val="00EE54CA"/>
    <w:rsid w:val="00EE5917"/>
    <w:rsid w:val="00EE7CC0"/>
    <w:rsid w:val="00EE7E32"/>
    <w:rsid w:val="00EF7D37"/>
    <w:rsid w:val="00F035AC"/>
    <w:rsid w:val="00F03E9F"/>
    <w:rsid w:val="00F05C17"/>
    <w:rsid w:val="00F06B84"/>
    <w:rsid w:val="00F10176"/>
    <w:rsid w:val="00F106ED"/>
    <w:rsid w:val="00F10AF9"/>
    <w:rsid w:val="00F11B48"/>
    <w:rsid w:val="00F13965"/>
    <w:rsid w:val="00F13BCD"/>
    <w:rsid w:val="00F15503"/>
    <w:rsid w:val="00F17269"/>
    <w:rsid w:val="00F214AA"/>
    <w:rsid w:val="00F24ED4"/>
    <w:rsid w:val="00F315B2"/>
    <w:rsid w:val="00F34C70"/>
    <w:rsid w:val="00F35A4C"/>
    <w:rsid w:val="00F362AD"/>
    <w:rsid w:val="00F36BBF"/>
    <w:rsid w:val="00F40A88"/>
    <w:rsid w:val="00F40B12"/>
    <w:rsid w:val="00F47803"/>
    <w:rsid w:val="00F50440"/>
    <w:rsid w:val="00F521DE"/>
    <w:rsid w:val="00F556D4"/>
    <w:rsid w:val="00F6321C"/>
    <w:rsid w:val="00F640D5"/>
    <w:rsid w:val="00F66AEC"/>
    <w:rsid w:val="00F6794F"/>
    <w:rsid w:val="00F67E81"/>
    <w:rsid w:val="00F713ED"/>
    <w:rsid w:val="00F74400"/>
    <w:rsid w:val="00F75EF6"/>
    <w:rsid w:val="00F77112"/>
    <w:rsid w:val="00F8001D"/>
    <w:rsid w:val="00F80281"/>
    <w:rsid w:val="00F8103D"/>
    <w:rsid w:val="00F833C1"/>
    <w:rsid w:val="00F84095"/>
    <w:rsid w:val="00F8555D"/>
    <w:rsid w:val="00F92483"/>
    <w:rsid w:val="00F974D5"/>
    <w:rsid w:val="00FA42A0"/>
    <w:rsid w:val="00FA5310"/>
    <w:rsid w:val="00FA55FB"/>
    <w:rsid w:val="00FB3C31"/>
    <w:rsid w:val="00FB3C61"/>
    <w:rsid w:val="00FB3F42"/>
    <w:rsid w:val="00FB49A9"/>
    <w:rsid w:val="00FB5471"/>
    <w:rsid w:val="00FB604E"/>
    <w:rsid w:val="00FB6B5F"/>
    <w:rsid w:val="00FB7723"/>
    <w:rsid w:val="00FC0CDD"/>
    <w:rsid w:val="00FC2754"/>
    <w:rsid w:val="00FC2AAE"/>
    <w:rsid w:val="00FC4C1F"/>
    <w:rsid w:val="00FC7343"/>
    <w:rsid w:val="00FD04F5"/>
    <w:rsid w:val="00FD0BA9"/>
    <w:rsid w:val="00FE5C4C"/>
    <w:rsid w:val="00FE793A"/>
    <w:rsid w:val="00FF1F94"/>
    <w:rsid w:val="00FF550B"/>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03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C8"/>
    <w:pPr>
      <w:tabs>
        <w:tab w:val="left" w:pos="1247"/>
        <w:tab w:val="left" w:pos="1814"/>
        <w:tab w:val="left" w:pos="2381"/>
        <w:tab w:val="left" w:pos="2948"/>
        <w:tab w:val="left" w:pos="3515"/>
      </w:tabs>
    </w:pPr>
    <w:rPr>
      <w:lang w:val="fr-FR"/>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7774FB"/>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9479C8"/>
    <w:pPr>
      <w:keepNext/>
      <w:keepLines/>
      <w:tabs>
        <w:tab w:val="right" w:pos="851"/>
      </w:tabs>
      <w:suppressAutoHyphens/>
      <w:spacing w:after="120"/>
      <w:ind w:left="1247" w:right="284" w:hanging="1247"/>
    </w:pPr>
    <w:rPr>
      <w:b/>
    </w:rPr>
  </w:style>
  <w:style w:type="paragraph" w:customStyle="1" w:styleId="CH4">
    <w:name w:val="CH4"/>
    <w:basedOn w:val="Normal"/>
    <w:next w:val="Normal"/>
    <w:rsid w:val="009479C8"/>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semiHidden/>
    <w:rsid w:val="007774FB"/>
    <w:rPr>
      <w:rFonts w:ascii="Times New Roman" w:hAnsi="Times New Roman"/>
      <w:color w:val="auto"/>
      <w:sz w:val="20"/>
      <w:szCs w:val="18"/>
      <w:vertAlign w:val="superscript"/>
    </w:rPr>
  </w:style>
  <w:style w:type="paragraph" w:styleId="FootnoteText">
    <w:name w:val="footnote text"/>
    <w:basedOn w:val="Normal"/>
    <w:semiHidden/>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link w:val="NormalNonumberChar"/>
    <w:autoRedefine/>
    <w:rsid w:val="00E1412A"/>
    <w:pPr>
      <w:tabs>
        <w:tab w:val="left" w:pos="4082"/>
      </w:tabs>
      <w:spacing w:after="120"/>
      <w:ind w:left="1247" w:firstLine="624"/>
    </w:pPr>
    <w:rPr>
      <w:sz w:val="20"/>
      <w:szCs w:val="20"/>
      <w:lang w:val="en-GB"/>
    </w:rPr>
  </w:style>
  <w:style w:type="paragraph" w:customStyle="1" w:styleId="Normalnumber">
    <w:name w:val="Normal_number"/>
    <w:basedOn w:val="Normal"/>
    <w:link w:val="NormalnumberChar"/>
    <w:rsid w:val="002E3CBA"/>
    <w:pPr>
      <w:numPr>
        <w:numId w:val="40"/>
      </w:numPr>
      <w:tabs>
        <w:tab w:val="clear" w:pos="1247"/>
        <w:tab w:val="clear" w:pos="1814"/>
        <w:tab w:val="clear" w:pos="2381"/>
        <w:tab w:val="clear" w:pos="2948"/>
        <w:tab w:val="clear" w:pos="3515"/>
        <w:tab w:val="left" w:pos="624"/>
      </w:tabs>
      <w:spacing w:after="120"/>
    </w:pPr>
    <w:rPr>
      <w:sz w:val="20"/>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uiPriority w:val="99"/>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paragraph" w:customStyle="1" w:styleId="Normal-pool">
    <w:name w:val="Normal-pool"/>
    <w:rsid w:val="00885760"/>
    <w:pPr>
      <w:tabs>
        <w:tab w:val="left" w:pos="1247"/>
        <w:tab w:val="left" w:pos="1814"/>
        <w:tab w:val="left" w:pos="2381"/>
        <w:tab w:val="left" w:pos="2948"/>
        <w:tab w:val="left" w:pos="3515"/>
        <w:tab w:val="left" w:pos="4082"/>
      </w:tabs>
    </w:pPr>
    <w:rPr>
      <w:sz w:val="20"/>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2E3CBA"/>
    <w:rPr>
      <w:sz w:val="20"/>
    </w:rPr>
  </w:style>
  <w:style w:type="paragraph" w:customStyle="1" w:styleId="NoteLevel11">
    <w:name w:val="Note Level 11"/>
    <w:basedOn w:val="Normal"/>
    <w:uiPriority w:val="99"/>
    <w:unhideWhenUsed/>
    <w:rsid w:val="00DF32F9"/>
    <w:pPr>
      <w:keepNext/>
      <w:numPr>
        <w:numId w:val="5"/>
      </w:numPr>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1">
    <w:name w:val="Note Level 21"/>
    <w:basedOn w:val="Normal"/>
    <w:uiPriority w:val="99"/>
    <w:unhideWhenUsed/>
    <w:rsid w:val="00DF32F9"/>
    <w:pPr>
      <w:keepNext/>
      <w:numPr>
        <w:ilvl w:val="1"/>
        <w:numId w:val="5"/>
      </w:numPr>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1">
    <w:name w:val="Note Level 31"/>
    <w:basedOn w:val="Normal"/>
    <w:uiPriority w:val="99"/>
    <w:unhideWhenUsed/>
    <w:rsid w:val="00DF32F9"/>
    <w:pPr>
      <w:keepNext/>
      <w:numPr>
        <w:ilvl w:val="2"/>
        <w:numId w:val="5"/>
      </w:numPr>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1">
    <w:name w:val="Note Level 41"/>
    <w:basedOn w:val="Normal"/>
    <w:uiPriority w:val="99"/>
    <w:unhideWhenUsed/>
    <w:rsid w:val="00DF32F9"/>
    <w:pPr>
      <w:keepNext/>
      <w:numPr>
        <w:ilvl w:val="3"/>
        <w:numId w:val="5"/>
      </w:numPr>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1">
    <w:name w:val="Note Level 51"/>
    <w:basedOn w:val="Normal"/>
    <w:uiPriority w:val="99"/>
    <w:unhideWhenUsed/>
    <w:rsid w:val="00DF32F9"/>
    <w:pPr>
      <w:keepNext/>
      <w:numPr>
        <w:ilvl w:val="4"/>
        <w:numId w:val="5"/>
      </w:numPr>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1">
    <w:name w:val="Note Level 61"/>
    <w:basedOn w:val="Normal"/>
    <w:uiPriority w:val="99"/>
    <w:unhideWhenUsed/>
    <w:rsid w:val="00DF32F9"/>
    <w:pPr>
      <w:keepNext/>
      <w:numPr>
        <w:ilvl w:val="5"/>
        <w:numId w:val="5"/>
      </w:numPr>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1">
    <w:name w:val="Note Level 71"/>
    <w:basedOn w:val="Normal"/>
    <w:uiPriority w:val="99"/>
    <w:unhideWhenUsed/>
    <w:rsid w:val="00DF32F9"/>
    <w:pPr>
      <w:keepNext/>
      <w:numPr>
        <w:ilvl w:val="6"/>
        <w:numId w:val="5"/>
      </w:numPr>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1">
    <w:name w:val="Note Level 81"/>
    <w:basedOn w:val="Normal"/>
    <w:uiPriority w:val="99"/>
    <w:unhideWhenUsed/>
    <w:rsid w:val="00DF32F9"/>
    <w:pPr>
      <w:keepNext/>
      <w:numPr>
        <w:ilvl w:val="7"/>
        <w:numId w:val="5"/>
      </w:numPr>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1">
    <w:name w:val="Note Level 91"/>
    <w:basedOn w:val="Normal"/>
    <w:uiPriority w:val="99"/>
    <w:unhideWhenUsed/>
    <w:rsid w:val="00DF32F9"/>
    <w:pPr>
      <w:keepNext/>
      <w:numPr>
        <w:ilvl w:val="8"/>
        <w:numId w:val="5"/>
      </w:numPr>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styleId="Revision">
    <w:name w:val="Revision"/>
    <w:hidden/>
    <w:uiPriority w:val="99"/>
    <w:semiHidden/>
    <w:rsid w:val="009479C8"/>
    <w:rPr>
      <w:lang w:val="fr-FR"/>
    </w:rPr>
  </w:style>
  <w:style w:type="paragraph" w:styleId="ListParagraph">
    <w:name w:val="List Paragraph"/>
    <w:basedOn w:val="Normal"/>
    <w:uiPriority w:val="34"/>
    <w:qFormat/>
    <w:rsid w:val="003250FC"/>
    <w:pPr>
      <w:ind w:left="720"/>
      <w:contextualSpacing/>
    </w:pPr>
  </w:style>
  <w:style w:type="character" w:customStyle="1" w:styleId="BBTitleChar">
    <w:name w:val="BB_Title Char"/>
    <w:link w:val="BBTitle"/>
    <w:rsid w:val="00610481"/>
    <w:rPr>
      <w:b/>
      <w:sz w:val="28"/>
      <w:szCs w:val="28"/>
      <w:lang w:val="fr-FR"/>
    </w:rPr>
  </w:style>
  <w:style w:type="character" w:customStyle="1" w:styleId="NormalNonumberChar">
    <w:name w:val="Normal_No_number Char"/>
    <w:link w:val="NormalNonumber"/>
    <w:locked/>
    <w:rsid w:val="00436C1C"/>
    <w:rPr>
      <w:sz w:val="20"/>
      <w:szCs w:val="20"/>
      <w:lang w:val="en-GB"/>
    </w:rPr>
  </w:style>
  <w:style w:type="character" w:customStyle="1" w:styleId="apple-converted-space">
    <w:name w:val="apple-converted-space"/>
    <w:basedOn w:val="DefaultParagraphFont"/>
    <w:rsid w:val="009B484A"/>
  </w:style>
  <w:style w:type="character" w:customStyle="1" w:styleId="preferred">
    <w:name w:val="preferred"/>
    <w:basedOn w:val="DefaultParagraphFont"/>
    <w:rsid w:val="009B4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C8"/>
    <w:pPr>
      <w:tabs>
        <w:tab w:val="left" w:pos="1247"/>
        <w:tab w:val="left" w:pos="1814"/>
        <w:tab w:val="left" w:pos="2381"/>
        <w:tab w:val="left" w:pos="2948"/>
        <w:tab w:val="left" w:pos="3515"/>
      </w:tabs>
    </w:pPr>
    <w:rPr>
      <w:lang w:val="fr-FR"/>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7774FB"/>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9479C8"/>
    <w:pPr>
      <w:keepNext/>
      <w:keepLines/>
      <w:tabs>
        <w:tab w:val="right" w:pos="851"/>
      </w:tabs>
      <w:suppressAutoHyphens/>
      <w:spacing w:after="120"/>
      <w:ind w:left="1247" w:right="284" w:hanging="1247"/>
    </w:pPr>
    <w:rPr>
      <w:b/>
    </w:rPr>
  </w:style>
  <w:style w:type="paragraph" w:customStyle="1" w:styleId="CH4">
    <w:name w:val="CH4"/>
    <w:basedOn w:val="Normal"/>
    <w:next w:val="Normal"/>
    <w:rsid w:val="009479C8"/>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semiHidden/>
    <w:rsid w:val="007774FB"/>
    <w:rPr>
      <w:rFonts w:ascii="Times New Roman" w:hAnsi="Times New Roman"/>
      <w:color w:val="auto"/>
      <w:sz w:val="20"/>
      <w:szCs w:val="18"/>
      <w:vertAlign w:val="superscript"/>
    </w:rPr>
  </w:style>
  <w:style w:type="paragraph" w:styleId="FootnoteText">
    <w:name w:val="footnote text"/>
    <w:basedOn w:val="Normal"/>
    <w:semiHidden/>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link w:val="NormalNonumberChar"/>
    <w:autoRedefine/>
    <w:rsid w:val="00E1412A"/>
    <w:pPr>
      <w:tabs>
        <w:tab w:val="left" w:pos="4082"/>
      </w:tabs>
      <w:spacing w:after="120"/>
      <w:ind w:left="1247" w:firstLine="624"/>
    </w:pPr>
    <w:rPr>
      <w:sz w:val="20"/>
      <w:szCs w:val="20"/>
      <w:lang w:val="en-GB"/>
    </w:rPr>
  </w:style>
  <w:style w:type="paragraph" w:customStyle="1" w:styleId="Normalnumber">
    <w:name w:val="Normal_number"/>
    <w:basedOn w:val="Normal"/>
    <w:link w:val="NormalnumberChar"/>
    <w:rsid w:val="002E3CBA"/>
    <w:pPr>
      <w:numPr>
        <w:numId w:val="40"/>
      </w:numPr>
      <w:tabs>
        <w:tab w:val="clear" w:pos="1247"/>
        <w:tab w:val="clear" w:pos="1814"/>
        <w:tab w:val="clear" w:pos="2381"/>
        <w:tab w:val="clear" w:pos="2948"/>
        <w:tab w:val="clear" w:pos="3515"/>
        <w:tab w:val="left" w:pos="624"/>
      </w:tabs>
      <w:spacing w:after="120"/>
    </w:pPr>
    <w:rPr>
      <w:sz w:val="20"/>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uiPriority w:val="99"/>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paragraph" w:customStyle="1" w:styleId="Normal-pool">
    <w:name w:val="Normal-pool"/>
    <w:rsid w:val="00885760"/>
    <w:pPr>
      <w:tabs>
        <w:tab w:val="left" w:pos="1247"/>
        <w:tab w:val="left" w:pos="1814"/>
        <w:tab w:val="left" w:pos="2381"/>
        <w:tab w:val="left" w:pos="2948"/>
        <w:tab w:val="left" w:pos="3515"/>
        <w:tab w:val="left" w:pos="4082"/>
      </w:tabs>
    </w:pPr>
    <w:rPr>
      <w:sz w:val="20"/>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2E3CBA"/>
    <w:rPr>
      <w:sz w:val="20"/>
    </w:rPr>
  </w:style>
  <w:style w:type="paragraph" w:customStyle="1" w:styleId="NoteLevel11">
    <w:name w:val="Note Level 11"/>
    <w:basedOn w:val="Normal"/>
    <w:uiPriority w:val="99"/>
    <w:unhideWhenUsed/>
    <w:rsid w:val="00DF32F9"/>
    <w:pPr>
      <w:keepNext/>
      <w:numPr>
        <w:numId w:val="5"/>
      </w:numPr>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1">
    <w:name w:val="Note Level 21"/>
    <w:basedOn w:val="Normal"/>
    <w:uiPriority w:val="99"/>
    <w:unhideWhenUsed/>
    <w:rsid w:val="00DF32F9"/>
    <w:pPr>
      <w:keepNext/>
      <w:numPr>
        <w:ilvl w:val="1"/>
        <w:numId w:val="5"/>
      </w:numPr>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1">
    <w:name w:val="Note Level 31"/>
    <w:basedOn w:val="Normal"/>
    <w:uiPriority w:val="99"/>
    <w:unhideWhenUsed/>
    <w:rsid w:val="00DF32F9"/>
    <w:pPr>
      <w:keepNext/>
      <w:numPr>
        <w:ilvl w:val="2"/>
        <w:numId w:val="5"/>
      </w:numPr>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1">
    <w:name w:val="Note Level 41"/>
    <w:basedOn w:val="Normal"/>
    <w:uiPriority w:val="99"/>
    <w:unhideWhenUsed/>
    <w:rsid w:val="00DF32F9"/>
    <w:pPr>
      <w:keepNext/>
      <w:numPr>
        <w:ilvl w:val="3"/>
        <w:numId w:val="5"/>
      </w:numPr>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1">
    <w:name w:val="Note Level 51"/>
    <w:basedOn w:val="Normal"/>
    <w:uiPriority w:val="99"/>
    <w:unhideWhenUsed/>
    <w:rsid w:val="00DF32F9"/>
    <w:pPr>
      <w:keepNext/>
      <w:numPr>
        <w:ilvl w:val="4"/>
        <w:numId w:val="5"/>
      </w:numPr>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1">
    <w:name w:val="Note Level 61"/>
    <w:basedOn w:val="Normal"/>
    <w:uiPriority w:val="99"/>
    <w:unhideWhenUsed/>
    <w:rsid w:val="00DF32F9"/>
    <w:pPr>
      <w:keepNext/>
      <w:numPr>
        <w:ilvl w:val="5"/>
        <w:numId w:val="5"/>
      </w:numPr>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1">
    <w:name w:val="Note Level 71"/>
    <w:basedOn w:val="Normal"/>
    <w:uiPriority w:val="99"/>
    <w:unhideWhenUsed/>
    <w:rsid w:val="00DF32F9"/>
    <w:pPr>
      <w:keepNext/>
      <w:numPr>
        <w:ilvl w:val="6"/>
        <w:numId w:val="5"/>
      </w:numPr>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1">
    <w:name w:val="Note Level 81"/>
    <w:basedOn w:val="Normal"/>
    <w:uiPriority w:val="99"/>
    <w:unhideWhenUsed/>
    <w:rsid w:val="00DF32F9"/>
    <w:pPr>
      <w:keepNext/>
      <w:numPr>
        <w:ilvl w:val="7"/>
        <w:numId w:val="5"/>
      </w:numPr>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1">
    <w:name w:val="Note Level 91"/>
    <w:basedOn w:val="Normal"/>
    <w:uiPriority w:val="99"/>
    <w:unhideWhenUsed/>
    <w:rsid w:val="00DF32F9"/>
    <w:pPr>
      <w:keepNext/>
      <w:numPr>
        <w:ilvl w:val="8"/>
        <w:numId w:val="5"/>
      </w:numPr>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styleId="Revision">
    <w:name w:val="Revision"/>
    <w:hidden/>
    <w:uiPriority w:val="99"/>
    <w:semiHidden/>
    <w:rsid w:val="009479C8"/>
    <w:rPr>
      <w:lang w:val="fr-FR"/>
    </w:rPr>
  </w:style>
  <w:style w:type="paragraph" w:styleId="ListParagraph">
    <w:name w:val="List Paragraph"/>
    <w:basedOn w:val="Normal"/>
    <w:uiPriority w:val="34"/>
    <w:qFormat/>
    <w:rsid w:val="003250FC"/>
    <w:pPr>
      <w:ind w:left="720"/>
      <w:contextualSpacing/>
    </w:pPr>
  </w:style>
  <w:style w:type="character" w:customStyle="1" w:styleId="BBTitleChar">
    <w:name w:val="BB_Title Char"/>
    <w:link w:val="BBTitle"/>
    <w:rsid w:val="00610481"/>
    <w:rPr>
      <w:b/>
      <w:sz w:val="28"/>
      <w:szCs w:val="28"/>
      <w:lang w:val="fr-FR"/>
    </w:rPr>
  </w:style>
  <w:style w:type="character" w:customStyle="1" w:styleId="NormalNonumberChar">
    <w:name w:val="Normal_No_number Char"/>
    <w:link w:val="NormalNonumber"/>
    <w:locked/>
    <w:rsid w:val="00436C1C"/>
    <w:rPr>
      <w:sz w:val="20"/>
      <w:szCs w:val="20"/>
      <w:lang w:val="en-GB"/>
    </w:rPr>
  </w:style>
  <w:style w:type="character" w:customStyle="1" w:styleId="apple-converted-space">
    <w:name w:val="apple-converted-space"/>
    <w:basedOn w:val="DefaultParagraphFont"/>
    <w:rsid w:val="009B484A"/>
  </w:style>
  <w:style w:type="character" w:customStyle="1" w:styleId="preferred">
    <w:name w:val="preferred"/>
    <w:basedOn w:val="DefaultParagraphFont"/>
    <w:rsid w:val="009B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ymbol xmlns="F52DFF11-20D7-4924-965A-AFB81A855F4C">UNEP/OzL.Pro.WG.1/38/8</Document_x0020_Symbol>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C2E151BEC1D34B4CA8CCDE0C93D4CFAE" ma:contentTypeVersion="" ma:contentTypeDescription="Create a new document." ma:contentTypeScope="" ma:versionID="0458f797f9fd4fb0be3e921e9d6e9f17">
  <xsd:schema xmlns:xsd="http://www.w3.org/2001/XMLSchema" xmlns:xs="http://www.w3.org/2001/XMLSchema" xmlns:p="http://schemas.microsoft.com/office/2006/metadata/properties" xmlns:ns2="F52DFF11-20D7-4924-965A-AFB81A855F4C" targetNamespace="http://schemas.microsoft.com/office/2006/metadata/properties" ma:root="true" ma:fieldsID="a8684b0bcfae79c1b9b33fd59e922c6b" ns2:_="">
    <xsd:import namespace="F52DFF11-20D7-4924-965A-AFB81A855F4C"/>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DFF11-20D7-4924-965A-AFB81A855F4C"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A8B2D-55CC-4234-BB09-2072A446055F}"/>
</file>

<file path=customXml/itemProps10.xml><?xml version="1.0" encoding="utf-8"?>
<ds:datastoreItem xmlns:ds="http://schemas.openxmlformats.org/officeDocument/2006/customXml" ds:itemID="{B7409023-3E26-471F-A51D-2D74E1D455D0}"/>
</file>

<file path=customXml/itemProps11.xml><?xml version="1.0" encoding="utf-8"?>
<ds:datastoreItem xmlns:ds="http://schemas.openxmlformats.org/officeDocument/2006/customXml" ds:itemID="{BD5FD8E5-885B-492A-8AE8-26430335F9C7}"/>
</file>

<file path=customXml/itemProps12.xml><?xml version="1.0" encoding="utf-8"?>
<ds:datastoreItem xmlns:ds="http://schemas.openxmlformats.org/officeDocument/2006/customXml" ds:itemID="{3CC463D9-6621-48C2-BDD9-BF02107B3BB4}"/>
</file>

<file path=customXml/itemProps13.xml><?xml version="1.0" encoding="utf-8"?>
<ds:datastoreItem xmlns:ds="http://schemas.openxmlformats.org/officeDocument/2006/customXml" ds:itemID="{4FCF623D-1CDC-4420-86FB-84E6ADF3CE49}"/>
</file>

<file path=customXml/itemProps2.xml><?xml version="1.0" encoding="utf-8"?>
<ds:datastoreItem xmlns:ds="http://schemas.openxmlformats.org/officeDocument/2006/customXml" ds:itemID="{3BB2566F-DEC3-4E34-82F3-E6801308A1FB}"/>
</file>

<file path=customXml/itemProps3.xml><?xml version="1.0" encoding="utf-8"?>
<ds:datastoreItem xmlns:ds="http://schemas.openxmlformats.org/officeDocument/2006/customXml" ds:itemID="{C3354DA9-7552-427D-A5E3-F4988F0D1E0E}"/>
</file>

<file path=customXml/itemProps4.xml><?xml version="1.0" encoding="utf-8"?>
<ds:datastoreItem xmlns:ds="http://schemas.openxmlformats.org/officeDocument/2006/customXml" ds:itemID="{FCC9B898-9E1B-4182-8B02-D840C7981264}"/>
</file>

<file path=customXml/itemProps5.xml><?xml version="1.0" encoding="utf-8"?>
<ds:datastoreItem xmlns:ds="http://schemas.openxmlformats.org/officeDocument/2006/customXml" ds:itemID="{BB99BC5B-A00B-4DAA-A2B3-D7604C487109}"/>
</file>

<file path=customXml/itemProps6.xml><?xml version="1.0" encoding="utf-8"?>
<ds:datastoreItem xmlns:ds="http://schemas.openxmlformats.org/officeDocument/2006/customXml" ds:itemID="{66689EA2-2A0E-4998-ABE7-F236E1FD9D31}"/>
</file>

<file path=customXml/itemProps7.xml><?xml version="1.0" encoding="utf-8"?>
<ds:datastoreItem xmlns:ds="http://schemas.openxmlformats.org/officeDocument/2006/customXml" ds:itemID="{D33C2D09-FF90-4202-878C-490BA17CC631}"/>
</file>

<file path=customXml/itemProps8.xml><?xml version="1.0" encoding="utf-8"?>
<ds:datastoreItem xmlns:ds="http://schemas.openxmlformats.org/officeDocument/2006/customXml" ds:itemID="{83F5A857-04F5-4378-8C3D-369216B990CF}"/>
</file>

<file path=customXml/itemProps9.xml><?xml version="1.0" encoding="utf-8"?>
<ds:datastoreItem xmlns:ds="http://schemas.openxmlformats.org/officeDocument/2006/customXml" ds:itemID="{917F869B-B8A3-475A-9DEE-6C090D43EC96}"/>
</file>

<file path=docProps/app.xml><?xml version="1.0" encoding="utf-8"?>
<Properties xmlns="http://schemas.openxmlformats.org/officeDocument/2006/extended-properties" xmlns:vt="http://schemas.openxmlformats.org/officeDocument/2006/docPropsVTypes">
  <Template>Normal.dotm</Template>
  <TotalTime>5</TotalTime>
  <Pages>31</Pages>
  <Words>16967</Words>
  <Characters>96713</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Provisional Agenda</vt:lpstr>
    </vt:vector>
  </TitlesOfParts>
  <Company>HP</Company>
  <LinksUpToDate>false</LinksUpToDate>
  <CharactersWithSpaces>113454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thirty-eighth meeting of the Open-ended Working Group of the Parties to the Montreal Protocol on Substances that Deplete the Ozone Layer</dc:title>
  <dc:creator>mbauj</dc:creator>
  <cp:lastModifiedBy>Veronica Gathu</cp:lastModifiedBy>
  <cp:revision>8</cp:revision>
  <cp:lastPrinted>2016-09-05T13:00:00Z</cp:lastPrinted>
  <dcterms:created xsi:type="dcterms:W3CDTF">2016-09-05T12:50:00Z</dcterms:created>
  <dcterms:modified xsi:type="dcterms:W3CDTF">2016-09-05T13:00:00Z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Order Number">
    <vt:lpwstr>11.0000000000000</vt:lpwstr>
  </property>
  <property fmtid="{D5CDD505-2E9C-101B-9397-08002B2CF9AE}" pid="5" name="Document Tilte">
    <vt:lpwstr>Provisional agenda</vt:lpwstr>
  </property>
  <property fmtid="{D5CDD505-2E9C-101B-9397-08002B2CF9AE}" pid="6" name="Hide">
    <vt:lpwstr/>
  </property>
  <property fmtid="{D5CDD505-2E9C-101B-9397-08002B2CF9AE}" pid="7" name="ContentTypeId">
    <vt:lpwstr>0x010100C2E151BEC1D34B4CA8CCDE0C93D4CFAE</vt:lpwstr>
  </property>
</Properties>
</file>