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908CE" w14:textId="77777777" w:rsidR="00A85B41" w:rsidRPr="004B535A" w:rsidRDefault="00514120" w:rsidP="00A85B41">
      <w:pPr>
        <w:rPr>
          <w:b/>
          <w:sz w:val="4"/>
          <w:szCs w:val="2"/>
        </w:rPr>
      </w:pPr>
      <w:r w:rsidRPr="004B535A">
        <w:rPr>
          <w:b/>
          <w:sz w:val="4"/>
          <w:szCs w:val="2"/>
        </w:rPr>
        <w:t xml:space="preserve"> </w:t>
      </w:r>
    </w:p>
    <w:tbl>
      <w:tblPr>
        <w:tblW w:w="5000" w:type="pct"/>
        <w:jc w:val="right"/>
        <w:tblLook w:val="01E0" w:firstRow="1" w:lastRow="1" w:firstColumn="1" w:lastColumn="1" w:noHBand="0" w:noVBand="0"/>
      </w:tblPr>
      <w:tblGrid>
        <w:gridCol w:w="1614"/>
        <w:gridCol w:w="4748"/>
        <w:gridCol w:w="3134"/>
      </w:tblGrid>
      <w:tr w:rsidR="00A85B41" w:rsidRPr="004B535A" w14:paraId="5A61BE07" w14:textId="77777777" w:rsidTr="00B866CF">
        <w:trPr>
          <w:jc w:val="right"/>
        </w:trPr>
        <w:tc>
          <w:tcPr>
            <w:tcW w:w="850" w:type="pct"/>
            <w:shd w:val="clear" w:color="auto" w:fill="auto"/>
          </w:tcPr>
          <w:p w14:paraId="35838135" w14:textId="77777777" w:rsidR="00A85B41" w:rsidRPr="004B535A" w:rsidRDefault="00A85B41" w:rsidP="00B866CF">
            <w:pPr>
              <w:rPr>
                <w:rFonts w:ascii="Arial" w:hAnsi="Arial"/>
                <w:b/>
                <w:caps/>
                <w:sz w:val="27"/>
                <w:szCs w:val="27"/>
              </w:rPr>
            </w:pPr>
            <w:r w:rsidRPr="004B535A">
              <w:rPr>
                <w:rFonts w:ascii="Arial" w:hAnsi="Arial"/>
                <w:b/>
                <w:caps/>
                <w:sz w:val="27"/>
                <w:szCs w:val="27"/>
              </w:rPr>
              <w:t>united</w:t>
            </w:r>
            <w:r w:rsidRPr="004B535A">
              <w:rPr>
                <w:rFonts w:ascii="Arial" w:hAnsi="Arial"/>
                <w:b/>
                <w:caps/>
                <w:sz w:val="27"/>
                <w:szCs w:val="27"/>
              </w:rPr>
              <w:br/>
              <w:t>nations</w:t>
            </w:r>
          </w:p>
        </w:tc>
        <w:tc>
          <w:tcPr>
            <w:tcW w:w="2500" w:type="pct"/>
            <w:shd w:val="clear" w:color="auto" w:fill="auto"/>
          </w:tcPr>
          <w:p w14:paraId="110094D7" w14:textId="77777777" w:rsidR="00A85B41" w:rsidRPr="004B535A" w:rsidRDefault="00A85B41" w:rsidP="00B866CF">
            <w:pPr>
              <w:rPr>
                <w:rFonts w:ascii="Arial" w:hAnsi="Arial"/>
                <w:b/>
                <w:caps/>
                <w:sz w:val="27"/>
                <w:szCs w:val="27"/>
              </w:rPr>
            </w:pPr>
          </w:p>
        </w:tc>
        <w:tc>
          <w:tcPr>
            <w:tcW w:w="1650" w:type="pct"/>
            <w:shd w:val="clear" w:color="auto" w:fill="auto"/>
          </w:tcPr>
          <w:p w14:paraId="5E5ABF17" w14:textId="77777777" w:rsidR="00A85B41" w:rsidRPr="004B535A" w:rsidRDefault="00A85B41" w:rsidP="00B866CF">
            <w:pPr>
              <w:jc w:val="right"/>
              <w:rPr>
                <w:rFonts w:ascii="Arial" w:hAnsi="Arial"/>
                <w:b/>
                <w:caps/>
                <w:sz w:val="64"/>
                <w:szCs w:val="64"/>
              </w:rPr>
            </w:pPr>
            <w:r w:rsidRPr="004B535A">
              <w:rPr>
                <w:rFonts w:ascii="Arial" w:hAnsi="Arial"/>
                <w:b/>
                <w:caps/>
                <w:sz w:val="64"/>
                <w:szCs w:val="64"/>
              </w:rPr>
              <w:t>ep</w:t>
            </w:r>
          </w:p>
        </w:tc>
      </w:tr>
      <w:tr w:rsidR="00A85B41" w:rsidRPr="004B535A" w14:paraId="073AE774" w14:textId="77777777" w:rsidTr="00B866CF">
        <w:trPr>
          <w:jc w:val="right"/>
        </w:trPr>
        <w:tc>
          <w:tcPr>
            <w:tcW w:w="850" w:type="pct"/>
            <w:tcBorders>
              <w:bottom w:val="single" w:sz="4" w:space="0" w:color="auto"/>
            </w:tcBorders>
            <w:shd w:val="clear" w:color="auto" w:fill="auto"/>
          </w:tcPr>
          <w:p w14:paraId="72C4093A" w14:textId="77777777" w:rsidR="00A85B41" w:rsidRPr="004B535A" w:rsidRDefault="00A85B41" w:rsidP="00B866CF"/>
        </w:tc>
        <w:tc>
          <w:tcPr>
            <w:tcW w:w="2500" w:type="pct"/>
            <w:tcBorders>
              <w:bottom w:val="single" w:sz="4" w:space="0" w:color="auto"/>
            </w:tcBorders>
            <w:shd w:val="clear" w:color="auto" w:fill="auto"/>
          </w:tcPr>
          <w:p w14:paraId="65A2EB7B" w14:textId="77777777" w:rsidR="00A85B41" w:rsidRPr="004B535A" w:rsidRDefault="00A85B41" w:rsidP="00B866CF"/>
        </w:tc>
        <w:tc>
          <w:tcPr>
            <w:tcW w:w="1650" w:type="pct"/>
            <w:tcBorders>
              <w:bottom w:val="single" w:sz="4" w:space="0" w:color="auto"/>
            </w:tcBorders>
            <w:shd w:val="clear" w:color="auto" w:fill="auto"/>
          </w:tcPr>
          <w:p w14:paraId="3630BFCD" w14:textId="77777777" w:rsidR="00A85B41" w:rsidRPr="004B535A" w:rsidRDefault="00A85B41" w:rsidP="00B866CF">
            <w:pPr>
              <w:keepNext/>
              <w:outlineLvl w:val="4"/>
            </w:pPr>
            <w:r w:rsidRPr="004B535A">
              <w:rPr>
                <w:b/>
                <w:sz w:val="28"/>
              </w:rPr>
              <w:t>UNEP/</w:t>
            </w:r>
            <w:proofErr w:type="spellStart"/>
            <w:r w:rsidRPr="004B535A">
              <w:t>OzL.Pro</w:t>
            </w:r>
            <w:proofErr w:type="spellEnd"/>
            <w:r w:rsidRPr="004B535A">
              <w:t>/</w:t>
            </w:r>
            <w:proofErr w:type="spellStart"/>
            <w:r w:rsidRPr="004B535A">
              <w:t>ImpCom</w:t>
            </w:r>
            <w:proofErr w:type="spellEnd"/>
            <w:r w:rsidRPr="004B535A">
              <w:t>/5</w:t>
            </w:r>
            <w:r w:rsidR="00D465AF" w:rsidRPr="004B535A">
              <w:t>9</w:t>
            </w:r>
            <w:r w:rsidRPr="004B535A">
              <w:t>/</w:t>
            </w:r>
            <w:r w:rsidR="00EA08B0" w:rsidRPr="004B535A">
              <w:t>4</w:t>
            </w:r>
          </w:p>
        </w:tc>
      </w:tr>
      <w:tr w:rsidR="00A85B41" w:rsidRPr="004B535A" w14:paraId="15945640" w14:textId="77777777" w:rsidTr="00B866CF">
        <w:trPr>
          <w:trHeight w:val="2268"/>
          <w:jc w:val="right"/>
        </w:trPr>
        <w:tc>
          <w:tcPr>
            <w:tcW w:w="850" w:type="pct"/>
            <w:tcBorders>
              <w:top w:val="nil"/>
              <w:left w:val="nil"/>
              <w:bottom w:val="single" w:sz="18" w:space="0" w:color="auto"/>
              <w:right w:val="nil"/>
            </w:tcBorders>
            <w:shd w:val="clear" w:color="auto" w:fill="auto"/>
          </w:tcPr>
          <w:p w14:paraId="79CE07A8" w14:textId="77777777" w:rsidR="00A85B41" w:rsidRPr="004B535A" w:rsidRDefault="00A85B41" w:rsidP="00B866CF">
            <w:pPr>
              <w:spacing w:after="240"/>
              <w:rPr>
                <w:b/>
                <w:sz w:val="32"/>
              </w:rPr>
            </w:pPr>
            <w:r w:rsidRPr="004B535A">
              <w:rPr>
                <w:b/>
                <w:noProof/>
                <w:sz w:val="32"/>
              </w:rPr>
              <w:object w:dxaOrig="1831" w:dyaOrig="1726" w14:anchorId="1F3FE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pt;height:62.35pt" o:ole="" fillcolor="window">
                  <v:imagedata r:id="rId8" o:title=""/>
                </v:shape>
                <o:OLEObject Type="Embed" ProgID="Word.Picture.8" ShapeID="_x0000_i1025" DrawAspect="Content" ObjectID="_1577864688" r:id="rId9"/>
              </w:object>
            </w:r>
            <w:r w:rsidRPr="004B535A">
              <w:rPr>
                <w:b/>
                <w:noProof/>
                <w:sz w:val="32"/>
              </w:rPr>
              <w:br/>
            </w:r>
            <w:r w:rsidRPr="004B535A">
              <w:rPr>
                <w:b/>
                <w:noProof/>
                <w:sz w:val="32"/>
                <w:lang w:eastAsia="en-GB"/>
              </w:rPr>
              <w:drawing>
                <wp:inline distT="0" distB="0" distL="0" distR="0" wp14:anchorId="72A8D567" wp14:editId="520FCC46">
                  <wp:extent cx="714375" cy="7620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tc>
        <w:tc>
          <w:tcPr>
            <w:tcW w:w="2500" w:type="pct"/>
            <w:tcBorders>
              <w:top w:val="nil"/>
              <w:left w:val="nil"/>
              <w:bottom w:val="single" w:sz="18" w:space="0" w:color="auto"/>
              <w:right w:val="nil"/>
            </w:tcBorders>
            <w:shd w:val="clear" w:color="auto" w:fill="auto"/>
          </w:tcPr>
          <w:p w14:paraId="7008B2E9" w14:textId="77777777" w:rsidR="00A85B41" w:rsidRPr="004B535A" w:rsidRDefault="00A85B41" w:rsidP="00B866CF">
            <w:pPr>
              <w:spacing w:before="1300"/>
              <w:ind w:right="567"/>
              <w:rPr>
                <w:rFonts w:ascii="Arial" w:hAnsi="Arial"/>
                <w:b/>
                <w:sz w:val="32"/>
              </w:rPr>
            </w:pPr>
            <w:r w:rsidRPr="004B535A">
              <w:rPr>
                <w:rFonts w:ascii="Arial" w:hAnsi="Arial" w:cs="Arial"/>
                <w:b/>
                <w:sz w:val="32"/>
              </w:rPr>
              <w:t>United Nations</w:t>
            </w:r>
            <w:r w:rsidRPr="004B535A">
              <w:rPr>
                <w:rFonts w:ascii="Arial" w:hAnsi="Arial" w:cs="Arial"/>
                <w:b/>
                <w:sz w:val="32"/>
              </w:rPr>
              <w:br/>
              <w:t xml:space="preserve">Environment </w:t>
            </w:r>
            <w:r w:rsidRPr="004B535A">
              <w:rPr>
                <w:rFonts w:ascii="Arial" w:hAnsi="Arial" w:cs="Arial"/>
                <w:b/>
                <w:sz w:val="32"/>
              </w:rPr>
              <w:br/>
              <w:t>Programme</w:t>
            </w:r>
          </w:p>
        </w:tc>
        <w:tc>
          <w:tcPr>
            <w:tcW w:w="1650" w:type="pct"/>
            <w:tcBorders>
              <w:top w:val="nil"/>
              <w:left w:val="nil"/>
              <w:bottom w:val="single" w:sz="18" w:space="0" w:color="auto"/>
              <w:right w:val="nil"/>
            </w:tcBorders>
            <w:shd w:val="clear" w:color="auto" w:fill="auto"/>
          </w:tcPr>
          <w:p w14:paraId="18C490A7" w14:textId="77777777" w:rsidR="00A85B41" w:rsidRPr="004B535A" w:rsidRDefault="00A85B41" w:rsidP="00B866CF">
            <w:pPr>
              <w:keepNext/>
              <w:spacing w:before="120" w:after="120"/>
              <w:outlineLvl w:val="4"/>
            </w:pPr>
            <w:r w:rsidRPr="004B535A">
              <w:t>Distr.: General</w:t>
            </w:r>
            <w:r w:rsidRPr="004B535A">
              <w:br/>
            </w:r>
            <w:r w:rsidR="00D465AF" w:rsidRPr="004B535A">
              <w:t>18</w:t>
            </w:r>
            <w:r w:rsidRPr="004B535A">
              <w:t xml:space="preserve"> </w:t>
            </w:r>
            <w:r w:rsidR="00D465AF" w:rsidRPr="004B535A">
              <w:t>November</w:t>
            </w:r>
            <w:r w:rsidRPr="004B535A">
              <w:t xml:space="preserve"> 2017</w:t>
            </w:r>
          </w:p>
          <w:p w14:paraId="47EE21D2" w14:textId="77777777" w:rsidR="00A85B41" w:rsidRPr="004B535A" w:rsidRDefault="00A85B41" w:rsidP="00B866CF">
            <w:pPr>
              <w:keepNext/>
              <w:spacing w:before="120" w:after="120"/>
              <w:outlineLvl w:val="4"/>
            </w:pPr>
            <w:r w:rsidRPr="004B535A">
              <w:t>Original: English</w:t>
            </w:r>
          </w:p>
        </w:tc>
      </w:tr>
    </w:tbl>
    <w:p w14:paraId="76BD8A5F" w14:textId="77777777" w:rsidR="00A85B41" w:rsidRPr="004B535A" w:rsidRDefault="00A85B41" w:rsidP="00A85B41">
      <w:pPr>
        <w:pStyle w:val="AATitle"/>
      </w:pPr>
      <w:r w:rsidRPr="004B535A">
        <w:t xml:space="preserve">Implementation Committee under the </w:t>
      </w:r>
      <w:r w:rsidRPr="004B535A">
        <w:br/>
        <w:t xml:space="preserve">Non-Compliance Procedure for the </w:t>
      </w:r>
      <w:r w:rsidRPr="004B535A">
        <w:br/>
        <w:t>Montreal Protocol</w:t>
      </w:r>
    </w:p>
    <w:p w14:paraId="60725665" w14:textId="77777777" w:rsidR="00A85B41" w:rsidRPr="004B535A" w:rsidRDefault="00A85B41" w:rsidP="00A85B41">
      <w:pPr>
        <w:pStyle w:val="AATitle"/>
      </w:pPr>
      <w:r w:rsidRPr="004B535A">
        <w:t>Fifty-</w:t>
      </w:r>
      <w:r w:rsidR="00D465AF" w:rsidRPr="004B535A">
        <w:t>ninth</w:t>
      </w:r>
      <w:r w:rsidRPr="004B535A">
        <w:t xml:space="preserve"> meeting</w:t>
      </w:r>
    </w:p>
    <w:p w14:paraId="1D695283" w14:textId="77777777" w:rsidR="00A85B41" w:rsidRPr="004B535A" w:rsidRDefault="00D465AF" w:rsidP="00A85B41">
      <w:pPr>
        <w:pStyle w:val="AATitle"/>
        <w:rPr>
          <w:b w:val="0"/>
        </w:rPr>
      </w:pPr>
      <w:r w:rsidRPr="004B535A">
        <w:rPr>
          <w:b w:val="0"/>
        </w:rPr>
        <w:t>Montreal, Canada, 18 November</w:t>
      </w:r>
      <w:r w:rsidR="00A85B41" w:rsidRPr="004B535A">
        <w:rPr>
          <w:b w:val="0"/>
        </w:rPr>
        <w:t xml:space="preserve"> 2017 </w:t>
      </w:r>
    </w:p>
    <w:p w14:paraId="6C8F1BB1" w14:textId="77777777" w:rsidR="00A85B41" w:rsidRPr="004B535A" w:rsidRDefault="00A85B41" w:rsidP="00C30BEC">
      <w:pPr>
        <w:pStyle w:val="BBTitle"/>
      </w:pPr>
      <w:r w:rsidRPr="004B535A">
        <w:t>Report of the Implementation Committee under the Non</w:t>
      </w:r>
      <w:r w:rsidRPr="004B535A">
        <w:noBreakHyphen/>
        <w:t>Compliance Procedure for the Montreal Protocol on the work of its fifty-</w:t>
      </w:r>
      <w:r w:rsidR="00D465AF" w:rsidRPr="004B535A">
        <w:t>ninth</w:t>
      </w:r>
      <w:r w:rsidRPr="004B535A">
        <w:t xml:space="preserve"> meeting</w:t>
      </w:r>
    </w:p>
    <w:p w14:paraId="492646AB" w14:textId="77777777" w:rsidR="00A85B41" w:rsidRPr="004B535A" w:rsidRDefault="00C30BEC" w:rsidP="00C30BEC">
      <w:pPr>
        <w:pStyle w:val="CH1"/>
      </w:pPr>
      <w:r w:rsidRPr="004B535A">
        <w:tab/>
      </w:r>
      <w:r w:rsidR="00A85B41" w:rsidRPr="004B535A">
        <w:t>I.</w:t>
      </w:r>
      <w:r w:rsidR="00A85B41" w:rsidRPr="004B535A">
        <w:tab/>
        <w:t>Opening of the meeting</w:t>
      </w:r>
    </w:p>
    <w:p w14:paraId="5C71E137" w14:textId="77777777" w:rsidR="00A85B41" w:rsidRPr="004B535A" w:rsidRDefault="00A85B41" w:rsidP="009E669E">
      <w:pPr>
        <w:pStyle w:val="Normalnumber"/>
        <w:tabs>
          <w:tab w:val="clear" w:pos="1134"/>
          <w:tab w:val="clear" w:pos="1247"/>
          <w:tab w:val="clear" w:pos="1814"/>
          <w:tab w:val="clear" w:pos="2381"/>
          <w:tab w:val="clear" w:pos="2948"/>
          <w:tab w:val="clear" w:pos="3515"/>
          <w:tab w:val="clear" w:pos="4082"/>
          <w:tab w:val="num" w:pos="624"/>
        </w:tabs>
      </w:pPr>
      <w:r w:rsidRPr="004B535A">
        <w:t>The fifty-</w:t>
      </w:r>
      <w:r w:rsidR="00D465AF" w:rsidRPr="004B535A">
        <w:t>ninth</w:t>
      </w:r>
      <w:r w:rsidRPr="004B535A">
        <w:t xml:space="preserve"> meeting of the Implementation Committee under the Non-Compliance Procedure for the Montreal Protocol was held at the </w:t>
      </w:r>
      <w:r w:rsidR="000B739E" w:rsidRPr="004B535A">
        <w:t xml:space="preserve">Conference Centre of the </w:t>
      </w:r>
      <w:r w:rsidR="00D465AF" w:rsidRPr="004B535A">
        <w:t>Internatio</w:t>
      </w:r>
      <w:r w:rsidR="006002F5" w:rsidRPr="004B535A">
        <w:t>nal Civil Aviation Organization</w:t>
      </w:r>
      <w:r w:rsidR="000B739E" w:rsidRPr="004B535A">
        <w:t xml:space="preserve"> in</w:t>
      </w:r>
      <w:r w:rsidRPr="004B535A">
        <w:t xml:space="preserve"> </w:t>
      </w:r>
      <w:r w:rsidR="00D465AF" w:rsidRPr="004B535A">
        <w:t>Montreal, Canada</w:t>
      </w:r>
      <w:r w:rsidRPr="004B535A">
        <w:t>,</w:t>
      </w:r>
      <w:r w:rsidR="00D465AF" w:rsidRPr="004B535A">
        <w:t xml:space="preserve"> on 18</w:t>
      </w:r>
      <w:r w:rsidR="0044658C" w:rsidRPr="004B535A">
        <w:t> </w:t>
      </w:r>
      <w:r w:rsidR="00D465AF" w:rsidRPr="004B535A">
        <w:t>November</w:t>
      </w:r>
      <w:r w:rsidR="0044658C" w:rsidRPr="004B535A">
        <w:t> </w:t>
      </w:r>
      <w:r w:rsidRPr="004B535A">
        <w:t xml:space="preserve">2017. </w:t>
      </w:r>
    </w:p>
    <w:p w14:paraId="17D9E5AE" w14:textId="77777777" w:rsidR="00A85B41" w:rsidRPr="004B535A"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President of the Committee, Brian </w:t>
      </w:r>
      <w:proofErr w:type="spellStart"/>
      <w:r w:rsidRPr="004B535A">
        <w:t>Ruddie</w:t>
      </w:r>
      <w:proofErr w:type="spellEnd"/>
      <w:r w:rsidRPr="004B535A">
        <w:t xml:space="preserve"> (United Kingdom of Great Britain and Northern Ireland),</w:t>
      </w:r>
      <w:r w:rsidRPr="004B535A">
        <w:rPr>
          <w:b/>
        </w:rPr>
        <w:t xml:space="preserve"> </w:t>
      </w:r>
      <w:r w:rsidRPr="004B535A">
        <w:t xml:space="preserve">opened the meeting at 10 a.m. </w:t>
      </w:r>
    </w:p>
    <w:p w14:paraId="1D4D10DD" w14:textId="77777777" w:rsidR="008E4612" w:rsidRPr="004B535A" w:rsidRDefault="000B739E" w:rsidP="008E4612">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w:t>
      </w:r>
      <w:r w:rsidR="00A85B41" w:rsidRPr="004B535A">
        <w:t>Executive Secretary</w:t>
      </w:r>
      <w:r w:rsidRPr="004B535A">
        <w:t xml:space="preserve"> of the</w:t>
      </w:r>
      <w:r w:rsidR="00A85B41" w:rsidRPr="004B535A">
        <w:t xml:space="preserve"> Ozone Secretariat, </w:t>
      </w:r>
      <w:r w:rsidRPr="004B535A">
        <w:t xml:space="preserve">Tina </w:t>
      </w:r>
      <w:proofErr w:type="spellStart"/>
      <w:r w:rsidRPr="004B535A">
        <w:t>Birmpili</w:t>
      </w:r>
      <w:proofErr w:type="spellEnd"/>
      <w:r w:rsidRPr="004B535A">
        <w:t xml:space="preserve">, </w:t>
      </w:r>
      <w:r w:rsidR="00A85B41" w:rsidRPr="004B535A">
        <w:t xml:space="preserve">welcomed the </w:t>
      </w:r>
      <w:r w:rsidR="00E33BF0" w:rsidRPr="004B535A">
        <w:t>participants</w:t>
      </w:r>
      <w:r w:rsidR="00A85B41" w:rsidRPr="004B535A">
        <w:t xml:space="preserve">. </w:t>
      </w:r>
      <w:r w:rsidR="00ED3A58" w:rsidRPr="004B535A">
        <w:t>She noted that the rate of data reporting for 2016 was at a</w:t>
      </w:r>
      <w:r w:rsidR="00EC3958" w:rsidRPr="004B535A">
        <w:t>n</w:t>
      </w:r>
      <w:r w:rsidR="006002F5" w:rsidRPr="004B535A">
        <w:t xml:space="preserve"> historic</w:t>
      </w:r>
      <w:r w:rsidR="00ED3A58" w:rsidRPr="004B535A">
        <w:t xml:space="preserve"> high, with </w:t>
      </w:r>
      <w:r w:rsidR="009166ED" w:rsidRPr="004B535A">
        <w:t>196 of 197</w:t>
      </w:r>
      <w:r w:rsidRPr="004B535A">
        <w:t xml:space="preserve"> </w:t>
      </w:r>
      <w:r w:rsidR="009166ED" w:rsidRPr="004B535A">
        <w:t xml:space="preserve">parties </w:t>
      </w:r>
      <w:r w:rsidR="00ED3A58" w:rsidRPr="004B535A">
        <w:t xml:space="preserve">having reported </w:t>
      </w:r>
      <w:r w:rsidR="00862656" w:rsidRPr="004B535A">
        <w:t xml:space="preserve">their </w:t>
      </w:r>
      <w:r w:rsidR="00CD4719" w:rsidRPr="004B535A">
        <w:t>data</w:t>
      </w:r>
      <w:r w:rsidR="00ED3A58" w:rsidRPr="004B535A">
        <w:t xml:space="preserve">. </w:t>
      </w:r>
      <w:r w:rsidR="00A85B41" w:rsidRPr="004B535A">
        <w:t xml:space="preserve">She </w:t>
      </w:r>
      <w:r w:rsidR="00AC5C4D" w:rsidRPr="004B535A">
        <w:t xml:space="preserve">drew attention to </w:t>
      </w:r>
      <w:r w:rsidR="005E7445" w:rsidRPr="004B535A">
        <w:t>various</w:t>
      </w:r>
      <w:r w:rsidR="00AC5C4D" w:rsidRPr="004B535A">
        <w:t xml:space="preserve"> </w:t>
      </w:r>
      <w:r w:rsidR="00137244" w:rsidRPr="004B535A">
        <w:t>issues</w:t>
      </w:r>
      <w:r w:rsidR="008E4612" w:rsidRPr="004B535A">
        <w:t xml:space="preserve"> for consideration by the Committee</w:t>
      </w:r>
      <w:r w:rsidR="00AC5C4D" w:rsidRPr="004B535A">
        <w:t xml:space="preserve">, including the requests for </w:t>
      </w:r>
      <w:r w:rsidR="00C14E87" w:rsidRPr="004B535A">
        <w:t>changes in baseline data received</w:t>
      </w:r>
      <w:r w:rsidR="00AC5C4D" w:rsidRPr="004B535A">
        <w:t xml:space="preserve"> from Pakistan and the Philippines and the </w:t>
      </w:r>
      <w:r w:rsidR="00C14E87" w:rsidRPr="004B535A">
        <w:t xml:space="preserve">follow-up on non-compliance-related issues through existing plans of action by Kazakhstan and Ukraine to return to compliance. </w:t>
      </w:r>
      <w:r w:rsidR="00ED3A58" w:rsidRPr="004B535A">
        <w:t xml:space="preserve">In closing, she </w:t>
      </w:r>
      <w:r w:rsidR="00C64470" w:rsidRPr="004B535A">
        <w:t>wished the Committee success in its deliberations</w:t>
      </w:r>
      <w:r w:rsidR="008E4612" w:rsidRPr="004B535A">
        <w:t>.</w:t>
      </w:r>
      <w:r w:rsidR="00AB5D50" w:rsidRPr="004B535A">
        <w:t xml:space="preserve"> </w:t>
      </w:r>
    </w:p>
    <w:p w14:paraId="308CC128" w14:textId="77777777" w:rsidR="00A85B41" w:rsidRPr="004B535A" w:rsidRDefault="00C30BEC" w:rsidP="00C30BEC">
      <w:pPr>
        <w:pStyle w:val="CH1"/>
      </w:pPr>
      <w:r w:rsidRPr="004B535A">
        <w:tab/>
      </w:r>
      <w:r w:rsidR="00A85B41" w:rsidRPr="004B535A">
        <w:t>II.</w:t>
      </w:r>
      <w:r w:rsidR="00A85B41" w:rsidRPr="004B535A">
        <w:tab/>
        <w:t>Adoption of the agenda and organization of work</w:t>
      </w:r>
    </w:p>
    <w:p w14:paraId="22DAF154" w14:textId="77777777" w:rsidR="00A85B41" w:rsidRPr="004B535A" w:rsidRDefault="00A85B41" w:rsidP="00C30BEC">
      <w:pPr>
        <w:pStyle w:val="CH2"/>
      </w:pPr>
      <w:r w:rsidRPr="004B535A">
        <w:tab/>
        <w:t>A.</w:t>
      </w:r>
      <w:r w:rsidRPr="004B535A">
        <w:tab/>
        <w:t>Attendance</w:t>
      </w:r>
    </w:p>
    <w:p w14:paraId="4468D62B" w14:textId="77777777" w:rsidR="00A85B41" w:rsidRPr="004B535A" w:rsidRDefault="00A85B41" w:rsidP="004229EA">
      <w:pPr>
        <w:pStyle w:val="Normalnumber"/>
        <w:tabs>
          <w:tab w:val="clear" w:pos="1134"/>
          <w:tab w:val="clear" w:pos="1247"/>
          <w:tab w:val="clear" w:pos="1814"/>
          <w:tab w:val="clear" w:pos="2381"/>
          <w:tab w:val="clear" w:pos="2948"/>
          <w:tab w:val="clear" w:pos="3515"/>
          <w:tab w:val="clear" w:pos="4082"/>
          <w:tab w:val="num" w:pos="624"/>
        </w:tabs>
      </w:pPr>
      <w:r w:rsidRPr="004B535A">
        <w:t>Representatives of the following Committee members attended the meeting: Bangladesh, Canada, Georgia, Haiti, Jordan, Kenya, Paraguay, Romania</w:t>
      </w:r>
      <w:r w:rsidR="001118FE" w:rsidRPr="004B535A">
        <w:t xml:space="preserve"> and </w:t>
      </w:r>
      <w:r w:rsidRPr="004B535A">
        <w:t>United Kingdom of Great Britain and Northern Ireland.</w:t>
      </w:r>
      <w:r w:rsidR="00DB1562" w:rsidRPr="004B535A">
        <w:t xml:space="preserve"> The representative </w:t>
      </w:r>
      <w:r w:rsidR="00FD1AF1" w:rsidRPr="004B535A">
        <w:t>of</w:t>
      </w:r>
      <w:r w:rsidR="008910BB" w:rsidRPr="004B535A">
        <w:t xml:space="preserve"> the</w:t>
      </w:r>
      <w:r w:rsidR="00FD1AF1" w:rsidRPr="004B535A">
        <w:t xml:space="preserve"> </w:t>
      </w:r>
      <w:r w:rsidR="00DB1562" w:rsidRPr="004B535A">
        <w:t>Congo was unable to attend.</w:t>
      </w:r>
    </w:p>
    <w:p w14:paraId="04ED015F" w14:textId="04F2D69F" w:rsidR="00A85B41" w:rsidRPr="004B535A"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4B535A">
        <w:t>The meeting was also attended by representatives of the secretariat of the Multilateral Fund and representatives of the implementing agencies of the Fund</w:t>
      </w:r>
      <w:r w:rsidR="00446F9E" w:rsidRPr="004B535A">
        <w:t>:</w:t>
      </w:r>
      <w:r w:rsidRPr="004B535A">
        <w:t xml:space="preserve"> </w:t>
      </w:r>
      <w:proofErr w:type="gramStart"/>
      <w:r w:rsidRPr="004B535A">
        <w:t>the</w:t>
      </w:r>
      <w:proofErr w:type="gramEnd"/>
      <w:r w:rsidRPr="004B535A">
        <w:t xml:space="preserve"> United Nations Development</w:t>
      </w:r>
      <w:r w:rsidR="004961D5" w:rsidRPr="004B535A">
        <w:t xml:space="preserve"> Programme</w:t>
      </w:r>
      <w:r w:rsidRPr="004B535A">
        <w:t>, the United Nati</w:t>
      </w:r>
      <w:r w:rsidR="009F3972" w:rsidRPr="004B535A">
        <w:t>ons Environment Programme</w:t>
      </w:r>
      <w:r w:rsidRPr="004B535A">
        <w:t>, the</w:t>
      </w:r>
      <w:r w:rsidR="001118FE" w:rsidRPr="004B535A">
        <w:rPr>
          <w:rFonts w:ascii="MS Mincho" w:eastAsia="MS Mincho" w:hAnsi="MS Mincho" w:cs="MS Mincho"/>
        </w:rPr>
        <w:t xml:space="preserve"> </w:t>
      </w:r>
      <w:r w:rsidR="001118FE" w:rsidRPr="004B535A">
        <w:t xml:space="preserve">United </w:t>
      </w:r>
      <w:r w:rsidRPr="004B535A">
        <w:t>Nations Indus</w:t>
      </w:r>
      <w:r w:rsidR="009F3972" w:rsidRPr="004B535A">
        <w:t>trial Development Organization</w:t>
      </w:r>
      <w:r w:rsidRPr="004B535A">
        <w:t xml:space="preserve"> and the World Bank. </w:t>
      </w:r>
    </w:p>
    <w:p w14:paraId="135A5382" w14:textId="72421C05" w:rsidR="00A85B41" w:rsidRPr="004B535A" w:rsidRDefault="00E556C3" w:rsidP="00516478">
      <w:pPr>
        <w:pStyle w:val="Normalnumber"/>
        <w:tabs>
          <w:tab w:val="clear" w:pos="1134"/>
          <w:tab w:val="clear" w:pos="1247"/>
          <w:tab w:val="clear" w:pos="1814"/>
          <w:tab w:val="clear" w:pos="2381"/>
          <w:tab w:val="clear" w:pos="2948"/>
          <w:tab w:val="clear" w:pos="3515"/>
          <w:tab w:val="clear" w:pos="4082"/>
          <w:tab w:val="num" w:pos="624"/>
        </w:tabs>
      </w:pPr>
      <w:r w:rsidRPr="004B535A">
        <w:t>The r</w:t>
      </w:r>
      <w:r w:rsidR="00A85B41" w:rsidRPr="004B535A">
        <w:t xml:space="preserve">epresentatives of Kazakhstan </w:t>
      </w:r>
      <w:r w:rsidR="008E49F9" w:rsidRPr="004B535A">
        <w:t xml:space="preserve">and </w:t>
      </w:r>
      <w:r w:rsidR="00552ABD" w:rsidRPr="004B535A">
        <w:t xml:space="preserve">the </w:t>
      </w:r>
      <w:r w:rsidR="008E49F9" w:rsidRPr="004B535A">
        <w:t xml:space="preserve">Philippines </w:t>
      </w:r>
      <w:r w:rsidR="00A85B41" w:rsidRPr="004B535A">
        <w:t>attended as invited parties.</w:t>
      </w:r>
      <w:r w:rsidR="003868E4" w:rsidRPr="004B535A">
        <w:t xml:space="preserve"> A </w:t>
      </w:r>
      <w:r w:rsidR="008E49F9" w:rsidRPr="004B535A">
        <w:t xml:space="preserve">representative of Pakistan had been invited to attend, but was unable to do so. </w:t>
      </w:r>
    </w:p>
    <w:p w14:paraId="0B426C56" w14:textId="77777777" w:rsidR="00A85B41" w:rsidRPr="004B535A"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4B535A">
        <w:t>A list of participants is set out in annex II to the present report.</w:t>
      </w:r>
    </w:p>
    <w:p w14:paraId="0E42C502" w14:textId="77777777" w:rsidR="00A85B41" w:rsidRPr="004B535A" w:rsidRDefault="00A85B41" w:rsidP="00C30BEC">
      <w:pPr>
        <w:pStyle w:val="CH2"/>
      </w:pPr>
      <w:r w:rsidRPr="004B535A">
        <w:lastRenderedPageBreak/>
        <w:tab/>
        <w:t>B.</w:t>
      </w:r>
      <w:r w:rsidRPr="004B535A">
        <w:tab/>
        <w:t>Adoption of the agenda</w:t>
      </w:r>
    </w:p>
    <w:p w14:paraId="328CA62F" w14:textId="77777777" w:rsidR="00A85B41" w:rsidRPr="004B535A" w:rsidRDefault="00A85B41" w:rsidP="00516478">
      <w:pPr>
        <w:pStyle w:val="Normalnumber"/>
        <w:keepNext/>
        <w:keepLines/>
        <w:tabs>
          <w:tab w:val="clear" w:pos="1134"/>
          <w:tab w:val="clear" w:pos="1247"/>
          <w:tab w:val="clear" w:pos="1814"/>
          <w:tab w:val="clear" w:pos="2381"/>
          <w:tab w:val="clear" w:pos="2948"/>
          <w:tab w:val="clear" w:pos="3515"/>
          <w:tab w:val="clear" w:pos="4082"/>
          <w:tab w:val="num" w:pos="624"/>
        </w:tabs>
      </w:pPr>
      <w:r w:rsidRPr="004B535A">
        <w:t>The Committee adopted the following agenda on the basis of the provisional agenda (UNEP/</w:t>
      </w:r>
      <w:proofErr w:type="spellStart"/>
      <w:r w:rsidRPr="004B535A">
        <w:t>OzL.Pro</w:t>
      </w:r>
      <w:proofErr w:type="spellEnd"/>
      <w:r w:rsidRPr="004B535A">
        <w:t>/</w:t>
      </w:r>
      <w:proofErr w:type="spellStart"/>
      <w:r w:rsidRPr="004B535A">
        <w:t>ImpCom</w:t>
      </w:r>
      <w:proofErr w:type="spellEnd"/>
      <w:r w:rsidRPr="004B535A">
        <w:t>/5</w:t>
      </w:r>
      <w:r w:rsidR="009844A1" w:rsidRPr="004B535A">
        <w:t>9</w:t>
      </w:r>
      <w:r w:rsidRPr="004B535A">
        <w:t>/R.1</w:t>
      </w:r>
      <w:r w:rsidR="009844A1" w:rsidRPr="004B535A">
        <w:t>/Rev.1</w:t>
      </w:r>
      <w:r w:rsidRPr="004B535A">
        <w:t>):</w:t>
      </w:r>
    </w:p>
    <w:p w14:paraId="58D0255A" w14:textId="77777777" w:rsidR="00A203E3" w:rsidRPr="004B535A" w:rsidRDefault="00A203E3" w:rsidP="00997D88">
      <w:pPr>
        <w:numPr>
          <w:ilvl w:val="0"/>
          <w:numId w:val="5"/>
        </w:numPr>
        <w:tabs>
          <w:tab w:val="clear" w:pos="1247"/>
          <w:tab w:val="clear" w:pos="1814"/>
          <w:tab w:val="clear" w:pos="2381"/>
          <w:tab w:val="clear" w:pos="2948"/>
          <w:tab w:val="clear" w:pos="3515"/>
        </w:tabs>
        <w:spacing w:after="120"/>
        <w:ind w:left="2495" w:hanging="624"/>
      </w:pPr>
      <w:r w:rsidRPr="004B535A">
        <w:t>Opening of the meeting.</w:t>
      </w:r>
    </w:p>
    <w:p w14:paraId="4435C416" w14:textId="77777777" w:rsidR="00A203E3" w:rsidRPr="004B535A" w:rsidRDefault="00A203E3" w:rsidP="00997D88">
      <w:pPr>
        <w:numPr>
          <w:ilvl w:val="0"/>
          <w:numId w:val="5"/>
        </w:numPr>
        <w:tabs>
          <w:tab w:val="clear" w:pos="1247"/>
          <w:tab w:val="clear" w:pos="1814"/>
          <w:tab w:val="clear" w:pos="2381"/>
          <w:tab w:val="clear" w:pos="2948"/>
          <w:tab w:val="clear" w:pos="3515"/>
        </w:tabs>
        <w:spacing w:after="120"/>
        <w:ind w:left="2495" w:hanging="624"/>
      </w:pPr>
      <w:r w:rsidRPr="004B535A">
        <w:t>Adoption of the agenda and organization of work.</w:t>
      </w:r>
    </w:p>
    <w:p w14:paraId="5DB06A64" w14:textId="77777777" w:rsidR="00A203E3" w:rsidRPr="004B535A" w:rsidRDefault="00A203E3" w:rsidP="00997D88">
      <w:pPr>
        <w:numPr>
          <w:ilvl w:val="0"/>
          <w:numId w:val="5"/>
        </w:numPr>
        <w:tabs>
          <w:tab w:val="clear" w:pos="1247"/>
          <w:tab w:val="clear" w:pos="1814"/>
          <w:tab w:val="clear" w:pos="2381"/>
          <w:tab w:val="clear" w:pos="2948"/>
          <w:tab w:val="clear" w:pos="3515"/>
        </w:tabs>
        <w:spacing w:after="120"/>
        <w:ind w:left="2495" w:hanging="624"/>
      </w:pPr>
      <w:r w:rsidRPr="004B535A">
        <w:t>Presentation by the Secretariat on data and information under Articles 7 and 9 of the Montreal Protocol and on related issues.</w:t>
      </w:r>
    </w:p>
    <w:p w14:paraId="53EE5578" w14:textId="77777777" w:rsidR="00A203E3" w:rsidRPr="004B535A" w:rsidRDefault="00A203E3" w:rsidP="00997D88">
      <w:pPr>
        <w:numPr>
          <w:ilvl w:val="0"/>
          <w:numId w:val="5"/>
        </w:numPr>
        <w:tabs>
          <w:tab w:val="clear" w:pos="1247"/>
          <w:tab w:val="clear" w:pos="1814"/>
          <w:tab w:val="clear" w:pos="2381"/>
          <w:tab w:val="clear" w:pos="2948"/>
          <w:tab w:val="clear" w:pos="3515"/>
        </w:tabs>
        <w:spacing w:after="120"/>
        <w:ind w:left="2495" w:hanging="624"/>
      </w:pPr>
      <w:r w:rsidRPr="004B535A">
        <w:t>Presentation by the secretariat of the Multilateral Fund for the Implementation of the Montreal Protocol on relevant decisions of the Executive Committee of the Fund and on activities carried out by implementing agencies (the United Nations Development Programme, the United Nations Environment Programme, the United Nations Industrial Development Organization and the World Bank) to facilitate compliance by parties.</w:t>
      </w:r>
    </w:p>
    <w:p w14:paraId="7951BFF2" w14:textId="77777777" w:rsidR="00A203E3" w:rsidRPr="004B535A" w:rsidRDefault="00A203E3" w:rsidP="00997D88">
      <w:pPr>
        <w:numPr>
          <w:ilvl w:val="0"/>
          <w:numId w:val="5"/>
        </w:numPr>
        <w:tabs>
          <w:tab w:val="clear" w:pos="1247"/>
          <w:tab w:val="clear" w:pos="1814"/>
          <w:tab w:val="clear" w:pos="2381"/>
          <w:tab w:val="clear" w:pos="2948"/>
          <w:tab w:val="clear" w:pos="3515"/>
        </w:tabs>
        <w:spacing w:after="120"/>
        <w:ind w:left="2495" w:hanging="624"/>
      </w:pPr>
      <w:r w:rsidRPr="004B535A">
        <w:t>Follow-up on previous decisions of the parties and recommendations of the Implementation Committee on non-compliance-related issues:</w:t>
      </w:r>
      <w:r w:rsidRPr="004B535A" w:rsidDel="00B03E34">
        <w:t xml:space="preserve"> </w:t>
      </w:r>
      <w:r w:rsidRPr="004B535A">
        <w:t xml:space="preserve">existing plans of action to return to compliance: </w:t>
      </w:r>
    </w:p>
    <w:p w14:paraId="503DA192" w14:textId="77777777" w:rsidR="00A203E3" w:rsidRPr="004B535A" w:rsidRDefault="00A203E3" w:rsidP="000D5DFB">
      <w:pPr>
        <w:pStyle w:val="Normalnumber"/>
        <w:numPr>
          <w:ilvl w:val="0"/>
          <w:numId w:val="6"/>
        </w:numPr>
        <w:tabs>
          <w:tab w:val="clear" w:pos="1247"/>
          <w:tab w:val="clear" w:pos="1814"/>
          <w:tab w:val="clear" w:pos="2381"/>
          <w:tab w:val="clear" w:pos="2948"/>
          <w:tab w:val="clear" w:pos="3515"/>
          <w:tab w:val="clear" w:pos="4082"/>
          <w:tab w:val="left" w:pos="624"/>
        </w:tabs>
        <w:ind w:left="3150" w:hanging="624"/>
      </w:pPr>
      <w:r w:rsidRPr="004B535A">
        <w:t xml:space="preserve">Kazakhstan (decision XXVI/13 and recommendation 58/1); </w:t>
      </w:r>
    </w:p>
    <w:p w14:paraId="676C4537" w14:textId="77777777" w:rsidR="00A203E3" w:rsidRPr="004B535A" w:rsidRDefault="00A203E3" w:rsidP="000D5DFB">
      <w:pPr>
        <w:pStyle w:val="Normalnumber"/>
        <w:numPr>
          <w:ilvl w:val="0"/>
          <w:numId w:val="6"/>
        </w:numPr>
        <w:tabs>
          <w:tab w:val="clear" w:pos="1247"/>
          <w:tab w:val="clear" w:pos="1814"/>
          <w:tab w:val="clear" w:pos="2381"/>
          <w:tab w:val="clear" w:pos="2948"/>
          <w:tab w:val="clear" w:pos="3515"/>
          <w:tab w:val="clear" w:pos="4082"/>
          <w:tab w:val="left" w:pos="624"/>
        </w:tabs>
        <w:ind w:left="3150" w:hanging="624"/>
      </w:pPr>
      <w:r w:rsidRPr="004B535A">
        <w:t xml:space="preserve">Ukraine (decision XXIV/18 and recommendation 58/2). </w:t>
      </w:r>
    </w:p>
    <w:p w14:paraId="3FA82D64" w14:textId="77777777" w:rsidR="00A203E3" w:rsidRPr="004B535A" w:rsidRDefault="00A203E3" w:rsidP="00997D88">
      <w:pPr>
        <w:numPr>
          <w:ilvl w:val="0"/>
          <w:numId w:val="5"/>
        </w:numPr>
        <w:tabs>
          <w:tab w:val="clear" w:pos="1247"/>
          <w:tab w:val="clear" w:pos="1814"/>
          <w:tab w:val="clear" w:pos="2381"/>
          <w:tab w:val="clear" w:pos="2948"/>
          <w:tab w:val="clear" w:pos="3515"/>
        </w:tabs>
        <w:spacing w:after="120"/>
        <w:ind w:left="2495" w:hanging="624"/>
      </w:pPr>
      <w:r w:rsidRPr="004B535A">
        <w:t xml:space="preserve">Data reporting obligations: reporting of zero in Article 7 data reporting forms (decision XXIV/14 and recommendation 58/4). </w:t>
      </w:r>
    </w:p>
    <w:p w14:paraId="31E22A13" w14:textId="77777777" w:rsidR="00A203E3" w:rsidRPr="004B535A" w:rsidRDefault="00A203E3" w:rsidP="00997D88">
      <w:pPr>
        <w:numPr>
          <w:ilvl w:val="0"/>
          <w:numId w:val="5"/>
        </w:numPr>
        <w:tabs>
          <w:tab w:val="clear" w:pos="1247"/>
          <w:tab w:val="clear" w:pos="1814"/>
          <w:tab w:val="clear" w:pos="2381"/>
          <w:tab w:val="clear" w:pos="2948"/>
          <w:tab w:val="clear" w:pos="3515"/>
        </w:tabs>
        <w:spacing w:after="120"/>
        <w:ind w:left="2495" w:hanging="624"/>
      </w:pPr>
      <w:r w:rsidRPr="004B535A">
        <w:t>Consideration of other possible non-compliance issues arising out of the data report.</w:t>
      </w:r>
    </w:p>
    <w:p w14:paraId="4C74DF16" w14:textId="77777777" w:rsidR="00A203E3" w:rsidRPr="004B535A" w:rsidRDefault="00A203E3" w:rsidP="00997D88">
      <w:pPr>
        <w:numPr>
          <w:ilvl w:val="0"/>
          <w:numId w:val="5"/>
        </w:numPr>
        <w:tabs>
          <w:tab w:val="clear" w:pos="1247"/>
          <w:tab w:val="clear" w:pos="1814"/>
          <w:tab w:val="clear" w:pos="2381"/>
          <w:tab w:val="clear" w:pos="2948"/>
          <w:tab w:val="clear" w:pos="3515"/>
        </w:tabs>
        <w:spacing w:after="120"/>
        <w:ind w:left="2495" w:hanging="624"/>
      </w:pPr>
      <w:r w:rsidRPr="004B535A">
        <w:t>Requests for changes in baseline data (decisions XIII/15 and XV/19):</w:t>
      </w:r>
    </w:p>
    <w:p w14:paraId="3A9F3412" w14:textId="77777777" w:rsidR="00A203E3" w:rsidRPr="004B535A" w:rsidRDefault="00A203E3" w:rsidP="000D5DFB">
      <w:pPr>
        <w:numPr>
          <w:ilvl w:val="0"/>
          <w:numId w:val="7"/>
        </w:numPr>
        <w:tabs>
          <w:tab w:val="clear" w:pos="1247"/>
          <w:tab w:val="clear" w:pos="1814"/>
          <w:tab w:val="clear" w:pos="2381"/>
          <w:tab w:val="clear" w:pos="2948"/>
          <w:tab w:val="clear" w:pos="3515"/>
          <w:tab w:val="num" w:pos="624"/>
        </w:tabs>
        <w:spacing w:after="120"/>
        <w:ind w:left="3150" w:hanging="624"/>
      </w:pPr>
      <w:r w:rsidRPr="004B535A">
        <w:t>Pakistan;</w:t>
      </w:r>
    </w:p>
    <w:p w14:paraId="089D71A8" w14:textId="77777777" w:rsidR="00A203E3" w:rsidRPr="004B535A" w:rsidRDefault="00A203E3" w:rsidP="000D5DFB">
      <w:pPr>
        <w:numPr>
          <w:ilvl w:val="0"/>
          <w:numId w:val="7"/>
        </w:numPr>
        <w:tabs>
          <w:tab w:val="clear" w:pos="1247"/>
          <w:tab w:val="clear" w:pos="1814"/>
          <w:tab w:val="clear" w:pos="2381"/>
          <w:tab w:val="clear" w:pos="2948"/>
          <w:tab w:val="clear" w:pos="3515"/>
          <w:tab w:val="num" w:pos="624"/>
        </w:tabs>
        <w:spacing w:after="120"/>
        <w:ind w:left="3150" w:hanging="624"/>
      </w:pPr>
      <w:r w:rsidRPr="004B535A">
        <w:t>Philippines.</w:t>
      </w:r>
      <w:r w:rsidR="003F2768" w:rsidRPr="004B535A">
        <w:t xml:space="preserve">  </w:t>
      </w:r>
    </w:p>
    <w:p w14:paraId="1B1DE8B7" w14:textId="77777777" w:rsidR="00A203E3" w:rsidRPr="004B535A" w:rsidRDefault="00A203E3" w:rsidP="00997D88">
      <w:pPr>
        <w:numPr>
          <w:ilvl w:val="0"/>
          <w:numId w:val="5"/>
        </w:numPr>
        <w:tabs>
          <w:tab w:val="clear" w:pos="1247"/>
          <w:tab w:val="clear" w:pos="1814"/>
          <w:tab w:val="clear" w:pos="2381"/>
          <w:tab w:val="clear" w:pos="2948"/>
          <w:tab w:val="clear" w:pos="3515"/>
        </w:tabs>
        <w:spacing w:after="120"/>
        <w:ind w:left="2495" w:hanging="624"/>
      </w:pPr>
      <w:r w:rsidRPr="004B535A">
        <w:t>Other matters.</w:t>
      </w:r>
    </w:p>
    <w:p w14:paraId="65756E2C" w14:textId="77777777" w:rsidR="00A203E3" w:rsidRPr="004B535A" w:rsidRDefault="00A203E3" w:rsidP="00997D88">
      <w:pPr>
        <w:numPr>
          <w:ilvl w:val="0"/>
          <w:numId w:val="5"/>
        </w:numPr>
        <w:tabs>
          <w:tab w:val="clear" w:pos="1247"/>
          <w:tab w:val="clear" w:pos="1814"/>
          <w:tab w:val="clear" w:pos="2381"/>
          <w:tab w:val="clear" w:pos="2948"/>
          <w:tab w:val="clear" w:pos="3515"/>
        </w:tabs>
        <w:spacing w:after="120"/>
        <w:ind w:left="2495" w:hanging="624"/>
      </w:pPr>
      <w:r w:rsidRPr="004B535A">
        <w:t>Adoption of the recommendations and report of the meeting.</w:t>
      </w:r>
    </w:p>
    <w:p w14:paraId="651088F1" w14:textId="77777777" w:rsidR="00A203E3" w:rsidRPr="004B535A" w:rsidRDefault="00A203E3" w:rsidP="00997D88">
      <w:pPr>
        <w:numPr>
          <w:ilvl w:val="0"/>
          <w:numId w:val="5"/>
        </w:numPr>
        <w:tabs>
          <w:tab w:val="clear" w:pos="1247"/>
          <w:tab w:val="clear" w:pos="1814"/>
          <w:tab w:val="clear" w:pos="2381"/>
          <w:tab w:val="clear" w:pos="2948"/>
          <w:tab w:val="clear" w:pos="3515"/>
          <w:tab w:val="left" w:pos="624"/>
        </w:tabs>
        <w:spacing w:after="120"/>
        <w:ind w:left="2495" w:hanging="624"/>
      </w:pPr>
      <w:r w:rsidRPr="004B535A">
        <w:t xml:space="preserve">Closure of the meeting. </w:t>
      </w:r>
    </w:p>
    <w:p w14:paraId="46626229" w14:textId="77777777" w:rsidR="00A85B41" w:rsidRPr="004B535A" w:rsidRDefault="00A85B41" w:rsidP="00C30BEC">
      <w:pPr>
        <w:pStyle w:val="CH2"/>
      </w:pPr>
      <w:r w:rsidRPr="004B535A">
        <w:tab/>
        <w:t>C.</w:t>
      </w:r>
      <w:r w:rsidRPr="004B535A">
        <w:tab/>
        <w:t>Organization of work</w:t>
      </w:r>
    </w:p>
    <w:p w14:paraId="475CAC37" w14:textId="77777777" w:rsidR="00A85B41" w:rsidRPr="004B535A"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Committee agreed to follow its </w:t>
      </w:r>
      <w:r w:rsidR="00906951" w:rsidRPr="004B535A">
        <w:t xml:space="preserve">usual </w:t>
      </w:r>
      <w:r w:rsidRPr="004B535A">
        <w:t xml:space="preserve">procedures. </w:t>
      </w:r>
    </w:p>
    <w:p w14:paraId="49479458" w14:textId="77777777" w:rsidR="00A85B41" w:rsidRPr="004B535A" w:rsidRDefault="00A85B41" w:rsidP="00C30BEC">
      <w:pPr>
        <w:pStyle w:val="CH1"/>
      </w:pPr>
      <w:r w:rsidRPr="004B535A">
        <w:tab/>
        <w:t>III.</w:t>
      </w:r>
      <w:r w:rsidRPr="004B535A">
        <w:tab/>
        <w:t>Presentation by the Secretariat on data and information under Articles 7 and 9 of the Montreal Protocol and on related issues</w:t>
      </w:r>
    </w:p>
    <w:p w14:paraId="5A12D00E" w14:textId="77777777" w:rsidR="00A85B41" w:rsidRPr="004B535A" w:rsidRDefault="00A85B41" w:rsidP="00B700FD">
      <w:pPr>
        <w:pStyle w:val="Normalnumber"/>
        <w:tabs>
          <w:tab w:val="clear" w:pos="1134"/>
          <w:tab w:val="clear" w:pos="1247"/>
          <w:tab w:val="clear" w:pos="1814"/>
          <w:tab w:val="clear" w:pos="2381"/>
          <w:tab w:val="clear" w:pos="2948"/>
          <w:tab w:val="clear" w:pos="3515"/>
          <w:tab w:val="clear" w:pos="4082"/>
          <w:tab w:val="num" w:pos="624"/>
        </w:tabs>
        <w:rPr>
          <w:iCs/>
        </w:rPr>
      </w:pPr>
      <w:r w:rsidRPr="004B535A">
        <w:rPr>
          <w:iCs/>
        </w:rPr>
        <w:t xml:space="preserve">The representative of the Secretariat gave a presentation summarizing the report of the Secretariat on the data provided by parties in accordance with Articles 7 and 9 of the Montreal </w:t>
      </w:r>
      <w:r w:rsidR="005F5586" w:rsidRPr="004B535A">
        <w:rPr>
          <w:iCs/>
        </w:rPr>
        <w:t>Protocol (UNEP/</w:t>
      </w:r>
      <w:proofErr w:type="spellStart"/>
      <w:r w:rsidR="005F5586" w:rsidRPr="004B535A">
        <w:rPr>
          <w:iCs/>
        </w:rPr>
        <w:t>OzL.Pro</w:t>
      </w:r>
      <w:proofErr w:type="spellEnd"/>
      <w:r w:rsidR="005F5586" w:rsidRPr="004B535A">
        <w:rPr>
          <w:iCs/>
        </w:rPr>
        <w:t>/</w:t>
      </w:r>
      <w:proofErr w:type="spellStart"/>
      <w:r w:rsidR="005F5586" w:rsidRPr="004B535A">
        <w:rPr>
          <w:iCs/>
        </w:rPr>
        <w:t>ImpCom</w:t>
      </w:r>
      <w:proofErr w:type="spellEnd"/>
      <w:r w:rsidR="005F5586" w:rsidRPr="004B535A">
        <w:rPr>
          <w:iCs/>
        </w:rPr>
        <w:t>/59</w:t>
      </w:r>
      <w:r w:rsidRPr="004B535A">
        <w:rPr>
          <w:iCs/>
        </w:rPr>
        <w:t>/</w:t>
      </w:r>
      <w:r w:rsidR="00DB1562" w:rsidRPr="004B535A">
        <w:rPr>
          <w:iCs/>
        </w:rPr>
        <w:t>2</w:t>
      </w:r>
      <w:r w:rsidR="005F5586" w:rsidRPr="004B535A">
        <w:rPr>
          <w:iCs/>
        </w:rPr>
        <w:t xml:space="preserve"> and </w:t>
      </w:r>
      <w:r w:rsidR="00923E35" w:rsidRPr="004B535A">
        <w:rPr>
          <w:iCs/>
        </w:rPr>
        <w:t>UNEP/</w:t>
      </w:r>
      <w:proofErr w:type="spellStart"/>
      <w:r w:rsidR="00923E35" w:rsidRPr="004B535A">
        <w:rPr>
          <w:iCs/>
        </w:rPr>
        <w:t>OzL.Pro</w:t>
      </w:r>
      <w:proofErr w:type="spellEnd"/>
      <w:r w:rsidR="00923E35" w:rsidRPr="004B535A">
        <w:rPr>
          <w:iCs/>
        </w:rPr>
        <w:t>/</w:t>
      </w:r>
      <w:proofErr w:type="spellStart"/>
      <w:r w:rsidR="00923E35" w:rsidRPr="004B535A">
        <w:rPr>
          <w:iCs/>
        </w:rPr>
        <w:t>ImpCom</w:t>
      </w:r>
      <w:proofErr w:type="spellEnd"/>
      <w:r w:rsidR="00923E35" w:rsidRPr="004B535A">
        <w:rPr>
          <w:iCs/>
        </w:rPr>
        <w:t>/59/2/Add.1</w:t>
      </w:r>
      <w:r w:rsidRPr="004B535A">
        <w:rPr>
          <w:iCs/>
        </w:rPr>
        <w:t>).</w:t>
      </w:r>
      <w:r w:rsidR="00C13B65" w:rsidRPr="004B535A">
        <w:rPr>
          <w:iCs/>
        </w:rPr>
        <w:t xml:space="preserve"> </w:t>
      </w:r>
    </w:p>
    <w:p w14:paraId="1EC48BFE" w14:textId="1C8222B0" w:rsidR="00E678D3" w:rsidRPr="004B535A" w:rsidRDefault="00A85B41" w:rsidP="00B700FD">
      <w:pPr>
        <w:pStyle w:val="Normalnumber"/>
        <w:tabs>
          <w:tab w:val="clear" w:pos="1247"/>
          <w:tab w:val="clear" w:pos="1814"/>
          <w:tab w:val="clear" w:pos="2381"/>
          <w:tab w:val="clear" w:pos="2948"/>
          <w:tab w:val="clear" w:pos="3515"/>
          <w:tab w:val="clear" w:pos="4082"/>
        </w:tabs>
      </w:pPr>
      <w:r w:rsidRPr="004B535A">
        <w:t xml:space="preserve">On </w:t>
      </w:r>
      <w:r w:rsidR="00FD67AE" w:rsidRPr="004B535A">
        <w:t xml:space="preserve">the </w:t>
      </w:r>
      <w:r w:rsidRPr="004B535A">
        <w:t>reporting of da</w:t>
      </w:r>
      <w:r w:rsidR="004C7FB4" w:rsidRPr="004B535A">
        <w:t>ta under Article 7 for 2016, 196</w:t>
      </w:r>
      <w:r w:rsidRPr="004B535A">
        <w:t xml:space="preserve"> of 197 parties had reported by </w:t>
      </w:r>
      <w:r w:rsidR="008B349D" w:rsidRPr="004B535A">
        <w:t>10</w:t>
      </w:r>
      <w:r w:rsidR="00D21223" w:rsidRPr="004B535A">
        <w:t> </w:t>
      </w:r>
      <w:r w:rsidR="008B349D" w:rsidRPr="004B535A">
        <w:t>November 2017</w:t>
      </w:r>
      <w:r w:rsidRPr="004B535A">
        <w:t xml:space="preserve">. Of those, 130 had reported by 30 June 2017, as encouraged </w:t>
      </w:r>
      <w:r w:rsidR="00A7490C" w:rsidRPr="004B535A">
        <w:t xml:space="preserve">in </w:t>
      </w:r>
      <w:r w:rsidRPr="004B535A">
        <w:t>decision XV/15</w:t>
      </w:r>
      <w:r w:rsidR="008B349D" w:rsidRPr="004B535A">
        <w:t xml:space="preserve">, and 180 had reported by 30 September 2017. </w:t>
      </w:r>
      <w:bookmarkStart w:id="0" w:name="_Hlk501007066"/>
      <w:r w:rsidR="005A7EAB" w:rsidRPr="004B535A">
        <w:t>Only the Holy See had yet to report</w:t>
      </w:r>
      <w:r w:rsidR="00E678D3" w:rsidRPr="004B535A">
        <w:t xml:space="preserve">, placing it in </w:t>
      </w:r>
      <w:r w:rsidR="003868E4" w:rsidRPr="004B535A">
        <w:br/>
      </w:r>
      <w:r w:rsidR="00E678D3" w:rsidRPr="004B535A">
        <w:t>non-compliance with its data-reporting obligations under the Protocol</w:t>
      </w:r>
      <w:bookmarkEnd w:id="0"/>
      <w:r w:rsidR="00874D1E" w:rsidRPr="004B535A">
        <w:t>.</w:t>
      </w:r>
    </w:p>
    <w:p w14:paraId="753B601E" w14:textId="77777777" w:rsidR="002751AD" w:rsidRPr="004B535A" w:rsidRDefault="002751AD" w:rsidP="00B700FD">
      <w:pPr>
        <w:pStyle w:val="Normalnumber"/>
        <w:tabs>
          <w:tab w:val="clear" w:pos="1247"/>
          <w:tab w:val="clear" w:pos="1814"/>
          <w:tab w:val="clear" w:pos="2381"/>
          <w:tab w:val="clear" w:pos="2948"/>
          <w:tab w:val="clear" w:pos="3515"/>
          <w:tab w:val="clear" w:pos="4082"/>
        </w:tabs>
      </w:pPr>
      <w:r w:rsidRPr="004B535A">
        <w:t>With regard to non-compliance</w:t>
      </w:r>
      <w:r w:rsidR="008907D5" w:rsidRPr="004B535A">
        <w:t xml:space="preserve"> with the control measures for 2016,</w:t>
      </w:r>
      <w:r w:rsidRPr="004B535A">
        <w:t xml:space="preserve"> one</w:t>
      </w:r>
      <w:r w:rsidR="00FD67AE" w:rsidRPr="004B535A">
        <w:t xml:space="preserve"> party not operating under paragraph 1 of Article 5</w:t>
      </w:r>
      <w:r w:rsidR="00FD67AE" w:rsidRPr="004B535A">
        <w:rPr>
          <w:bCs/>
        </w:rPr>
        <w:t xml:space="preserve">, </w:t>
      </w:r>
      <w:r w:rsidRPr="004B535A">
        <w:rPr>
          <w:bCs/>
        </w:rPr>
        <w:t>Kazakhstan</w:t>
      </w:r>
      <w:r w:rsidR="00FD67AE" w:rsidRPr="004B535A">
        <w:rPr>
          <w:bCs/>
        </w:rPr>
        <w:t xml:space="preserve">, </w:t>
      </w:r>
      <w:r w:rsidR="00FD67AE" w:rsidRPr="004B535A">
        <w:t>had</w:t>
      </w:r>
      <w:r w:rsidRPr="004B535A">
        <w:t xml:space="preserve"> its </w:t>
      </w:r>
      <w:r w:rsidR="00FD67AE" w:rsidRPr="004B535A">
        <w:t xml:space="preserve">case </w:t>
      </w:r>
      <w:r w:rsidRPr="004B535A">
        <w:t>under consideration</w:t>
      </w:r>
      <w:r w:rsidR="008907D5" w:rsidRPr="004B535A">
        <w:t xml:space="preserve"> for its excess consumption of hydrochlorofluorocarbons (HCFCs)</w:t>
      </w:r>
      <w:r w:rsidR="00FD67AE" w:rsidRPr="004B535A">
        <w:t>.</w:t>
      </w:r>
      <w:r w:rsidRPr="004B535A">
        <w:t xml:space="preserve"> </w:t>
      </w:r>
    </w:p>
    <w:p w14:paraId="01E35EBB" w14:textId="6AB929B6" w:rsidR="002751AD" w:rsidRPr="004B535A" w:rsidRDefault="00FD67AE" w:rsidP="00E45835">
      <w:pPr>
        <w:pStyle w:val="Normalnumber"/>
        <w:spacing w:after="160" w:line="259" w:lineRule="auto"/>
      </w:pPr>
      <w:r w:rsidRPr="004B535A">
        <w:t xml:space="preserve">On cases of </w:t>
      </w:r>
      <w:r w:rsidR="00AB36FD" w:rsidRPr="004B535A">
        <w:t xml:space="preserve">possible </w:t>
      </w:r>
      <w:r w:rsidRPr="004B535A">
        <w:t xml:space="preserve">non-compliance </w:t>
      </w:r>
      <w:r w:rsidR="008907D5" w:rsidRPr="004B535A">
        <w:t>for 2016,</w:t>
      </w:r>
      <w:r w:rsidRPr="004B535A">
        <w:t xml:space="preserve"> one </w:t>
      </w:r>
      <w:r w:rsidR="00E45835" w:rsidRPr="004B535A">
        <w:t>party not operating under paragraph 1 of Article 5</w:t>
      </w:r>
      <w:r w:rsidR="009F2328" w:rsidRPr="004B535A">
        <w:t xml:space="preserve"> </w:t>
      </w:r>
      <w:r w:rsidR="00E678D3" w:rsidRPr="004B535A">
        <w:t>wa</w:t>
      </w:r>
      <w:r w:rsidR="002751AD" w:rsidRPr="004B535A">
        <w:t>s yet to clarify its compliance status</w:t>
      </w:r>
      <w:r w:rsidR="00BE6D06" w:rsidRPr="004B535A">
        <w:t xml:space="preserve"> for some of its excess production</w:t>
      </w:r>
      <w:r w:rsidRPr="004B535A">
        <w:t>.</w:t>
      </w:r>
      <w:r w:rsidR="00E45835" w:rsidRPr="004B535A">
        <w:t xml:space="preserve"> However, </w:t>
      </w:r>
      <w:r w:rsidR="00E45835" w:rsidRPr="004B535A">
        <w:rPr>
          <w:iCs/>
        </w:rPr>
        <w:t>t</w:t>
      </w:r>
      <w:r w:rsidR="00BA386B" w:rsidRPr="004B535A">
        <w:rPr>
          <w:iCs/>
        </w:rPr>
        <w:t xml:space="preserve">he </w:t>
      </w:r>
      <w:r w:rsidR="00437492" w:rsidRPr="004B535A">
        <w:t xml:space="preserve">party operating under paragraph 1 of Article 5 </w:t>
      </w:r>
      <w:r w:rsidR="002751AD" w:rsidRPr="004B535A">
        <w:t xml:space="preserve">mentioned at the </w:t>
      </w:r>
      <w:r w:rsidR="006E15C3" w:rsidRPr="004B535A">
        <w:t xml:space="preserve">Committee’s </w:t>
      </w:r>
      <w:r w:rsidR="00E45835" w:rsidRPr="004B535A">
        <w:t xml:space="preserve">previous </w:t>
      </w:r>
      <w:r w:rsidR="002751AD" w:rsidRPr="004B535A">
        <w:t xml:space="preserve">meeting </w:t>
      </w:r>
      <w:r w:rsidR="00437492" w:rsidRPr="004B535A">
        <w:t xml:space="preserve">had since </w:t>
      </w:r>
      <w:r w:rsidR="002751AD" w:rsidRPr="004B535A">
        <w:t>provided clarification on its compliance status</w:t>
      </w:r>
      <w:r w:rsidR="00437492" w:rsidRPr="004B535A">
        <w:t xml:space="preserve">. </w:t>
      </w:r>
      <w:r w:rsidR="00AB36FD" w:rsidRPr="004B535A">
        <w:t>Similarly, South Africa had corrected its data for 2016</w:t>
      </w:r>
      <w:r w:rsidR="00D37A8A" w:rsidRPr="004B535A">
        <w:t>,</w:t>
      </w:r>
      <w:r w:rsidR="00AB36FD" w:rsidRPr="004B535A">
        <w:t xml:space="preserve"> confirming that it was in compliance with the control measures. </w:t>
      </w:r>
      <w:r w:rsidR="00E45835" w:rsidRPr="004B535A">
        <w:rPr>
          <w:iCs/>
        </w:rPr>
        <w:t>I</w:t>
      </w:r>
      <w:r w:rsidR="00437492" w:rsidRPr="004B535A">
        <w:rPr>
          <w:iCs/>
        </w:rPr>
        <w:t xml:space="preserve">n accordance with the </w:t>
      </w:r>
      <w:r w:rsidR="003868E4" w:rsidRPr="004B535A">
        <w:rPr>
          <w:iCs/>
        </w:rPr>
        <w:br/>
      </w:r>
      <w:r w:rsidR="00437492" w:rsidRPr="004B535A">
        <w:rPr>
          <w:iCs/>
        </w:rPr>
        <w:t>non-compliance procedure</w:t>
      </w:r>
      <w:r w:rsidR="00367C7E" w:rsidRPr="004B535A">
        <w:rPr>
          <w:iCs/>
        </w:rPr>
        <w:t>,</w:t>
      </w:r>
      <w:r w:rsidR="00437492" w:rsidRPr="004B535A">
        <w:rPr>
          <w:iCs/>
        </w:rPr>
        <w:t xml:space="preserve"> </w:t>
      </w:r>
      <w:r w:rsidR="00E45835" w:rsidRPr="004B535A">
        <w:rPr>
          <w:iCs/>
        </w:rPr>
        <w:t xml:space="preserve">any cases not resolved </w:t>
      </w:r>
      <w:r w:rsidR="00437492" w:rsidRPr="004B535A">
        <w:rPr>
          <w:iCs/>
        </w:rPr>
        <w:t xml:space="preserve">would </w:t>
      </w:r>
      <w:r w:rsidR="00E45835" w:rsidRPr="004B535A">
        <w:rPr>
          <w:iCs/>
        </w:rPr>
        <w:t xml:space="preserve">be brought </w:t>
      </w:r>
      <w:r w:rsidR="00437492" w:rsidRPr="004B535A">
        <w:rPr>
          <w:iCs/>
        </w:rPr>
        <w:t>to the attention of the C</w:t>
      </w:r>
      <w:r w:rsidR="002751AD" w:rsidRPr="004B535A">
        <w:rPr>
          <w:iCs/>
        </w:rPr>
        <w:t>ommittee</w:t>
      </w:r>
      <w:r w:rsidR="00437492" w:rsidRPr="004B535A">
        <w:rPr>
          <w:iCs/>
        </w:rPr>
        <w:t>.</w:t>
      </w:r>
    </w:p>
    <w:p w14:paraId="0AB5DAEB" w14:textId="77777777" w:rsidR="00B53C32" w:rsidRPr="004B535A" w:rsidRDefault="00E678D3" w:rsidP="00B700FD">
      <w:pPr>
        <w:pStyle w:val="Normalnumber"/>
        <w:tabs>
          <w:tab w:val="num" w:pos="624"/>
        </w:tabs>
      </w:pPr>
      <w:r w:rsidRPr="004B535A">
        <w:lastRenderedPageBreak/>
        <w:t>With regard to</w:t>
      </w:r>
      <w:r w:rsidR="00A85B41" w:rsidRPr="004B535A">
        <w:t xml:space="preserve"> the reporting of excess production or consumption of ozone-depleting substances attributable to stockpiling (decisions XVIII/17 and XXII/20), </w:t>
      </w:r>
      <w:r w:rsidRPr="004B535A">
        <w:t>reports had</w:t>
      </w:r>
      <w:r w:rsidR="00B53C32" w:rsidRPr="004B535A">
        <w:t xml:space="preserve"> been submitted by </w:t>
      </w:r>
      <w:r w:rsidR="00DD4032" w:rsidRPr="004B535A">
        <w:t>Israel and the United States of America</w:t>
      </w:r>
      <w:r w:rsidR="00B53C32" w:rsidRPr="004B535A">
        <w:t>, representing three cases</w:t>
      </w:r>
      <w:r w:rsidR="00DD4032" w:rsidRPr="004B535A">
        <w:t>.</w:t>
      </w:r>
      <w:r w:rsidR="00B53C32" w:rsidRPr="004B535A">
        <w:t xml:space="preserve"> </w:t>
      </w:r>
      <w:r w:rsidRPr="004B535A">
        <w:rPr>
          <w:iCs/>
        </w:rPr>
        <w:t xml:space="preserve">Both parties </w:t>
      </w:r>
      <w:r w:rsidR="00DD4032" w:rsidRPr="004B535A">
        <w:rPr>
          <w:iCs/>
        </w:rPr>
        <w:t xml:space="preserve">had </w:t>
      </w:r>
      <w:r w:rsidRPr="004B535A">
        <w:rPr>
          <w:iCs/>
        </w:rPr>
        <w:t xml:space="preserve">confirmed that they had the measures in place </w:t>
      </w:r>
      <w:r w:rsidR="006D7E7E" w:rsidRPr="004B535A">
        <w:rPr>
          <w:iCs/>
        </w:rPr>
        <w:t xml:space="preserve">necessary </w:t>
      </w:r>
      <w:r w:rsidRPr="004B535A">
        <w:rPr>
          <w:iCs/>
        </w:rPr>
        <w:t>to prevent the substances</w:t>
      </w:r>
      <w:r w:rsidR="003745FC" w:rsidRPr="004B535A">
        <w:rPr>
          <w:iCs/>
        </w:rPr>
        <w:t xml:space="preserve"> from</w:t>
      </w:r>
      <w:r w:rsidRPr="004B535A">
        <w:rPr>
          <w:iCs/>
        </w:rPr>
        <w:t xml:space="preserve"> being diverted </w:t>
      </w:r>
      <w:r w:rsidR="00762D97" w:rsidRPr="004B535A">
        <w:rPr>
          <w:iCs/>
        </w:rPr>
        <w:t>for</w:t>
      </w:r>
      <w:r w:rsidRPr="004B535A">
        <w:rPr>
          <w:iCs/>
        </w:rPr>
        <w:t xml:space="preserve"> unauthorized uses, as required under paragraph 3 of decision XXII/20.</w:t>
      </w:r>
    </w:p>
    <w:p w14:paraId="7D9C1893" w14:textId="77777777" w:rsidR="00877430" w:rsidRPr="004B535A" w:rsidRDefault="00FA1832" w:rsidP="003F32A0">
      <w:pPr>
        <w:pStyle w:val="Normalnumber"/>
        <w:tabs>
          <w:tab w:val="clear" w:pos="1134"/>
          <w:tab w:val="clear" w:pos="1247"/>
          <w:tab w:val="clear" w:pos="1814"/>
          <w:tab w:val="clear" w:pos="2381"/>
          <w:tab w:val="clear" w:pos="2948"/>
          <w:tab w:val="clear" w:pos="3515"/>
          <w:tab w:val="clear" w:pos="4082"/>
          <w:tab w:val="num" w:pos="624"/>
        </w:tabs>
      </w:pPr>
      <w:r w:rsidRPr="004B535A">
        <w:t xml:space="preserve">In respect of the </w:t>
      </w:r>
      <w:r w:rsidR="00A85B41" w:rsidRPr="004B535A">
        <w:t xml:space="preserve">reporting of process-agent uses (decisions X/14 and XXI/3), </w:t>
      </w:r>
      <w:r w:rsidR="00877430" w:rsidRPr="004B535A">
        <w:t>the</w:t>
      </w:r>
      <w:r w:rsidR="00A85B41" w:rsidRPr="004B535A">
        <w:t xml:space="preserve"> four parties </w:t>
      </w:r>
      <w:r w:rsidRPr="004B535A">
        <w:t>authorized</w:t>
      </w:r>
      <w:r w:rsidR="00877430" w:rsidRPr="004B535A">
        <w:t xml:space="preserve"> to use ozone-depleting substances as process agents under decision XXIII/7 (</w:t>
      </w:r>
      <w:r w:rsidR="00A85B41" w:rsidRPr="004B535A">
        <w:t xml:space="preserve">China, the European Union, Israel and the United States) </w:t>
      </w:r>
      <w:r w:rsidRPr="004B535A">
        <w:t xml:space="preserve">had all </w:t>
      </w:r>
      <w:r w:rsidR="00A85B41" w:rsidRPr="004B535A">
        <w:t xml:space="preserve">reported </w:t>
      </w:r>
      <w:r w:rsidR="00AB36FD" w:rsidRPr="004B535A">
        <w:t>as required for</w:t>
      </w:r>
      <w:r w:rsidRPr="004B535A">
        <w:t xml:space="preserve"> 2016. </w:t>
      </w:r>
    </w:p>
    <w:p w14:paraId="6867C0DE" w14:textId="77777777" w:rsidR="00064091" w:rsidRPr="004B535A" w:rsidRDefault="0082369C" w:rsidP="006E5878">
      <w:pPr>
        <w:pStyle w:val="Normalnumber"/>
        <w:tabs>
          <w:tab w:val="clear" w:pos="1134"/>
          <w:tab w:val="clear" w:pos="1247"/>
          <w:tab w:val="clear" w:pos="1814"/>
          <w:tab w:val="clear" w:pos="2381"/>
          <w:tab w:val="clear" w:pos="2948"/>
          <w:tab w:val="clear" w:pos="3515"/>
          <w:tab w:val="clear" w:pos="4082"/>
          <w:tab w:val="num" w:pos="624"/>
        </w:tabs>
      </w:pPr>
      <w:r w:rsidRPr="004B535A">
        <w:t>By</w:t>
      </w:r>
      <w:r w:rsidR="00A85B41" w:rsidRPr="004B535A">
        <w:t xml:space="preserve"> decision XXIV/14, parties had been requested </w:t>
      </w:r>
      <w:r w:rsidR="00706909" w:rsidRPr="004B535A">
        <w:t>to speci</w:t>
      </w:r>
      <w:r w:rsidR="00A85B41" w:rsidRPr="004B535A">
        <w:t xml:space="preserve">fy zero quantities </w:t>
      </w:r>
      <w:r w:rsidR="00706909" w:rsidRPr="004B535A">
        <w:t>using</w:t>
      </w:r>
      <w:r w:rsidR="00A85B41" w:rsidRPr="004B535A">
        <w:t xml:space="preserve"> zeros</w:t>
      </w:r>
      <w:r w:rsidRPr="004B535A">
        <w:t xml:space="preserve"> in their Article 7 data reporting forms</w:t>
      </w:r>
      <w:r w:rsidR="00706909" w:rsidRPr="004B535A">
        <w:t>, rather than</w:t>
      </w:r>
      <w:r w:rsidR="00A85B41" w:rsidRPr="004B535A">
        <w:t xml:space="preserve"> leaving </w:t>
      </w:r>
      <w:r w:rsidR="00706909" w:rsidRPr="004B535A">
        <w:t xml:space="preserve">cells </w:t>
      </w:r>
      <w:r w:rsidR="00A85B41" w:rsidRPr="004B535A">
        <w:t xml:space="preserve">blank. </w:t>
      </w:r>
      <w:r w:rsidR="00706909" w:rsidRPr="004B535A">
        <w:t>The Secretariat had consistent</w:t>
      </w:r>
      <w:r w:rsidR="00E66901" w:rsidRPr="004B535A">
        <w:t>ly worked</w:t>
      </w:r>
      <w:r w:rsidR="00706909" w:rsidRPr="004B535A">
        <w:t xml:space="preserve"> to encourage parties to follow that guidance and </w:t>
      </w:r>
      <w:r w:rsidR="008C12DF" w:rsidRPr="004B535A">
        <w:t xml:space="preserve">had </w:t>
      </w:r>
      <w:r w:rsidR="00706909" w:rsidRPr="004B535A">
        <w:t xml:space="preserve">contacted parties </w:t>
      </w:r>
      <w:r w:rsidR="008C12DF" w:rsidRPr="004B535A">
        <w:t>that had submitted</w:t>
      </w:r>
      <w:r w:rsidR="00706909" w:rsidRPr="004B535A">
        <w:t xml:space="preserve"> forms </w:t>
      </w:r>
      <w:r w:rsidR="00BA0EBC" w:rsidRPr="004B535A">
        <w:t>that included</w:t>
      </w:r>
      <w:r w:rsidR="00706909" w:rsidRPr="004B535A">
        <w:t xml:space="preserve"> blank cells to request confirmation as to whether they represented</w:t>
      </w:r>
      <w:r w:rsidRPr="004B535A">
        <w:t xml:space="preserve"> zero quantities</w:t>
      </w:r>
      <w:r w:rsidR="00BA0EBC" w:rsidRPr="004B535A">
        <w:t xml:space="preserve">. There </w:t>
      </w:r>
      <w:r w:rsidR="00706909" w:rsidRPr="004B535A">
        <w:t>ha</w:t>
      </w:r>
      <w:r w:rsidR="00E23761" w:rsidRPr="004B535A">
        <w:t>d</w:t>
      </w:r>
      <w:r w:rsidR="00A85B41" w:rsidRPr="004B535A">
        <w:t xml:space="preserve"> been a steady fall in the number of parties </w:t>
      </w:r>
      <w:r w:rsidR="00BA0EBC" w:rsidRPr="004B535A">
        <w:t>submitting incomplete forms or forms that include</w:t>
      </w:r>
      <w:r w:rsidR="00E23761" w:rsidRPr="004B535A">
        <w:t>d</w:t>
      </w:r>
      <w:r w:rsidR="00BA0EBC" w:rsidRPr="004B535A">
        <w:t xml:space="preserve"> </w:t>
      </w:r>
      <w:r w:rsidR="00A85B41" w:rsidRPr="004B535A">
        <w:t>blank cells</w:t>
      </w:r>
      <w:r w:rsidR="00BA0EBC" w:rsidRPr="004B535A">
        <w:t xml:space="preserve">, from 72 in 2012 to 23 </w:t>
      </w:r>
      <w:r w:rsidR="00C91F40" w:rsidRPr="004B535A">
        <w:t>(as at the time of the presentation</w:t>
      </w:r>
      <w:r w:rsidR="00D37A8A" w:rsidRPr="004B535A">
        <w:t xml:space="preserve"> by the Secretariat</w:t>
      </w:r>
      <w:r w:rsidR="00C91F40" w:rsidRPr="004B535A">
        <w:t xml:space="preserve"> to the meeting) </w:t>
      </w:r>
      <w:r w:rsidR="00BA0EBC" w:rsidRPr="004B535A">
        <w:t>in 2016</w:t>
      </w:r>
      <w:r w:rsidR="00A85B41" w:rsidRPr="004B535A">
        <w:t xml:space="preserve">. </w:t>
      </w:r>
    </w:p>
    <w:p w14:paraId="6F5EF0EB" w14:textId="77777777" w:rsidR="00257ACA" w:rsidRPr="004B535A" w:rsidRDefault="003631BA" w:rsidP="009373BC">
      <w:pPr>
        <w:pStyle w:val="Normalnumber"/>
        <w:tabs>
          <w:tab w:val="clear" w:pos="1134"/>
          <w:tab w:val="clear" w:pos="1247"/>
          <w:tab w:val="clear" w:pos="1814"/>
          <w:tab w:val="clear" w:pos="2381"/>
          <w:tab w:val="clear" w:pos="2948"/>
          <w:tab w:val="clear" w:pos="3515"/>
          <w:tab w:val="clear" w:pos="4082"/>
          <w:tab w:val="num" w:pos="624"/>
        </w:tabs>
      </w:pPr>
      <w:r w:rsidRPr="004B535A">
        <w:t>R</w:t>
      </w:r>
      <w:r w:rsidR="00874D1E" w:rsidRPr="004B535A">
        <w:t xml:space="preserve">equests </w:t>
      </w:r>
      <w:r w:rsidRPr="004B535A">
        <w:t xml:space="preserve">for changes in baseline data for HCFCs </w:t>
      </w:r>
      <w:r w:rsidR="00874D1E" w:rsidRPr="004B535A">
        <w:t>had been received by the Secretariat from Pakistan</w:t>
      </w:r>
      <w:r w:rsidR="0035662C" w:rsidRPr="004B535A">
        <w:t xml:space="preserve"> </w:t>
      </w:r>
      <w:r w:rsidR="00874D1E" w:rsidRPr="004B535A">
        <w:t>and the Philippines</w:t>
      </w:r>
      <w:r w:rsidR="00E429EB" w:rsidRPr="004B535A">
        <w:t xml:space="preserve">. </w:t>
      </w:r>
      <w:r w:rsidR="00956268" w:rsidRPr="004B535A">
        <w:t>Details of the s</w:t>
      </w:r>
      <w:r w:rsidR="00257ACA" w:rsidRPr="004B535A">
        <w:t>ubstantive discussion</w:t>
      </w:r>
      <w:r w:rsidR="00B41D9E" w:rsidRPr="004B535A">
        <w:t>s</w:t>
      </w:r>
      <w:r w:rsidR="00257ACA" w:rsidRPr="004B535A">
        <w:t xml:space="preserve"> </w:t>
      </w:r>
      <w:r w:rsidR="00B41D9E" w:rsidRPr="004B535A">
        <w:t>in that regard</w:t>
      </w:r>
      <w:r w:rsidR="00257ACA" w:rsidRPr="004B535A">
        <w:t xml:space="preserve"> </w:t>
      </w:r>
      <w:r w:rsidR="008350EF" w:rsidRPr="004B535A">
        <w:t>are</w:t>
      </w:r>
      <w:r w:rsidR="00257ACA" w:rsidRPr="004B535A">
        <w:t xml:space="preserve"> set out in section</w:t>
      </w:r>
      <w:r w:rsidR="00EE74FB" w:rsidRPr="004B535A">
        <w:t>s</w:t>
      </w:r>
      <w:r w:rsidR="00257ACA" w:rsidRPr="004B535A">
        <w:t xml:space="preserve"> </w:t>
      </w:r>
      <w:r w:rsidR="00EE74FB" w:rsidRPr="004B535A">
        <w:t xml:space="preserve">VIII.A and VIII.B </w:t>
      </w:r>
      <w:r w:rsidR="00257ACA" w:rsidRPr="004B535A">
        <w:t>of the present report.</w:t>
      </w:r>
    </w:p>
    <w:p w14:paraId="284D5345" w14:textId="77777777" w:rsidR="00A85B41" w:rsidRPr="004B535A" w:rsidRDefault="00A85B41" w:rsidP="00216EC0">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Committee took note of the information presented. </w:t>
      </w:r>
    </w:p>
    <w:p w14:paraId="3980471F" w14:textId="77777777" w:rsidR="00A85B41" w:rsidRPr="004B535A" w:rsidRDefault="00A85B41" w:rsidP="00A85B41">
      <w:pPr>
        <w:pStyle w:val="CH1"/>
      </w:pPr>
      <w:r w:rsidRPr="004B535A">
        <w:tab/>
        <w:t>IV.</w:t>
      </w:r>
      <w:r w:rsidRPr="004B535A">
        <w:tab/>
        <w:t>Presentation by the secretariat of the Multilateral Fund for the Implementation of the Montreal Protocol on relevant decisions of the Executive Committee of the Fund and on activities carried out by implementing agencies (the United Nations Development Programme, the United Nations Environment Programme, the United Nations Industrial Development Organization and the World Bank) to facilitate compliance by parties</w:t>
      </w:r>
      <w:r w:rsidR="006002F5" w:rsidRPr="004B535A">
        <w:t xml:space="preserve"> </w:t>
      </w:r>
    </w:p>
    <w:p w14:paraId="09354DED" w14:textId="77777777" w:rsidR="008F0C44" w:rsidRPr="004B535A" w:rsidRDefault="00A85B41" w:rsidP="00A22181">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representative of the secretariat of the Multilateral Fund </w:t>
      </w:r>
      <w:r w:rsidR="00B81365" w:rsidRPr="004B535A">
        <w:rPr>
          <w:iCs/>
        </w:rPr>
        <w:t>gave a presentation</w:t>
      </w:r>
      <w:r w:rsidR="00B81365" w:rsidRPr="004B535A">
        <w:t xml:space="preserve"> </w:t>
      </w:r>
      <w:r w:rsidRPr="004B535A">
        <w:t xml:space="preserve">on </w:t>
      </w:r>
      <w:r w:rsidR="008F0C44" w:rsidRPr="004B535A">
        <w:t xml:space="preserve">data </w:t>
      </w:r>
      <w:r w:rsidR="0066486C" w:rsidRPr="004B535A">
        <w:t xml:space="preserve">submitted </w:t>
      </w:r>
      <w:r w:rsidR="00B81365" w:rsidRPr="004B535A">
        <w:t>under the country programme reports</w:t>
      </w:r>
      <w:r w:rsidR="00231C44" w:rsidRPr="004B535A">
        <w:t>,</w:t>
      </w:r>
      <w:r w:rsidR="00B81365" w:rsidRPr="004B535A">
        <w:t xml:space="preserve"> </w:t>
      </w:r>
      <w:r w:rsidR="007474E2" w:rsidRPr="004B535A">
        <w:t xml:space="preserve">the status of </w:t>
      </w:r>
      <w:r w:rsidR="002173EE" w:rsidRPr="004B535A">
        <w:t xml:space="preserve">the </w:t>
      </w:r>
      <w:r w:rsidR="007474E2" w:rsidRPr="004B535A">
        <w:t>HCFC phase-out</w:t>
      </w:r>
      <w:r w:rsidR="00231C44" w:rsidRPr="004B535A">
        <w:t>,</w:t>
      </w:r>
      <w:r w:rsidR="008E7E45" w:rsidRPr="004B535A">
        <w:t xml:space="preserve"> the results of the survey</w:t>
      </w:r>
      <w:r w:rsidR="008F0C44" w:rsidRPr="004B535A">
        <w:t xml:space="preserve"> of </w:t>
      </w:r>
      <w:r w:rsidR="007474E2" w:rsidRPr="004B535A">
        <w:t xml:space="preserve">alternatives to </w:t>
      </w:r>
      <w:r w:rsidR="008F0C44" w:rsidRPr="004B535A">
        <w:t xml:space="preserve">ozone-depleting substances </w:t>
      </w:r>
      <w:r w:rsidR="007474E2" w:rsidRPr="004B535A">
        <w:t>and m</w:t>
      </w:r>
      <w:r w:rsidR="008F0C44" w:rsidRPr="004B535A">
        <w:t>atters relat</w:t>
      </w:r>
      <w:r w:rsidR="00231C44" w:rsidRPr="004B535A">
        <w:t>ing</w:t>
      </w:r>
      <w:r w:rsidR="008F0C44" w:rsidRPr="004B535A">
        <w:t xml:space="preserve"> to the Kigali Amendment</w:t>
      </w:r>
      <w:r w:rsidR="0066486C" w:rsidRPr="004B535A">
        <w:t xml:space="preserve"> to the Montreal Protocol</w:t>
      </w:r>
      <w:r w:rsidR="007474E2" w:rsidRPr="004B535A">
        <w:t xml:space="preserve">. </w:t>
      </w:r>
    </w:p>
    <w:p w14:paraId="5CFB3285" w14:textId="77777777" w:rsidR="00A22181" w:rsidRPr="004B535A" w:rsidRDefault="00A22181" w:rsidP="00A22181">
      <w:pPr>
        <w:pStyle w:val="Normalnumber"/>
        <w:tabs>
          <w:tab w:val="clear" w:pos="1134"/>
          <w:tab w:val="clear" w:pos="1247"/>
          <w:tab w:val="clear" w:pos="1814"/>
          <w:tab w:val="clear" w:pos="2381"/>
          <w:tab w:val="clear" w:pos="2948"/>
          <w:tab w:val="clear" w:pos="3515"/>
          <w:tab w:val="clear" w:pos="4082"/>
          <w:tab w:val="num" w:pos="624"/>
        </w:tabs>
      </w:pPr>
      <w:r w:rsidRPr="004B535A">
        <w:t>With regard to d</w:t>
      </w:r>
      <w:r w:rsidR="00803E84" w:rsidRPr="004B535A">
        <w:t xml:space="preserve">ata submitted under the country programme reports, </w:t>
      </w:r>
      <w:r w:rsidR="00231C44" w:rsidRPr="004B535A">
        <w:t>he</w:t>
      </w:r>
      <w:r w:rsidRPr="004B535A">
        <w:t xml:space="preserve"> </w:t>
      </w:r>
      <w:r w:rsidR="006371D7" w:rsidRPr="004B535A">
        <w:t xml:space="preserve">confirmed that the secretariat </w:t>
      </w:r>
      <w:r w:rsidR="00231C44" w:rsidRPr="004B535A">
        <w:t xml:space="preserve">verified </w:t>
      </w:r>
      <w:r w:rsidRPr="004B535A">
        <w:t xml:space="preserve">country programme data against Article 7 data, reviewed consumption and production data in project proposals and </w:t>
      </w:r>
      <w:r w:rsidR="00AD5ADA" w:rsidRPr="004B535A">
        <w:t xml:space="preserve">communicated </w:t>
      </w:r>
      <w:r w:rsidRPr="004B535A">
        <w:t xml:space="preserve">discrepancies to </w:t>
      </w:r>
      <w:r w:rsidR="00231C44" w:rsidRPr="004B535A">
        <w:t xml:space="preserve">the </w:t>
      </w:r>
      <w:r w:rsidRPr="004B535A">
        <w:t xml:space="preserve">implementing agencies for further action. </w:t>
      </w:r>
      <w:r w:rsidR="00231C44" w:rsidRPr="004B535A">
        <w:t>D</w:t>
      </w:r>
      <w:r w:rsidRPr="004B535A">
        <w:t xml:space="preserve">iscrepancies had been noted for three parties (South Africa, </w:t>
      </w:r>
      <w:r w:rsidR="00825B79" w:rsidRPr="004B535A">
        <w:t xml:space="preserve">the </w:t>
      </w:r>
      <w:r w:rsidRPr="004B535A">
        <w:t>Syrian Arab Republic and Turkey</w:t>
      </w:r>
      <w:r w:rsidR="003F4243" w:rsidRPr="004B535A">
        <w:t>) in 2016</w:t>
      </w:r>
      <w:r w:rsidRPr="004B535A">
        <w:t xml:space="preserve">, and the issues had been or were being resolved. </w:t>
      </w:r>
    </w:p>
    <w:p w14:paraId="2BCE05B7" w14:textId="77777777" w:rsidR="00AD5ADA" w:rsidRPr="004B535A" w:rsidRDefault="00803E84" w:rsidP="0079069D">
      <w:pPr>
        <w:pStyle w:val="Normalnumber"/>
        <w:tabs>
          <w:tab w:val="clear" w:pos="1134"/>
          <w:tab w:val="clear" w:pos="1247"/>
          <w:tab w:val="clear" w:pos="1814"/>
          <w:tab w:val="clear" w:pos="2381"/>
          <w:tab w:val="clear" w:pos="2948"/>
          <w:tab w:val="clear" w:pos="3515"/>
          <w:tab w:val="clear" w:pos="4082"/>
          <w:tab w:val="num" w:pos="624"/>
        </w:tabs>
      </w:pPr>
      <w:r w:rsidRPr="004B535A">
        <w:t xml:space="preserve">HCFC phase-out plans </w:t>
      </w:r>
      <w:r w:rsidR="00FB5B33" w:rsidRPr="004B535A">
        <w:t xml:space="preserve">for consumption </w:t>
      </w:r>
      <w:r w:rsidR="00AD5ADA" w:rsidRPr="004B535A">
        <w:t xml:space="preserve">had been </w:t>
      </w:r>
      <w:r w:rsidRPr="004B535A">
        <w:t xml:space="preserve">approved in all </w:t>
      </w:r>
      <w:r w:rsidR="00F43865" w:rsidRPr="004B535A">
        <w:t xml:space="preserve">relevant </w:t>
      </w:r>
      <w:r w:rsidRPr="004B535A">
        <w:t xml:space="preserve">countries </w:t>
      </w:r>
      <w:r w:rsidR="00143066" w:rsidRPr="004B535A">
        <w:t>except</w:t>
      </w:r>
      <w:r w:rsidRPr="004B535A">
        <w:t xml:space="preserve"> </w:t>
      </w:r>
      <w:r w:rsidR="00AD5ADA" w:rsidRPr="004B535A">
        <w:t xml:space="preserve">the </w:t>
      </w:r>
      <w:r w:rsidRPr="004B535A">
        <w:t xml:space="preserve">Syrian Arab Republic. </w:t>
      </w:r>
      <w:r w:rsidR="004C3F94" w:rsidRPr="004B535A">
        <w:t xml:space="preserve">An </w:t>
      </w:r>
      <w:r w:rsidR="00E42862" w:rsidRPr="004B535A">
        <w:rPr>
          <w:rStyle w:val="st"/>
        </w:rPr>
        <w:t>HCFC production phase-out management plan</w:t>
      </w:r>
      <w:r w:rsidR="00E42862" w:rsidRPr="004B535A">
        <w:t xml:space="preserve"> for China</w:t>
      </w:r>
      <w:r w:rsidRPr="004B535A">
        <w:t xml:space="preserve">, </w:t>
      </w:r>
      <w:r w:rsidR="004C3F94" w:rsidRPr="004B535A">
        <w:t>representing some</w:t>
      </w:r>
      <w:r w:rsidRPr="004B535A">
        <w:t xml:space="preserve"> 95</w:t>
      </w:r>
      <w:r w:rsidR="004C3F94" w:rsidRPr="004B535A">
        <w:t xml:space="preserve"> per cent</w:t>
      </w:r>
      <w:r w:rsidRPr="004B535A">
        <w:t xml:space="preserve"> of total production</w:t>
      </w:r>
      <w:r w:rsidR="00BB75CF" w:rsidRPr="004B535A">
        <w:t>, had been approved</w:t>
      </w:r>
      <w:r w:rsidRPr="004B535A">
        <w:t xml:space="preserve">. </w:t>
      </w:r>
      <w:r w:rsidR="004C3F94" w:rsidRPr="004B535A">
        <w:t>Most foam manufacturing and a significant proportion of the manufacturing of air</w:t>
      </w:r>
      <w:r w:rsidR="00703637" w:rsidRPr="004B535A">
        <w:t xml:space="preserve"> </w:t>
      </w:r>
      <w:r w:rsidR="004C3F94" w:rsidRPr="004B535A">
        <w:t xml:space="preserve">conditioning </w:t>
      </w:r>
      <w:r w:rsidR="00FB5B33" w:rsidRPr="004B535A">
        <w:t>were</w:t>
      </w:r>
      <w:r w:rsidR="004C3F94" w:rsidRPr="004B535A">
        <w:t xml:space="preserve"> under conversion, with </w:t>
      </w:r>
      <w:r w:rsidR="0098402C" w:rsidRPr="004B535A">
        <w:t>most</w:t>
      </w:r>
      <w:r w:rsidR="004C3F94" w:rsidRPr="004B535A">
        <w:t xml:space="preserve"> such conversi</w:t>
      </w:r>
      <w:r w:rsidR="00FB5B33" w:rsidRPr="004B535A">
        <w:t xml:space="preserve">ons being </w:t>
      </w:r>
      <w:proofErr w:type="spellStart"/>
      <w:r w:rsidR="00FB5B33" w:rsidRPr="004B535A">
        <w:t>to</w:t>
      </w:r>
      <w:proofErr w:type="spellEnd"/>
      <w:r w:rsidR="00FB5B33" w:rsidRPr="004B535A">
        <w:t xml:space="preserve"> low</w:t>
      </w:r>
      <w:r w:rsidR="001B13EF" w:rsidRPr="004B535A">
        <w:t>-</w:t>
      </w:r>
      <w:r w:rsidR="00FB5B33" w:rsidRPr="004B535A">
        <w:t>global-warming-</w:t>
      </w:r>
      <w:r w:rsidR="004C3F94" w:rsidRPr="004B535A">
        <w:t xml:space="preserve">potential alternatives. </w:t>
      </w:r>
      <w:r w:rsidR="00FB5B33" w:rsidRPr="004B535A">
        <w:t xml:space="preserve">In addition, all countries were addressing the problem of HCFC phase-out in the refrigeration sector. The cumulative amount of HCFCs that would have been phased out on completion of the HCFC phase-out plans for consumption would be in excess of 19,300 ODP-tonnes, </w:t>
      </w:r>
      <w:r w:rsidR="0033751C" w:rsidRPr="004B535A">
        <w:t>or</w:t>
      </w:r>
      <w:r w:rsidR="00FB5B33" w:rsidRPr="004B535A">
        <w:t xml:space="preserve"> 59 per cent of the starting point for aggregat</w:t>
      </w:r>
      <w:r w:rsidR="0079069D" w:rsidRPr="004B535A">
        <w:t>e reduction of HCFC consumption</w:t>
      </w:r>
      <w:r w:rsidR="00FB5B33" w:rsidRPr="004B535A">
        <w:t xml:space="preserve">. </w:t>
      </w:r>
    </w:p>
    <w:p w14:paraId="19BDF874" w14:textId="77777777" w:rsidR="003D6B43" w:rsidRPr="004B535A" w:rsidRDefault="003D6B43" w:rsidP="00AB5D50">
      <w:pPr>
        <w:pStyle w:val="Normalnumber"/>
        <w:tabs>
          <w:tab w:val="clear" w:pos="1134"/>
          <w:tab w:val="clear" w:pos="1247"/>
          <w:tab w:val="clear" w:pos="1814"/>
          <w:tab w:val="clear" w:pos="2381"/>
          <w:tab w:val="clear" w:pos="2948"/>
          <w:tab w:val="clear" w:pos="3515"/>
          <w:tab w:val="clear" w:pos="4082"/>
          <w:tab w:val="num" w:pos="624"/>
        </w:tabs>
      </w:pPr>
      <w:r w:rsidRPr="004B535A">
        <w:t>Introdu</w:t>
      </w:r>
      <w:r w:rsidR="008E7E45" w:rsidRPr="004B535A">
        <w:t>cing the results of the survey</w:t>
      </w:r>
      <w:r w:rsidRPr="004B535A">
        <w:t xml:space="preserve"> of alternatives to ozone-depleting substances, </w:t>
      </w:r>
      <w:r w:rsidR="00703637" w:rsidRPr="004B535A">
        <w:t>he</w:t>
      </w:r>
      <w:r w:rsidRPr="004B535A">
        <w:t xml:space="preserve"> emphasized that </w:t>
      </w:r>
      <w:r w:rsidR="00703637" w:rsidRPr="004B535A">
        <w:t xml:space="preserve">the results would change, potentially significantly, once </w:t>
      </w:r>
      <w:r w:rsidR="00EC1167" w:rsidRPr="004B535A">
        <w:t xml:space="preserve">data from </w:t>
      </w:r>
      <w:r w:rsidRPr="004B535A">
        <w:t xml:space="preserve">a number of countries with large consumption, </w:t>
      </w:r>
      <w:r w:rsidR="00703637" w:rsidRPr="004B535A">
        <w:t>including</w:t>
      </w:r>
      <w:r w:rsidRPr="004B535A">
        <w:t xml:space="preserve"> Brazil, China and India, </w:t>
      </w:r>
      <w:r w:rsidR="00C3352B" w:rsidRPr="004B535A">
        <w:t>had been</w:t>
      </w:r>
      <w:r w:rsidR="00EC1167" w:rsidRPr="004B535A">
        <w:t xml:space="preserve"> made available</w:t>
      </w:r>
      <w:r w:rsidRPr="004B535A">
        <w:t>.</w:t>
      </w:r>
      <w:r w:rsidR="000777A1" w:rsidRPr="004B535A">
        <w:t xml:space="preserve"> Other limitations to the application of the findings included the lack of a regulatory system to monitor the import and export of alternatives to ozone-depleting substances, </w:t>
      </w:r>
      <w:r w:rsidR="00BE7E20" w:rsidRPr="004B535A">
        <w:t xml:space="preserve">in </w:t>
      </w:r>
      <w:r w:rsidR="000777A1" w:rsidRPr="004B535A">
        <w:t>particular HFCs, in many countries</w:t>
      </w:r>
      <w:r w:rsidR="008E7E45" w:rsidRPr="004B535A">
        <w:t xml:space="preserve">, and </w:t>
      </w:r>
      <w:r w:rsidR="000777A1" w:rsidRPr="004B535A">
        <w:t>the dynamic nature of markets for the adoption of HFCs and other alternatives to ozone-depleting substances, leading to difficu</w:t>
      </w:r>
      <w:r w:rsidR="008E7E45" w:rsidRPr="004B535A">
        <w:t xml:space="preserve">lties in projecting consumption. </w:t>
      </w:r>
    </w:p>
    <w:p w14:paraId="1EF06C4C" w14:textId="2B679D41" w:rsidR="00A51732" w:rsidRPr="004B535A" w:rsidRDefault="008E7E45" w:rsidP="00A51732">
      <w:pPr>
        <w:pStyle w:val="Normalnumber"/>
        <w:tabs>
          <w:tab w:val="clear" w:pos="1134"/>
          <w:tab w:val="clear" w:pos="1247"/>
          <w:tab w:val="clear" w:pos="1814"/>
          <w:tab w:val="clear" w:pos="2381"/>
          <w:tab w:val="clear" w:pos="2948"/>
          <w:tab w:val="clear" w:pos="3515"/>
          <w:tab w:val="clear" w:pos="4082"/>
          <w:tab w:val="num" w:pos="624"/>
        </w:tabs>
      </w:pPr>
      <w:r w:rsidRPr="004B535A">
        <w:t>The survey</w:t>
      </w:r>
      <w:r w:rsidR="007851B7" w:rsidRPr="004B535A">
        <w:t xml:space="preserve"> </w:t>
      </w:r>
      <w:r w:rsidR="00BE7E20" w:rsidRPr="004B535A">
        <w:t xml:space="preserve">had been </w:t>
      </w:r>
      <w:r w:rsidR="007851B7" w:rsidRPr="004B535A">
        <w:t>carried out by approaching 127 countries, of wh</w:t>
      </w:r>
      <w:r w:rsidR="00BE7E20" w:rsidRPr="004B535A">
        <w:t>ich</w:t>
      </w:r>
      <w:r w:rsidR="007851B7" w:rsidRPr="004B535A">
        <w:t xml:space="preserve"> 1</w:t>
      </w:r>
      <w:r w:rsidRPr="004B535A">
        <w:t xml:space="preserve">19 (77 </w:t>
      </w:r>
      <w:r w:rsidR="007851B7" w:rsidRPr="004B535A">
        <w:rPr>
          <w:rStyle w:val="st"/>
        </w:rPr>
        <w:t>low-volume ODS</w:t>
      </w:r>
      <w:r w:rsidR="00980539" w:rsidRPr="004B535A">
        <w:rPr>
          <w:rStyle w:val="st"/>
        </w:rPr>
        <w:noBreakHyphen/>
      </w:r>
      <w:r w:rsidR="007851B7" w:rsidRPr="004B535A">
        <w:rPr>
          <w:rStyle w:val="st"/>
        </w:rPr>
        <w:t>consuming countries</w:t>
      </w:r>
      <w:r w:rsidR="007851B7" w:rsidRPr="004B535A">
        <w:t xml:space="preserve"> </w:t>
      </w:r>
      <w:r w:rsidRPr="004B535A">
        <w:t>and 42 non-</w:t>
      </w:r>
      <w:r w:rsidR="007851B7" w:rsidRPr="004B535A">
        <w:rPr>
          <w:rStyle w:val="st"/>
        </w:rPr>
        <w:t>low-volume ODS-consuming countries</w:t>
      </w:r>
      <w:r w:rsidRPr="004B535A">
        <w:t xml:space="preserve">) </w:t>
      </w:r>
      <w:r w:rsidR="00BE7E20" w:rsidRPr="004B535A">
        <w:t xml:space="preserve">had </w:t>
      </w:r>
      <w:r w:rsidRPr="004B535A">
        <w:t>submitted data and projections</w:t>
      </w:r>
      <w:r w:rsidR="007851B7" w:rsidRPr="004B535A">
        <w:t>,</w:t>
      </w:r>
      <w:r w:rsidRPr="004B535A">
        <w:t xml:space="preserve"> representing 91</w:t>
      </w:r>
      <w:r w:rsidR="007851B7" w:rsidRPr="004B535A">
        <w:t xml:space="preserve"> per cent </w:t>
      </w:r>
      <w:r w:rsidRPr="004B535A">
        <w:t>and 24</w:t>
      </w:r>
      <w:r w:rsidR="007851B7" w:rsidRPr="004B535A">
        <w:t xml:space="preserve"> per cent </w:t>
      </w:r>
      <w:r w:rsidRPr="004B535A">
        <w:t xml:space="preserve">of </w:t>
      </w:r>
      <w:r w:rsidR="007851B7" w:rsidRPr="004B535A">
        <w:t xml:space="preserve">the </w:t>
      </w:r>
      <w:r w:rsidRPr="004B535A">
        <w:t>HCFC baseline respectively</w:t>
      </w:r>
      <w:r w:rsidR="007851B7" w:rsidRPr="004B535A">
        <w:t xml:space="preserve">. Reported </w:t>
      </w:r>
      <w:r w:rsidR="007851B7" w:rsidRPr="004B535A">
        <w:lastRenderedPageBreak/>
        <w:t>c</w:t>
      </w:r>
      <w:r w:rsidRPr="004B535A">
        <w:t xml:space="preserve">onsumption </w:t>
      </w:r>
      <w:r w:rsidR="00BE7E20" w:rsidRPr="004B535A">
        <w:t xml:space="preserve">had grown </w:t>
      </w:r>
      <w:r w:rsidRPr="004B535A">
        <w:t>from 100,005</w:t>
      </w:r>
      <w:r w:rsidR="00E1288B" w:rsidRPr="004B535A">
        <w:t xml:space="preserve"> </w:t>
      </w:r>
      <w:r w:rsidR="00B7099A" w:rsidRPr="004B535A">
        <w:t>tonnes</w:t>
      </w:r>
      <w:r w:rsidR="00A51732" w:rsidRPr="004B535A">
        <w:rPr>
          <w:rStyle w:val="FootnoteReference"/>
        </w:rPr>
        <w:footnoteReference w:id="1"/>
      </w:r>
      <w:r w:rsidRPr="004B535A">
        <w:t xml:space="preserve"> to 182,141 </w:t>
      </w:r>
      <w:r w:rsidR="00B7099A" w:rsidRPr="004B535A">
        <w:t xml:space="preserve">tonnes </w:t>
      </w:r>
      <w:r w:rsidR="008D148C" w:rsidRPr="004B535A">
        <w:t xml:space="preserve">in the period </w:t>
      </w:r>
      <w:r w:rsidRPr="004B535A">
        <w:t>between 2012 and 2015</w:t>
      </w:r>
      <w:r w:rsidR="00E1288B" w:rsidRPr="004B535A">
        <w:t xml:space="preserve">, representing </w:t>
      </w:r>
      <w:r w:rsidR="008D148C" w:rsidRPr="004B535A">
        <w:t xml:space="preserve">average </w:t>
      </w:r>
      <w:r w:rsidRPr="004B535A">
        <w:t>annual growth of 22</w:t>
      </w:r>
      <w:r w:rsidR="00E1288B" w:rsidRPr="004B535A">
        <w:t xml:space="preserve"> per cent</w:t>
      </w:r>
      <w:r w:rsidR="008D148C" w:rsidRPr="004B535A">
        <w:t>. I</w:t>
      </w:r>
      <w:r w:rsidR="00B77CCC" w:rsidRPr="004B535A">
        <w:t xml:space="preserve">n 2015, </w:t>
      </w:r>
      <w:r w:rsidR="008D148C" w:rsidRPr="004B535A">
        <w:t xml:space="preserve">growth </w:t>
      </w:r>
      <w:r w:rsidR="00BE7E20" w:rsidRPr="004B535A">
        <w:t xml:space="preserve">had been </w:t>
      </w:r>
      <w:r w:rsidRPr="004B535A">
        <w:t>345</w:t>
      </w:r>
      <w:r w:rsidR="00D21223" w:rsidRPr="004B535A">
        <w:t> </w:t>
      </w:r>
      <w:r w:rsidRPr="004B535A">
        <w:t>million CO</w:t>
      </w:r>
      <w:r w:rsidRPr="004B535A">
        <w:rPr>
          <w:vertAlign w:val="subscript"/>
        </w:rPr>
        <w:t>2</w:t>
      </w:r>
      <w:r w:rsidRPr="004B535A">
        <w:t xml:space="preserve"> tonnes</w:t>
      </w:r>
      <w:r w:rsidR="00E1288B" w:rsidRPr="004B535A">
        <w:t xml:space="preserve">. </w:t>
      </w:r>
    </w:p>
    <w:p w14:paraId="6A27FB4D" w14:textId="6B7C69B6" w:rsidR="00056CB8" w:rsidRPr="004B535A" w:rsidRDefault="00F15DAA" w:rsidP="00A51732">
      <w:pPr>
        <w:pStyle w:val="Normalnumber"/>
        <w:tabs>
          <w:tab w:val="clear" w:pos="1134"/>
          <w:tab w:val="clear" w:pos="1247"/>
          <w:tab w:val="clear" w:pos="1814"/>
          <w:tab w:val="clear" w:pos="2381"/>
          <w:tab w:val="clear" w:pos="2948"/>
          <w:tab w:val="clear" w:pos="3515"/>
          <w:tab w:val="clear" w:pos="4082"/>
          <w:tab w:val="num" w:pos="624"/>
        </w:tabs>
      </w:pPr>
      <w:r w:rsidRPr="004B535A">
        <w:t>Several</w:t>
      </w:r>
      <w:r w:rsidR="00056CB8" w:rsidRPr="004B535A">
        <w:t xml:space="preserve"> points stood out</w:t>
      </w:r>
      <w:r w:rsidRPr="004B535A">
        <w:t xml:space="preserve"> among the lessons learned from the survey process, including</w:t>
      </w:r>
      <w:r w:rsidR="00056CB8" w:rsidRPr="004B535A">
        <w:t xml:space="preserve">: </w:t>
      </w:r>
      <w:r w:rsidR="0076525F" w:rsidRPr="004B535A">
        <w:t xml:space="preserve">given that </w:t>
      </w:r>
      <w:r w:rsidR="00056CB8" w:rsidRPr="004B535A">
        <w:t>HFC blends constitute</w:t>
      </w:r>
      <w:r w:rsidR="0076525F" w:rsidRPr="004B535A">
        <w:t>d</w:t>
      </w:r>
      <w:r w:rsidR="00056CB8" w:rsidRPr="004B535A">
        <w:t xml:space="preserve"> a significant portion of HFC consumption, early action to promote awareness </w:t>
      </w:r>
      <w:r w:rsidR="0076525F" w:rsidRPr="004B535A">
        <w:t xml:space="preserve">of </w:t>
      </w:r>
      <w:r w:rsidR="00056CB8" w:rsidRPr="004B535A">
        <w:t xml:space="preserve">HFCs and HFC blends </w:t>
      </w:r>
      <w:r w:rsidR="0076525F" w:rsidRPr="004B535A">
        <w:t>was</w:t>
      </w:r>
      <w:r w:rsidR="00056CB8" w:rsidRPr="004B535A">
        <w:t xml:space="preserve"> </w:t>
      </w:r>
      <w:r w:rsidR="0040632A" w:rsidRPr="004B535A">
        <w:t xml:space="preserve">essential; </w:t>
      </w:r>
      <w:r w:rsidR="00CA7100" w:rsidRPr="004B535A">
        <w:t xml:space="preserve">the existence of </w:t>
      </w:r>
      <w:r w:rsidR="0040632A" w:rsidRPr="004B535A">
        <w:t>H</w:t>
      </w:r>
      <w:r w:rsidR="0076525F" w:rsidRPr="004B535A">
        <w:t xml:space="preserve">armonized </w:t>
      </w:r>
      <w:r w:rsidR="0040632A" w:rsidRPr="004B535A">
        <w:t>S</w:t>
      </w:r>
      <w:r w:rsidR="0076525F" w:rsidRPr="004B535A">
        <w:t xml:space="preserve">ystem </w:t>
      </w:r>
      <w:r w:rsidR="00056CB8" w:rsidRPr="004B535A">
        <w:t>codes for all substance</w:t>
      </w:r>
      <w:r w:rsidR="0076525F" w:rsidRPr="004B535A">
        <w:t>s,</w:t>
      </w:r>
      <w:r w:rsidR="00056CB8" w:rsidRPr="004B535A">
        <w:t xml:space="preserve"> including blends</w:t>
      </w:r>
      <w:r w:rsidR="0076525F" w:rsidRPr="004B535A">
        <w:t>,</w:t>
      </w:r>
      <w:r w:rsidR="00056CB8" w:rsidRPr="004B535A">
        <w:t xml:space="preserve"> </w:t>
      </w:r>
      <w:r w:rsidR="0076525F" w:rsidRPr="004B535A">
        <w:t>was</w:t>
      </w:r>
      <w:r w:rsidR="00056CB8" w:rsidRPr="004B535A">
        <w:t xml:space="preserve"> </w:t>
      </w:r>
      <w:r w:rsidR="0076525F" w:rsidRPr="004B535A">
        <w:t>critical; training and capacity-</w:t>
      </w:r>
      <w:r w:rsidR="00056CB8" w:rsidRPr="004B535A">
        <w:t xml:space="preserve">building </w:t>
      </w:r>
      <w:r w:rsidR="005163E3" w:rsidRPr="004B535A">
        <w:t xml:space="preserve">for </w:t>
      </w:r>
      <w:r w:rsidR="00056CB8" w:rsidRPr="004B535A">
        <w:t xml:space="preserve">enforcement authorities on HFC blends and mechanisms </w:t>
      </w:r>
      <w:r w:rsidR="0076525F" w:rsidRPr="004B535A">
        <w:t>for</w:t>
      </w:r>
      <w:r w:rsidR="00056CB8" w:rsidRPr="004B535A">
        <w:t xml:space="preserve"> monitoring and reporting consumption </w:t>
      </w:r>
      <w:r w:rsidR="007C7D92" w:rsidRPr="004B535A">
        <w:t xml:space="preserve">were </w:t>
      </w:r>
      <w:r w:rsidR="0076525F" w:rsidRPr="004B535A">
        <w:t>vital</w:t>
      </w:r>
      <w:r w:rsidR="00056CB8" w:rsidRPr="004B535A">
        <w:t xml:space="preserve"> for accurate data monitoring and reporting</w:t>
      </w:r>
      <w:r w:rsidR="0076525F" w:rsidRPr="004B535A">
        <w:t>; mandatory data-reporting mechanisms needed</w:t>
      </w:r>
      <w:r w:rsidR="00056CB8" w:rsidRPr="004B535A">
        <w:t xml:space="preserve"> to be progressively implemented</w:t>
      </w:r>
      <w:r w:rsidR="0076525F" w:rsidRPr="004B535A">
        <w:t>; and s</w:t>
      </w:r>
      <w:r w:rsidR="00056CB8" w:rsidRPr="004B535A">
        <w:t>tandardi</w:t>
      </w:r>
      <w:r w:rsidR="0076525F" w:rsidRPr="004B535A">
        <w:t>z</w:t>
      </w:r>
      <w:r w:rsidR="00056CB8" w:rsidRPr="004B535A">
        <w:t xml:space="preserve">ation of blend composition </w:t>
      </w:r>
      <w:r w:rsidR="0076525F" w:rsidRPr="004B535A">
        <w:t>was</w:t>
      </w:r>
      <w:r w:rsidR="00056CB8" w:rsidRPr="004B535A">
        <w:t xml:space="preserve"> important </w:t>
      </w:r>
      <w:r w:rsidR="0076525F" w:rsidRPr="004B535A">
        <w:t>to ensure</w:t>
      </w:r>
      <w:r w:rsidR="00056CB8" w:rsidRPr="004B535A">
        <w:t xml:space="preserve"> </w:t>
      </w:r>
      <w:r w:rsidR="005A055C" w:rsidRPr="004B535A">
        <w:t xml:space="preserve">the </w:t>
      </w:r>
      <w:r w:rsidR="00056CB8" w:rsidRPr="004B535A">
        <w:t xml:space="preserve">accuracy of data reporting and </w:t>
      </w:r>
      <w:r w:rsidR="0076525F" w:rsidRPr="004B535A">
        <w:t xml:space="preserve">the </w:t>
      </w:r>
      <w:r w:rsidR="00056CB8" w:rsidRPr="004B535A">
        <w:t xml:space="preserve">safe use of </w:t>
      </w:r>
      <w:r w:rsidR="0076525F" w:rsidRPr="004B535A">
        <w:t>such</w:t>
      </w:r>
      <w:r w:rsidR="00056CB8" w:rsidRPr="004B535A">
        <w:t xml:space="preserve"> substances</w:t>
      </w:r>
      <w:r w:rsidR="0076525F" w:rsidRPr="004B535A">
        <w:t>.</w:t>
      </w:r>
    </w:p>
    <w:p w14:paraId="1AE0ACAA" w14:textId="4108815B" w:rsidR="00310A52" w:rsidRPr="004B535A" w:rsidRDefault="005A055C" w:rsidP="00AB5D50">
      <w:pPr>
        <w:pStyle w:val="Normalnumber"/>
        <w:tabs>
          <w:tab w:val="clear" w:pos="1134"/>
          <w:tab w:val="clear" w:pos="1247"/>
          <w:tab w:val="clear" w:pos="1814"/>
          <w:tab w:val="clear" w:pos="2381"/>
          <w:tab w:val="clear" w:pos="2948"/>
          <w:tab w:val="clear" w:pos="3515"/>
          <w:tab w:val="clear" w:pos="4082"/>
          <w:tab w:val="num" w:pos="624"/>
        </w:tabs>
      </w:pPr>
      <w:r w:rsidRPr="004B535A">
        <w:t>He</w:t>
      </w:r>
      <w:r w:rsidR="00D903F5" w:rsidRPr="004B535A">
        <w:t xml:space="preserve"> cautioned against forecasting too firmly ahead</w:t>
      </w:r>
      <w:r w:rsidR="001B5EF8" w:rsidRPr="004B535A">
        <w:t xml:space="preserve"> </w:t>
      </w:r>
      <w:r w:rsidR="00D903F5" w:rsidRPr="004B535A">
        <w:t>through the use of</w:t>
      </w:r>
      <w:r w:rsidR="00067D69" w:rsidRPr="004B535A">
        <w:t xml:space="preserve"> historical data. </w:t>
      </w:r>
      <w:r w:rsidR="0076525F" w:rsidRPr="004B535A">
        <w:t xml:space="preserve">The high response rate to the survey and the </w:t>
      </w:r>
      <w:r w:rsidR="00310A52" w:rsidRPr="004B535A">
        <w:t>wide-ranging</w:t>
      </w:r>
      <w:r w:rsidR="0076525F" w:rsidRPr="004B535A">
        <w:t xml:space="preserve"> use to which the data obtained would be put </w:t>
      </w:r>
      <w:r w:rsidR="00546BEF" w:rsidRPr="004B535A">
        <w:t xml:space="preserve">were </w:t>
      </w:r>
      <w:r w:rsidR="00310A52" w:rsidRPr="004B535A">
        <w:t>highly encouraging, but a more comprehensive analysi</w:t>
      </w:r>
      <w:r w:rsidR="00E0390B" w:rsidRPr="004B535A">
        <w:t xml:space="preserve">s of consumption by all </w:t>
      </w:r>
      <w:r w:rsidR="00546BEF" w:rsidRPr="004B535A">
        <w:t xml:space="preserve">parties operating under paragraph 1 of </w:t>
      </w:r>
      <w:r w:rsidR="00E0390B" w:rsidRPr="004B535A">
        <w:t xml:space="preserve">Article </w:t>
      </w:r>
      <w:r w:rsidR="00310A52" w:rsidRPr="004B535A">
        <w:t>5 was required for global policy analysis and decision-making.</w:t>
      </w:r>
    </w:p>
    <w:p w14:paraId="384CBA9E" w14:textId="77777777" w:rsidR="00686171" w:rsidRPr="004B535A" w:rsidRDefault="00C81796" w:rsidP="00067D69">
      <w:pPr>
        <w:pStyle w:val="Normalnumber"/>
        <w:tabs>
          <w:tab w:val="clear" w:pos="1134"/>
          <w:tab w:val="clear" w:pos="1247"/>
          <w:tab w:val="clear" w:pos="1814"/>
          <w:tab w:val="clear" w:pos="2381"/>
          <w:tab w:val="clear" w:pos="2948"/>
          <w:tab w:val="clear" w:pos="3515"/>
          <w:tab w:val="clear" w:pos="4082"/>
          <w:tab w:val="num" w:pos="624"/>
        </w:tabs>
      </w:pPr>
      <w:r w:rsidRPr="004B535A">
        <w:rPr>
          <w:bCs/>
        </w:rPr>
        <w:t xml:space="preserve">With regard to funding the phase-down of HFC consumption and production, </w:t>
      </w:r>
      <w:r w:rsidR="004A5EED" w:rsidRPr="004B535A">
        <w:rPr>
          <w:bCs/>
        </w:rPr>
        <w:t xml:space="preserve">in </w:t>
      </w:r>
      <w:r w:rsidRPr="004B535A">
        <w:t>decision 79/44</w:t>
      </w:r>
      <w:r w:rsidR="00997D88" w:rsidRPr="004B535A">
        <w:t> </w:t>
      </w:r>
      <w:r w:rsidR="004A5EED" w:rsidRPr="004B535A">
        <w:t xml:space="preserve">the </w:t>
      </w:r>
      <w:r w:rsidR="001212CF" w:rsidRPr="004B535A">
        <w:t xml:space="preserve">Executive </w:t>
      </w:r>
      <w:r w:rsidR="004A5EED" w:rsidRPr="004B535A">
        <w:t>Committee had</w:t>
      </w:r>
      <w:r w:rsidRPr="004B535A">
        <w:rPr>
          <w:bCs/>
        </w:rPr>
        <w:t xml:space="preserve"> </w:t>
      </w:r>
      <w:r w:rsidR="001562C0" w:rsidRPr="004B535A">
        <w:rPr>
          <w:bCs/>
        </w:rPr>
        <w:t>set</w:t>
      </w:r>
      <w:r w:rsidR="00913881" w:rsidRPr="004B535A">
        <w:rPr>
          <w:bCs/>
        </w:rPr>
        <w:t xml:space="preserve"> out an </w:t>
      </w:r>
      <w:r w:rsidR="00913881" w:rsidRPr="004B535A">
        <w:t>ag</w:t>
      </w:r>
      <w:r w:rsidR="00686171" w:rsidRPr="004B535A">
        <w:t>reement to develop guidelines for funding the phase</w:t>
      </w:r>
      <w:r w:rsidR="00847C52" w:rsidRPr="004B535A">
        <w:noBreakHyphen/>
      </w:r>
      <w:r w:rsidR="00686171" w:rsidRPr="004B535A">
        <w:t>down of HFC</w:t>
      </w:r>
      <w:r w:rsidR="001562C0" w:rsidRPr="004B535A">
        <w:t>s</w:t>
      </w:r>
      <w:r w:rsidR="00686171" w:rsidRPr="004B535A">
        <w:t xml:space="preserve"> for submission to the </w:t>
      </w:r>
      <w:r w:rsidRPr="004B535A">
        <w:t xml:space="preserve">Thirtieth Meeting of the Parties. </w:t>
      </w:r>
      <w:r w:rsidR="001562C0" w:rsidRPr="004B535A">
        <w:t>It incorporated</w:t>
      </w:r>
      <w:r w:rsidRPr="004B535A">
        <w:t xml:space="preserve"> an ag</w:t>
      </w:r>
      <w:r w:rsidR="00686171" w:rsidRPr="004B535A">
        <w:t>reement to integrate in</w:t>
      </w:r>
      <w:r w:rsidRPr="004B535A">
        <w:t>to</w:t>
      </w:r>
      <w:r w:rsidR="00686171" w:rsidRPr="004B535A">
        <w:t xml:space="preserve"> the cost guid</w:t>
      </w:r>
      <w:r w:rsidRPr="004B535A">
        <w:t xml:space="preserve">elines the following principles, which were </w:t>
      </w:r>
      <w:r w:rsidR="00686171" w:rsidRPr="004B535A">
        <w:t xml:space="preserve">agreed </w:t>
      </w:r>
      <w:r w:rsidR="002F2E4A" w:rsidRPr="004B535A">
        <w:t xml:space="preserve">upon </w:t>
      </w:r>
      <w:r w:rsidR="00686171" w:rsidRPr="004B535A">
        <w:t xml:space="preserve">in decision XXVIII/2: </w:t>
      </w:r>
      <w:r w:rsidRPr="004B535A">
        <w:t>f</w:t>
      </w:r>
      <w:r w:rsidR="00686171" w:rsidRPr="004B535A">
        <w:t xml:space="preserve">lexibility in implementation; </w:t>
      </w:r>
      <w:r w:rsidRPr="004B535A">
        <w:t xml:space="preserve">a </w:t>
      </w:r>
      <w:r w:rsidR="00686171" w:rsidRPr="004B535A">
        <w:t>cut-off date for eligible capacity; second and third conversions; sustained aggregate reductions in HFC consumption and production; categories eligible for incremental cost in the consumption manufacturing sector, the production sector and the refrigeration servicing sector; and eligibility of Annex F substances subject to high</w:t>
      </w:r>
      <w:r w:rsidR="00847C52" w:rsidRPr="004B535A">
        <w:noBreakHyphen/>
      </w:r>
      <w:r w:rsidR="00686171" w:rsidRPr="004B535A">
        <w:t>ambient</w:t>
      </w:r>
      <w:r w:rsidR="00847C52" w:rsidRPr="004B535A">
        <w:noBreakHyphen/>
      </w:r>
      <w:r w:rsidR="00686171" w:rsidRPr="004B535A">
        <w:t>temperature exemptions</w:t>
      </w:r>
      <w:r w:rsidRPr="004B535A">
        <w:t xml:space="preserve">. </w:t>
      </w:r>
    </w:p>
    <w:p w14:paraId="72A01676" w14:textId="77777777" w:rsidR="00686171" w:rsidRPr="004B535A" w:rsidRDefault="00067D69" w:rsidP="00067D69">
      <w:pPr>
        <w:pStyle w:val="Normalnumber"/>
        <w:tabs>
          <w:tab w:val="clear" w:pos="1134"/>
          <w:tab w:val="clear" w:pos="1247"/>
          <w:tab w:val="clear" w:pos="1814"/>
          <w:tab w:val="clear" w:pos="2381"/>
          <w:tab w:val="clear" w:pos="2948"/>
          <w:tab w:val="clear" w:pos="3515"/>
          <w:tab w:val="clear" w:pos="4082"/>
          <w:tab w:val="num" w:pos="624"/>
        </w:tabs>
      </w:pPr>
      <w:r w:rsidRPr="004B535A">
        <w:rPr>
          <w:bCs/>
        </w:rPr>
        <w:t>In respect of</w:t>
      </w:r>
      <w:r w:rsidR="00C81796" w:rsidRPr="004B535A">
        <w:rPr>
          <w:bCs/>
        </w:rPr>
        <w:t xml:space="preserve"> the consumption manufacturing sector, </w:t>
      </w:r>
      <w:r w:rsidR="002F2E4A" w:rsidRPr="004B535A">
        <w:rPr>
          <w:bCs/>
        </w:rPr>
        <w:t xml:space="preserve">in </w:t>
      </w:r>
      <w:r w:rsidR="00C81796" w:rsidRPr="004B535A">
        <w:t>decisions 78/3 and 79/45</w:t>
      </w:r>
      <w:r w:rsidR="002F2E4A" w:rsidRPr="004B535A">
        <w:t xml:space="preserve"> the </w:t>
      </w:r>
      <w:r w:rsidR="001212CF" w:rsidRPr="004B535A">
        <w:t xml:space="preserve">Executive </w:t>
      </w:r>
      <w:r w:rsidR="002F2E4A" w:rsidRPr="004B535A">
        <w:t>Committee had</w:t>
      </w:r>
      <w:r w:rsidR="00C81796" w:rsidRPr="004B535A">
        <w:t xml:space="preserve"> set out an a</w:t>
      </w:r>
      <w:r w:rsidR="00686171" w:rsidRPr="004B535A">
        <w:t>greement to consider HFC</w:t>
      </w:r>
      <w:r w:rsidR="00686171" w:rsidRPr="004B535A">
        <w:noBreakHyphen/>
        <w:t xml:space="preserve">related projects in the manufacturing sector to gain experience in the incremental capital costs associated with </w:t>
      </w:r>
      <w:r w:rsidR="00AC31EF" w:rsidRPr="004B535A">
        <w:t>the phase-</w:t>
      </w:r>
      <w:r w:rsidR="00686171" w:rsidRPr="004B535A">
        <w:t xml:space="preserve">down </w:t>
      </w:r>
      <w:r w:rsidR="00AC31EF" w:rsidRPr="004B535A">
        <w:t xml:space="preserve">of </w:t>
      </w:r>
      <w:r w:rsidR="00686171" w:rsidRPr="004B535A">
        <w:t>HFCs</w:t>
      </w:r>
      <w:r w:rsidR="00C81796" w:rsidRPr="004B535A">
        <w:t>; a</w:t>
      </w:r>
      <w:r w:rsidR="00686171" w:rsidRPr="004B535A">
        <w:t>pproval of the first investment pro</w:t>
      </w:r>
      <w:r w:rsidR="00C81796" w:rsidRPr="004B535A">
        <w:t xml:space="preserve">ject for $3.13 million to phase </w:t>
      </w:r>
      <w:r w:rsidR="00686171" w:rsidRPr="004B535A">
        <w:t xml:space="preserve">out 230.63 </w:t>
      </w:r>
      <w:r w:rsidR="00C81796" w:rsidRPr="004B535A">
        <w:t>metric tonnes</w:t>
      </w:r>
      <w:r w:rsidR="00686171" w:rsidRPr="004B535A">
        <w:t xml:space="preserve"> of HFC-134a at a domestic refrigeration manufacturing facility in Bangladesh, including compressors</w:t>
      </w:r>
      <w:r w:rsidR="00B1359A" w:rsidRPr="004B535A">
        <w:t>; and ap</w:t>
      </w:r>
      <w:r w:rsidR="00686171" w:rsidRPr="004B535A">
        <w:t>proval of $240,000 for the preparation of six additional projects to phase out HFCs in the domestic and commercial refrigeration sectors and two in the polyurethane foam sectors</w:t>
      </w:r>
      <w:r w:rsidR="00B1359A" w:rsidRPr="004B535A">
        <w:t>.</w:t>
      </w:r>
    </w:p>
    <w:p w14:paraId="028AAF9F" w14:textId="77777777" w:rsidR="00686171" w:rsidRPr="004B535A" w:rsidRDefault="00E3353F" w:rsidP="00067D69">
      <w:pPr>
        <w:pStyle w:val="Normalnumber"/>
        <w:tabs>
          <w:tab w:val="clear" w:pos="1134"/>
          <w:tab w:val="clear" w:pos="1247"/>
          <w:tab w:val="clear" w:pos="1814"/>
          <w:tab w:val="clear" w:pos="2381"/>
          <w:tab w:val="clear" w:pos="2948"/>
          <w:tab w:val="clear" w:pos="3515"/>
          <w:tab w:val="clear" w:pos="4082"/>
          <w:tab w:val="num" w:pos="624"/>
        </w:tabs>
      </w:pPr>
      <w:r w:rsidRPr="004B535A">
        <w:rPr>
          <w:bCs/>
        </w:rPr>
        <w:t>Regarding</w:t>
      </w:r>
      <w:r w:rsidRPr="004B535A">
        <w:t xml:space="preserve"> </w:t>
      </w:r>
      <w:r w:rsidR="007E6554" w:rsidRPr="004B535A">
        <w:t xml:space="preserve">support for </w:t>
      </w:r>
      <w:r w:rsidRPr="004B535A">
        <w:t xml:space="preserve">enabling activities and institutional strengthening, </w:t>
      </w:r>
      <w:r w:rsidR="007B1544" w:rsidRPr="004B535A">
        <w:t xml:space="preserve">in </w:t>
      </w:r>
      <w:r w:rsidRPr="004B535A">
        <w:t>d</w:t>
      </w:r>
      <w:r w:rsidR="00B1359A" w:rsidRPr="004B535A">
        <w:t xml:space="preserve">ecision 79/46 </w:t>
      </w:r>
      <w:r w:rsidR="007B1544" w:rsidRPr="004B535A">
        <w:t xml:space="preserve">the </w:t>
      </w:r>
      <w:r w:rsidR="001212CF" w:rsidRPr="004B535A">
        <w:t xml:space="preserve">Executive </w:t>
      </w:r>
      <w:r w:rsidR="007B1544" w:rsidRPr="004B535A">
        <w:t xml:space="preserve">Committee had </w:t>
      </w:r>
      <w:r w:rsidRPr="004B535A">
        <w:t>set</w:t>
      </w:r>
      <w:r w:rsidR="00B1359A" w:rsidRPr="004B535A">
        <w:t xml:space="preserve"> out the c</w:t>
      </w:r>
      <w:r w:rsidR="00686171" w:rsidRPr="004B535A">
        <w:t xml:space="preserve">riteria for the consideration of enabling activities in </w:t>
      </w:r>
      <w:r w:rsidR="00664CDE" w:rsidRPr="004B535A">
        <w:t xml:space="preserve">parties operating under paragraph 1 of </w:t>
      </w:r>
      <w:r w:rsidR="00686171" w:rsidRPr="004B535A">
        <w:t>Article 5</w:t>
      </w:r>
      <w:r w:rsidR="00B1359A" w:rsidRPr="004B535A">
        <w:t xml:space="preserve">, for which </w:t>
      </w:r>
      <w:r w:rsidR="00686171" w:rsidRPr="004B535A">
        <w:t>$8.27</w:t>
      </w:r>
      <w:r w:rsidR="00980539" w:rsidRPr="004B535A">
        <w:t> </w:t>
      </w:r>
      <w:r w:rsidR="00686171" w:rsidRPr="004B535A">
        <w:t xml:space="preserve">million </w:t>
      </w:r>
      <w:r w:rsidR="00B1359A" w:rsidRPr="004B535A">
        <w:t xml:space="preserve">had already been </w:t>
      </w:r>
      <w:r w:rsidR="00686171" w:rsidRPr="004B535A">
        <w:t xml:space="preserve">approved for </w:t>
      </w:r>
      <w:r w:rsidR="00B1359A" w:rsidRPr="004B535A">
        <w:t xml:space="preserve">the funding of </w:t>
      </w:r>
      <w:r w:rsidR="00686171" w:rsidRPr="004B535A">
        <w:t xml:space="preserve">enabling activities </w:t>
      </w:r>
      <w:r w:rsidR="00B1359A" w:rsidRPr="004B535A">
        <w:t>across</w:t>
      </w:r>
      <w:r w:rsidR="00686171" w:rsidRPr="004B535A">
        <w:t xml:space="preserve"> 59 countries</w:t>
      </w:r>
      <w:r w:rsidRPr="004B535A">
        <w:t xml:space="preserve">, while </w:t>
      </w:r>
      <w:r w:rsidR="00664CDE" w:rsidRPr="004B535A">
        <w:t xml:space="preserve">in </w:t>
      </w:r>
      <w:r w:rsidRPr="004B535A">
        <w:t>d</w:t>
      </w:r>
      <w:r w:rsidR="00B1359A" w:rsidRPr="004B535A">
        <w:t xml:space="preserve">ecision XXVIII/2 </w:t>
      </w:r>
      <w:r w:rsidR="00664CDE" w:rsidRPr="004B535A">
        <w:t xml:space="preserve">the Committee </w:t>
      </w:r>
      <w:r w:rsidRPr="004B535A">
        <w:t xml:space="preserve">had </w:t>
      </w:r>
      <w:r w:rsidR="00B1359A" w:rsidRPr="004B535A">
        <w:t xml:space="preserve">mandated </w:t>
      </w:r>
      <w:r w:rsidR="000660E2" w:rsidRPr="004B535A">
        <w:t>an agreement to consider increasing funding for i</w:t>
      </w:r>
      <w:r w:rsidR="00C81796" w:rsidRPr="004B535A">
        <w:rPr>
          <w:bCs/>
        </w:rPr>
        <w:t xml:space="preserve">nstitutional strengthening </w:t>
      </w:r>
      <w:r w:rsidR="000660E2" w:rsidRPr="004B535A">
        <w:t>at a future meeting.</w:t>
      </w:r>
      <w:r w:rsidR="00C635DA" w:rsidRPr="004B535A">
        <w:t xml:space="preserve"> </w:t>
      </w:r>
    </w:p>
    <w:p w14:paraId="1D8018E4" w14:textId="77777777" w:rsidR="00863CEC" w:rsidRPr="004B535A" w:rsidRDefault="00A37644" w:rsidP="00067D69">
      <w:pPr>
        <w:pStyle w:val="Normalnumber"/>
        <w:tabs>
          <w:tab w:val="clear" w:pos="1134"/>
          <w:tab w:val="clear" w:pos="1247"/>
          <w:tab w:val="clear" w:pos="1814"/>
          <w:tab w:val="clear" w:pos="2381"/>
          <w:tab w:val="clear" w:pos="2948"/>
          <w:tab w:val="clear" w:pos="3515"/>
          <w:tab w:val="clear" w:pos="4082"/>
          <w:tab w:val="num" w:pos="624"/>
        </w:tabs>
      </w:pPr>
      <w:r w:rsidRPr="004B535A">
        <w:rPr>
          <w:bCs/>
        </w:rPr>
        <w:t>With regard to HFC-23 by-product control, a</w:t>
      </w:r>
      <w:r w:rsidR="004D791B" w:rsidRPr="004B535A">
        <w:rPr>
          <w:bCs/>
        </w:rPr>
        <w:t>n ag</w:t>
      </w:r>
      <w:r w:rsidR="00686171" w:rsidRPr="004B535A">
        <w:t xml:space="preserve">reement </w:t>
      </w:r>
      <w:r w:rsidR="004D791B" w:rsidRPr="004B535A">
        <w:t xml:space="preserve">was in place </w:t>
      </w:r>
      <w:r w:rsidR="00686171" w:rsidRPr="004B535A">
        <w:t xml:space="preserve">to consider possible cost-effective options for compensation </w:t>
      </w:r>
      <w:r w:rsidRPr="004B535A">
        <w:t>in respect of</w:t>
      </w:r>
      <w:r w:rsidR="00686171" w:rsidRPr="004B535A">
        <w:t xml:space="preserve"> HCFC-22 swing plants to allow for compliance with the control obligations</w:t>
      </w:r>
      <w:r w:rsidRPr="004B535A">
        <w:t xml:space="preserve">. The </w:t>
      </w:r>
      <w:r w:rsidR="00FD6890" w:rsidRPr="004B535A">
        <w:t>s</w:t>
      </w:r>
      <w:r w:rsidR="00686171" w:rsidRPr="004B535A">
        <w:t xml:space="preserve">ecretariat </w:t>
      </w:r>
      <w:r w:rsidRPr="004B535A">
        <w:t xml:space="preserve">would </w:t>
      </w:r>
      <w:r w:rsidR="00686171" w:rsidRPr="004B535A">
        <w:t xml:space="preserve">commission an evaluation of cost-effective and environmentally sustainable options </w:t>
      </w:r>
      <w:r w:rsidR="00CC7676" w:rsidRPr="004B535A">
        <w:t>for</w:t>
      </w:r>
      <w:r w:rsidR="00686171" w:rsidRPr="004B535A">
        <w:t xml:space="preserve"> HFC-23 destruction from HCFC-22 production facilities </w:t>
      </w:r>
      <w:r w:rsidRPr="004B535A">
        <w:t xml:space="preserve">and invite </w:t>
      </w:r>
      <w:r w:rsidR="003F2A45" w:rsidRPr="004B535A">
        <w:t xml:space="preserve">the </w:t>
      </w:r>
      <w:r w:rsidR="00686171" w:rsidRPr="004B535A">
        <w:t>implementing agencies to submit proposals for technology demonstration for HFC-23 by</w:t>
      </w:r>
      <w:r w:rsidR="005008A6" w:rsidRPr="004B535A">
        <w:noBreakHyphen/>
      </w:r>
      <w:r w:rsidR="00686171" w:rsidRPr="004B535A">
        <w:t>product mitigation or conversion technologies</w:t>
      </w:r>
      <w:r w:rsidRPr="004B535A">
        <w:t>. The fu</w:t>
      </w:r>
      <w:r w:rsidR="00686171" w:rsidRPr="004B535A">
        <w:t xml:space="preserve">nds </w:t>
      </w:r>
      <w:r w:rsidRPr="004B535A">
        <w:t xml:space="preserve">had already been </w:t>
      </w:r>
      <w:r w:rsidR="00686171" w:rsidRPr="004B535A">
        <w:t>approved for the preparation of a technology demonstration project to convert HFC-23 by</w:t>
      </w:r>
      <w:r w:rsidR="00980539" w:rsidRPr="004B535A">
        <w:noBreakHyphen/>
      </w:r>
      <w:r w:rsidR="00686171" w:rsidRPr="004B535A">
        <w:t>product to valuable organic halides</w:t>
      </w:r>
      <w:r w:rsidRPr="004B535A">
        <w:t>.</w:t>
      </w:r>
      <w:r w:rsidR="00686171" w:rsidRPr="004B535A">
        <w:t xml:space="preserve"> </w:t>
      </w:r>
    </w:p>
    <w:p w14:paraId="5647AA29" w14:textId="7E57697B" w:rsidR="00863CEC" w:rsidRPr="004B535A" w:rsidRDefault="00CC7676" w:rsidP="00067D69">
      <w:pPr>
        <w:pStyle w:val="Normalnumber"/>
        <w:tabs>
          <w:tab w:val="clear" w:pos="1134"/>
          <w:tab w:val="clear" w:pos="1247"/>
          <w:tab w:val="clear" w:pos="1814"/>
          <w:tab w:val="clear" w:pos="2381"/>
          <w:tab w:val="clear" w:pos="2948"/>
          <w:tab w:val="clear" w:pos="3515"/>
          <w:tab w:val="clear" w:pos="4082"/>
          <w:tab w:val="num" w:pos="624"/>
        </w:tabs>
      </w:pPr>
      <w:r w:rsidRPr="004B535A">
        <w:t xml:space="preserve">Since the </w:t>
      </w:r>
      <w:r w:rsidR="00327797" w:rsidRPr="004B535A">
        <w:t>Twenty-Eighth Meeting of the Parties</w:t>
      </w:r>
      <w:r w:rsidRPr="004B535A">
        <w:t>, t</w:t>
      </w:r>
      <w:r w:rsidR="00A37644" w:rsidRPr="004B535A">
        <w:t xml:space="preserve">he </w:t>
      </w:r>
      <w:r w:rsidR="00863CEC" w:rsidRPr="004B535A">
        <w:t xml:space="preserve">Fund had </w:t>
      </w:r>
      <w:r w:rsidR="00316384" w:rsidRPr="004B535A">
        <w:t xml:space="preserve">held </w:t>
      </w:r>
      <w:r w:rsidR="00863CEC" w:rsidRPr="004B535A">
        <w:t>four meetings at</w:t>
      </w:r>
      <w:r w:rsidRPr="004B535A">
        <w:t xml:space="preserve"> which the phase-out of HFCs had</w:t>
      </w:r>
      <w:r w:rsidR="00863CEC" w:rsidRPr="004B535A">
        <w:t xml:space="preserve"> been discussed</w:t>
      </w:r>
      <w:r w:rsidRPr="004B535A">
        <w:t xml:space="preserve"> and it </w:t>
      </w:r>
      <w:r w:rsidR="00863CEC" w:rsidRPr="004B535A">
        <w:t xml:space="preserve">already had related agreements in place. The </w:t>
      </w:r>
      <w:r w:rsidR="00CC0EE5" w:rsidRPr="004B535A">
        <w:t>s</w:t>
      </w:r>
      <w:r w:rsidR="00A37644" w:rsidRPr="004B535A">
        <w:t xml:space="preserve">ecretariat had received a request to prepare a </w:t>
      </w:r>
      <w:r w:rsidRPr="004B535A">
        <w:t>wide</w:t>
      </w:r>
      <w:r w:rsidR="00863CEC" w:rsidRPr="004B535A">
        <w:t xml:space="preserve">-ranging </w:t>
      </w:r>
      <w:r w:rsidR="00A37644" w:rsidRPr="004B535A">
        <w:t xml:space="preserve">document covering all aspects </w:t>
      </w:r>
      <w:r w:rsidR="00CC0EE5" w:rsidRPr="004B535A">
        <w:t>of the HFC phase</w:t>
      </w:r>
      <w:r w:rsidR="0032752B" w:rsidRPr="004B535A">
        <w:noBreakHyphen/>
      </w:r>
      <w:r w:rsidR="00CC0EE5" w:rsidRPr="004B535A">
        <w:t xml:space="preserve">down as </w:t>
      </w:r>
      <w:r w:rsidR="006C65EF" w:rsidRPr="004B535A">
        <w:t>it</w:t>
      </w:r>
      <w:r w:rsidR="00CC0EE5" w:rsidRPr="004B535A">
        <w:t xml:space="preserve"> related</w:t>
      </w:r>
      <w:r w:rsidR="00A37644" w:rsidRPr="004B535A">
        <w:t xml:space="preserve"> to the refrigeration servicing sector</w:t>
      </w:r>
      <w:r w:rsidRPr="004B535A">
        <w:t>,</w:t>
      </w:r>
      <w:r w:rsidR="00863CEC" w:rsidRPr="004B535A">
        <w:t xml:space="preserve"> and the </w:t>
      </w:r>
      <w:r w:rsidRPr="004B535A">
        <w:t xml:space="preserve">Executive Committee </w:t>
      </w:r>
      <w:r w:rsidR="00863CEC" w:rsidRPr="004B535A">
        <w:t>had already agreed to fund projects to obtain meaningful data for that purpose. The first</w:t>
      </w:r>
      <w:r w:rsidR="00C60399" w:rsidRPr="004B535A">
        <w:t>-</w:t>
      </w:r>
      <w:r w:rsidR="00863CEC" w:rsidRPr="004B535A">
        <w:t xml:space="preserve">ever phase-out of HFCs using R600A technology had been approved by the Committee at its meeting </w:t>
      </w:r>
      <w:r w:rsidR="000753AA" w:rsidRPr="004B535A">
        <w:t>immediately before</w:t>
      </w:r>
      <w:r w:rsidR="00863CEC" w:rsidRPr="004B535A">
        <w:t xml:space="preserve"> the </w:t>
      </w:r>
      <w:r w:rsidR="000753AA" w:rsidRPr="004B535A">
        <w:t xml:space="preserve">current </w:t>
      </w:r>
      <w:r w:rsidR="00863CEC" w:rsidRPr="004B535A">
        <w:t xml:space="preserve">meeting and funding was already in place for the project, indicating a strong commitment from </w:t>
      </w:r>
      <w:r w:rsidR="00324DC0" w:rsidRPr="004B535A">
        <w:t xml:space="preserve">Governments </w:t>
      </w:r>
      <w:r w:rsidR="005A1AC4" w:rsidRPr="004B535A">
        <w:t xml:space="preserve">to </w:t>
      </w:r>
      <w:r w:rsidR="00863CEC" w:rsidRPr="004B535A">
        <w:t>ratifying the Kigali Amendment</w:t>
      </w:r>
      <w:r w:rsidR="00324DC0" w:rsidRPr="004B535A">
        <w:t xml:space="preserve">. </w:t>
      </w:r>
    </w:p>
    <w:p w14:paraId="1657D4BE" w14:textId="364323C1" w:rsidR="00A85B41" w:rsidRPr="004B535A" w:rsidRDefault="00C5167B" w:rsidP="00067D69">
      <w:pPr>
        <w:pStyle w:val="Normalnumber"/>
        <w:tabs>
          <w:tab w:val="clear" w:pos="1134"/>
          <w:tab w:val="clear" w:pos="1247"/>
          <w:tab w:val="clear" w:pos="1814"/>
          <w:tab w:val="clear" w:pos="2381"/>
          <w:tab w:val="clear" w:pos="2948"/>
          <w:tab w:val="clear" w:pos="3515"/>
          <w:tab w:val="clear" w:pos="4082"/>
          <w:tab w:val="num" w:pos="624"/>
        </w:tabs>
      </w:pPr>
      <w:r w:rsidRPr="004B535A">
        <w:t xml:space="preserve">As had been previously reported, </w:t>
      </w:r>
      <w:r w:rsidR="000127AB" w:rsidRPr="004B535A">
        <w:t>17 parties not operating under paragraph 1 of</w:t>
      </w:r>
      <w:r w:rsidR="000127AB" w:rsidRPr="004B535A" w:rsidDel="000127AB">
        <w:t xml:space="preserve"> </w:t>
      </w:r>
      <w:r w:rsidRPr="004B535A">
        <w:t xml:space="preserve">Article 5 had pledged additional voluntary contributions to provide fast-start support for HFC phase-down. </w:t>
      </w:r>
      <w:r w:rsidR="00686171" w:rsidRPr="004B535A">
        <w:t xml:space="preserve">As </w:t>
      </w:r>
      <w:r w:rsidR="00947B41" w:rsidRPr="004B535A">
        <w:t>at</w:t>
      </w:r>
      <w:r w:rsidR="00686171" w:rsidRPr="004B535A">
        <w:t xml:space="preserve"> 14</w:t>
      </w:r>
      <w:r w:rsidR="00D21223" w:rsidRPr="004B535A">
        <w:t> </w:t>
      </w:r>
      <w:r w:rsidR="00686171" w:rsidRPr="004B535A">
        <w:t xml:space="preserve">November 2017, 11 </w:t>
      </w:r>
      <w:r w:rsidRPr="004B535A">
        <w:t xml:space="preserve">of those countries </w:t>
      </w:r>
      <w:r w:rsidR="00686171" w:rsidRPr="004B535A">
        <w:t xml:space="preserve">had paid </w:t>
      </w:r>
      <w:r w:rsidRPr="004B535A">
        <w:t xml:space="preserve">those contributions, </w:t>
      </w:r>
      <w:r w:rsidR="00441CF9" w:rsidRPr="004B535A">
        <w:t xml:space="preserve">totalling </w:t>
      </w:r>
      <w:r w:rsidR="00686171" w:rsidRPr="004B535A">
        <w:t>$14 million</w:t>
      </w:r>
      <w:r w:rsidR="00441CF9" w:rsidRPr="004B535A">
        <w:t xml:space="preserve">. </w:t>
      </w:r>
      <w:r w:rsidR="00686171" w:rsidRPr="004B535A">
        <w:lastRenderedPageBreak/>
        <w:t>The</w:t>
      </w:r>
      <w:r w:rsidR="003868E4" w:rsidRPr="004B535A">
        <w:t> </w:t>
      </w:r>
      <w:r w:rsidR="00686171" w:rsidRPr="004B535A">
        <w:t xml:space="preserve">funds </w:t>
      </w:r>
      <w:r w:rsidR="00441CF9" w:rsidRPr="004B535A">
        <w:t>had been</w:t>
      </w:r>
      <w:r w:rsidR="00686171" w:rsidRPr="004B535A">
        <w:t xml:space="preserve"> used in the approval of enabling acti</w:t>
      </w:r>
      <w:r w:rsidR="00441CF9" w:rsidRPr="004B535A">
        <w:t>vities to 59 countries, one HFC-</w:t>
      </w:r>
      <w:r w:rsidR="00686171" w:rsidRPr="004B535A">
        <w:t>related investment project, preparatory funding for eight HFC-related investment projects and one demonstration project relat</w:t>
      </w:r>
      <w:r w:rsidR="007926C4" w:rsidRPr="004B535A">
        <w:t>ing</w:t>
      </w:r>
      <w:r w:rsidR="00686171" w:rsidRPr="004B535A">
        <w:t xml:space="preserve"> to HFC-23 by-product</w:t>
      </w:r>
      <w:r w:rsidR="00441CF9" w:rsidRPr="004B535A">
        <w:t>s</w:t>
      </w:r>
      <w:r w:rsidRPr="004B535A">
        <w:t xml:space="preserve">. </w:t>
      </w:r>
    </w:p>
    <w:p w14:paraId="42893B70" w14:textId="77777777" w:rsidR="00A85B41" w:rsidRPr="004B535A"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Committee took note of the information presented. </w:t>
      </w:r>
    </w:p>
    <w:p w14:paraId="25BA1D4B" w14:textId="77777777" w:rsidR="005F7162" w:rsidRPr="004B535A" w:rsidRDefault="00752C63" w:rsidP="008C0BEE">
      <w:pPr>
        <w:pStyle w:val="CH1"/>
      </w:pPr>
      <w:r w:rsidRPr="004B535A">
        <w:tab/>
      </w:r>
      <w:r w:rsidR="00FF307E" w:rsidRPr="004B535A">
        <w:t>V.</w:t>
      </w:r>
      <w:r w:rsidR="00803E84" w:rsidRPr="004B535A">
        <w:tab/>
      </w:r>
      <w:r w:rsidR="005F7162" w:rsidRPr="004B535A">
        <w:t xml:space="preserve">Follow-up on previous decisions of the parties and recommendations of the Implementation Committee on </w:t>
      </w:r>
      <w:r w:rsidR="005F7162" w:rsidRPr="004B535A">
        <w:br/>
        <w:t>non-compliance-related issues: existing plans of action to return to compliance</w:t>
      </w:r>
      <w:r w:rsidR="00FF307E" w:rsidRPr="004B535A">
        <w:t xml:space="preserve"> </w:t>
      </w:r>
    </w:p>
    <w:p w14:paraId="70028568" w14:textId="77777777" w:rsidR="005F7162" w:rsidRPr="004B535A" w:rsidRDefault="005F7162" w:rsidP="008C0BEE">
      <w:pPr>
        <w:pStyle w:val="CH2"/>
      </w:pPr>
      <w:r w:rsidRPr="004B535A">
        <w:tab/>
        <w:t>A.</w:t>
      </w:r>
      <w:r w:rsidRPr="004B535A">
        <w:tab/>
        <w:t>Kazakhstan (decision XXVI/13 and recommendation 58/1)</w:t>
      </w:r>
    </w:p>
    <w:p w14:paraId="2BC4EBB5" w14:textId="77777777" w:rsidR="005F7162" w:rsidRPr="004B535A" w:rsidRDefault="005F7162" w:rsidP="00FF307E">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representative of the Secretariat recalled that at its previous meeting the Committee had discussed with the representative of Kazakhstan the reasons for the inconsistency between its reported HCFC data for 2015 and the targets under its plan of action to return to compliance with its obligations under the Montreal Protocol. </w:t>
      </w:r>
      <w:r w:rsidR="00EB70DD" w:rsidRPr="004B535A">
        <w:t xml:space="preserve">In </w:t>
      </w:r>
      <w:r w:rsidR="00824B83" w:rsidRPr="004B535A">
        <w:t>r</w:t>
      </w:r>
      <w:r w:rsidRPr="004B535A">
        <w:t>ecommendation 58/1, the Committee had requested corrected data for 2015 and the submission of data for 2016.</w:t>
      </w:r>
    </w:p>
    <w:p w14:paraId="3C933B39" w14:textId="77777777" w:rsidR="005F7162" w:rsidRPr="004B535A" w:rsidRDefault="005F7162" w:rsidP="00FF307E">
      <w:pPr>
        <w:pStyle w:val="Normalnumber"/>
        <w:tabs>
          <w:tab w:val="clear" w:pos="1134"/>
          <w:tab w:val="clear" w:pos="1247"/>
          <w:tab w:val="clear" w:pos="1814"/>
          <w:tab w:val="clear" w:pos="2381"/>
          <w:tab w:val="clear" w:pos="2948"/>
          <w:tab w:val="clear" w:pos="3515"/>
          <w:tab w:val="clear" w:pos="4082"/>
          <w:tab w:val="num" w:pos="624"/>
        </w:tabs>
      </w:pPr>
      <w:r w:rsidRPr="004B535A">
        <w:t>Kazakhstan had subsequently submitted revised data for 2015 and data for 2016</w:t>
      </w:r>
      <w:r w:rsidR="001F2F43" w:rsidRPr="004B535A">
        <w:t>,</w:t>
      </w:r>
      <w:r w:rsidRPr="004B535A">
        <w:t xml:space="preserve"> which </w:t>
      </w:r>
      <w:r w:rsidR="00193D3E" w:rsidRPr="004B535A">
        <w:t xml:space="preserve">confirmed </w:t>
      </w:r>
      <w:r w:rsidRPr="004B535A">
        <w:t xml:space="preserve">that it had been in non-compliance with its obligations for HCFC consumption, </w:t>
      </w:r>
      <w:r w:rsidR="00824B83" w:rsidRPr="004B535A">
        <w:t>al</w:t>
      </w:r>
      <w:r w:rsidRPr="004B535A">
        <w:t xml:space="preserve">though in compliance with </w:t>
      </w:r>
      <w:r w:rsidR="00824B83" w:rsidRPr="004B535A">
        <w:t xml:space="preserve">its </w:t>
      </w:r>
      <w:r w:rsidRPr="004B535A">
        <w:t>obligations for methyl bromide consumption, for both years. In response to requests from the Secretariat, the party had explained that the main reasons for th</w:t>
      </w:r>
      <w:r w:rsidR="001C4CAC" w:rsidRPr="004B535A">
        <w:t>at</w:t>
      </w:r>
      <w:r w:rsidRPr="004B535A">
        <w:t xml:space="preserve"> non-compliance included the poor quality of customs equipment, including detectors for determining the type of </w:t>
      </w:r>
      <w:r w:rsidR="00824B83" w:rsidRPr="004B535A">
        <w:t>ozone</w:t>
      </w:r>
      <w:r w:rsidR="00997D88" w:rsidRPr="004B535A">
        <w:noBreakHyphen/>
      </w:r>
      <w:r w:rsidR="00824B83" w:rsidRPr="004B535A">
        <w:t>depleting substances;</w:t>
      </w:r>
      <w:r w:rsidRPr="004B535A">
        <w:t xml:space="preserve"> a lack of capacity o</w:t>
      </w:r>
      <w:r w:rsidR="00FB140B" w:rsidRPr="004B535A">
        <w:t>n the part o</w:t>
      </w:r>
      <w:r w:rsidRPr="004B535A">
        <w:t>f companies’ technical staff for the transition to natural refrigerants</w:t>
      </w:r>
      <w:r w:rsidR="00824B83" w:rsidRPr="004B535A">
        <w:t>;</w:t>
      </w:r>
      <w:r w:rsidRPr="004B535A">
        <w:t xml:space="preserve"> insufficient public awareness of the need to replace HCFCs with ozone-friendly substances and of the harm caused by ozone-depleting substances</w:t>
      </w:r>
      <w:r w:rsidR="00824B83" w:rsidRPr="004B535A">
        <w:t>;</w:t>
      </w:r>
      <w:r w:rsidRPr="004B535A">
        <w:t xml:space="preserve"> and uncontrolled imports of substances from other </w:t>
      </w:r>
      <w:r w:rsidR="001C4CAC" w:rsidRPr="004B535A">
        <w:t xml:space="preserve">States </w:t>
      </w:r>
      <w:r w:rsidRPr="004B535A">
        <w:t>member</w:t>
      </w:r>
      <w:r w:rsidR="001C4CAC" w:rsidRPr="004B535A">
        <w:t>s</w:t>
      </w:r>
      <w:r w:rsidRPr="004B535A">
        <w:t xml:space="preserve"> of the Eurasian Economic Union.</w:t>
      </w:r>
    </w:p>
    <w:p w14:paraId="7753C395" w14:textId="77777777" w:rsidR="005F7162" w:rsidRPr="004B535A" w:rsidRDefault="005F7162" w:rsidP="00FF307E">
      <w:pPr>
        <w:pStyle w:val="Normalnumber"/>
        <w:tabs>
          <w:tab w:val="clear" w:pos="1134"/>
          <w:tab w:val="clear" w:pos="1247"/>
          <w:tab w:val="clear" w:pos="1814"/>
          <w:tab w:val="clear" w:pos="2381"/>
          <w:tab w:val="clear" w:pos="2948"/>
          <w:tab w:val="clear" w:pos="3515"/>
          <w:tab w:val="clear" w:pos="4082"/>
          <w:tab w:val="num" w:pos="624"/>
        </w:tabs>
      </w:pPr>
      <w:r w:rsidRPr="004B535A">
        <w:t>The party had also mentioned that there had been no technical support provided</w:t>
      </w:r>
      <w:r w:rsidR="009164F3" w:rsidRPr="004B535A">
        <w:t xml:space="preserve"> </w:t>
      </w:r>
      <w:r w:rsidRPr="004B535A">
        <w:t xml:space="preserve">to reduce the consumption of ozone-depleting substances since 2008, although a project proposal for the elimination of HCFCs, developed jointly with the United Nations Development Programme, was currently under review by the Global Environment Facility. </w:t>
      </w:r>
    </w:p>
    <w:p w14:paraId="63832F13" w14:textId="2F98F9DE" w:rsidR="005F7162" w:rsidRPr="004B535A" w:rsidRDefault="005F7162" w:rsidP="00FF307E">
      <w:pPr>
        <w:pStyle w:val="Normalnumber"/>
        <w:tabs>
          <w:tab w:val="clear" w:pos="1134"/>
          <w:tab w:val="clear" w:pos="1247"/>
          <w:tab w:val="clear" w:pos="1814"/>
          <w:tab w:val="clear" w:pos="2381"/>
          <w:tab w:val="clear" w:pos="2948"/>
          <w:tab w:val="clear" w:pos="3515"/>
          <w:tab w:val="clear" w:pos="4082"/>
          <w:tab w:val="num" w:pos="624"/>
        </w:tabs>
      </w:pPr>
      <w:bookmarkStart w:id="1" w:name="_Hlk501004071"/>
      <w:r w:rsidRPr="004B535A">
        <w:t xml:space="preserve">Kazakhstan had submitted a proposal for a revised plan of action, which included </w:t>
      </w:r>
      <w:r w:rsidR="00E4740C" w:rsidRPr="004B535A">
        <w:t xml:space="preserve">a reduction in HCFC consumption </w:t>
      </w:r>
      <w:r w:rsidR="00A863FD" w:rsidRPr="004B535A">
        <w:t xml:space="preserve">to no greater than </w:t>
      </w:r>
      <w:r w:rsidRPr="004B535A">
        <w:t>7.5</w:t>
      </w:r>
      <w:r w:rsidR="00D538F7" w:rsidRPr="004B535A">
        <w:t> </w:t>
      </w:r>
      <w:r w:rsidRPr="004B535A">
        <w:t>ODP</w:t>
      </w:r>
      <w:r w:rsidR="00997D88" w:rsidRPr="004B535A">
        <w:noBreakHyphen/>
      </w:r>
      <w:r w:rsidRPr="004B535A">
        <w:t xml:space="preserve">tonnes in 2017, 2018 </w:t>
      </w:r>
      <w:bookmarkEnd w:id="1"/>
      <w:r w:rsidRPr="004B535A">
        <w:t>and 2019, 6.0 ODP-tonnes in 2020, 3.95</w:t>
      </w:r>
      <w:r w:rsidR="00D538F7" w:rsidRPr="004B535A">
        <w:t> </w:t>
      </w:r>
      <w:r w:rsidRPr="004B535A">
        <w:t>ODP</w:t>
      </w:r>
      <w:r w:rsidR="00980539" w:rsidRPr="004B535A">
        <w:noBreakHyphen/>
      </w:r>
      <w:r w:rsidRPr="004B535A">
        <w:t>tonnes in 2021 and 0.5 ODP-tonnes in 2022, 2023 and 2024, with total phase-out by 1</w:t>
      </w:r>
      <w:r w:rsidR="00D538F7" w:rsidRPr="004B535A">
        <w:t> </w:t>
      </w:r>
      <w:r w:rsidRPr="004B535A">
        <w:t>January 2025. Additional consumption would be needed for the servicing of refrigeration and air</w:t>
      </w:r>
      <w:r w:rsidR="002E56FA" w:rsidRPr="004B535A">
        <w:noBreakHyphen/>
      </w:r>
      <w:r w:rsidRPr="004B535A">
        <w:t xml:space="preserve">conditioning equipment between 2020 and 2030, as allowed </w:t>
      </w:r>
      <w:r w:rsidR="00322CAA" w:rsidRPr="004B535A">
        <w:t xml:space="preserve">for </w:t>
      </w:r>
      <w:r w:rsidRPr="004B535A">
        <w:t>under the Montreal Protocol.</w:t>
      </w:r>
    </w:p>
    <w:p w14:paraId="3AB1E729" w14:textId="77777777" w:rsidR="005F7162" w:rsidRPr="004B535A" w:rsidRDefault="005F7162" w:rsidP="00FF307E">
      <w:pPr>
        <w:pStyle w:val="Normalnumber"/>
        <w:tabs>
          <w:tab w:val="clear" w:pos="1134"/>
          <w:tab w:val="clear" w:pos="1247"/>
          <w:tab w:val="clear" w:pos="1814"/>
          <w:tab w:val="clear" w:pos="2381"/>
          <w:tab w:val="clear" w:pos="2948"/>
          <w:tab w:val="clear" w:pos="3515"/>
          <w:tab w:val="clear" w:pos="4082"/>
          <w:tab w:val="num" w:pos="624"/>
        </w:tabs>
      </w:pPr>
      <w:r w:rsidRPr="004B535A">
        <w:t xml:space="preserve">Members of the Committee, while </w:t>
      </w:r>
      <w:r w:rsidR="001C4CAC" w:rsidRPr="004B535A">
        <w:t xml:space="preserve">expressing appreciation for the </w:t>
      </w:r>
      <w:r w:rsidRPr="004B535A">
        <w:t>submission</w:t>
      </w:r>
      <w:r w:rsidR="001C4CAC" w:rsidRPr="004B535A">
        <w:t xml:space="preserve"> by Kazakhstan</w:t>
      </w:r>
      <w:r w:rsidRPr="004B535A">
        <w:t xml:space="preserve"> of </w:t>
      </w:r>
      <w:r w:rsidR="00193D3E" w:rsidRPr="004B535A">
        <w:t xml:space="preserve">an explanation and </w:t>
      </w:r>
      <w:r w:rsidRPr="004B535A">
        <w:t xml:space="preserve">a revised plan of action, </w:t>
      </w:r>
      <w:r w:rsidR="00BC7C60" w:rsidRPr="004B535A">
        <w:t xml:space="preserve">voiced </w:t>
      </w:r>
      <w:r w:rsidRPr="004B535A">
        <w:t xml:space="preserve">concern at the </w:t>
      </w:r>
      <w:r w:rsidR="001F2F43" w:rsidRPr="004B535A">
        <w:t>lengthy</w:t>
      </w:r>
      <w:r w:rsidRPr="004B535A">
        <w:t xml:space="preserve"> delay </w:t>
      </w:r>
      <w:r w:rsidR="00201125" w:rsidRPr="004B535A">
        <w:t xml:space="preserve">that </w:t>
      </w:r>
      <w:r w:rsidRPr="004B535A">
        <w:t>it envisaged before phase-out would be achieved, which would imply consumption for several years</w:t>
      </w:r>
      <w:r w:rsidR="00193D3E" w:rsidRPr="004B535A">
        <w:t xml:space="preserve"> after the phase-out dates</w:t>
      </w:r>
      <w:r w:rsidRPr="004B535A">
        <w:t>.</w:t>
      </w:r>
    </w:p>
    <w:p w14:paraId="55FDE204" w14:textId="77777777" w:rsidR="005F7162" w:rsidRPr="004B535A" w:rsidRDefault="005F7162" w:rsidP="00FF307E">
      <w:pPr>
        <w:pStyle w:val="Normalnumber"/>
        <w:tabs>
          <w:tab w:val="clear" w:pos="1134"/>
          <w:tab w:val="clear" w:pos="1247"/>
          <w:tab w:val="clear" w:pos="1814"/>
          <w:tab w:val="clear" w:pos="2381"/>
          <w:tab w:val="clear" w:pos="2948"/>
          <w:tab w:val="clear" w:pos="3515"/>
          <w:tab w:val="clear" w:pos="4082"/>
          <w:tab w:val="num" w:pos="624"/>
        </w:tabs>
      </w:pPr>
      <w:r w:rsidRPr="004B535A">
        <w:t xml:space="preserve">A representative </w:t>
      </w:r>
      <w:r w:rsidR="00201125" w:rsidRPr="004B535A">
        <w:t xml:space="preserve">of </w:t>
      </w:r>
      <w:r w:rsidRPr="004B535A">
        <w:t>Kazakhstan</w:t>
      </w:r>
      <w:r w:rsidR="00E4740C" w:rsidRPr="004B535A">
        <w:t>, while</w:t>
      </w:r>
      <w:r w:rsidRPr="004B535A">
        <w:t xml:space="preserve"> present</w:t>
      </w:r>
      <w:r w:rsidR="00E4740C" w:rsidRPr="004B535A">
        <w:t>ing</w:t>
      </w:r>
      <w:r w:rsidRPr="004B535A">
        <w:t xml:space="preserve"> the revised plan of action</w:t>
      </w:r>
      <w:r w:rsidR="00201125" w:rsidRPr="004B535A">
        <w:t xml:space="preserve">, </w:t>
      </w:r>
      <w:r w:rsidR="00E4740C" w:rsidRPr="004B535A">
        <w:t xml:space="preserve">explained </w:t>
      </w:r>
      <w:r w:rsidRPr="004B535A">
        <w:t>that</w:t>
      </w:r>
      <w:r w:rsidR="00201125" w:rsidRPr="004B535A">
        <w:t>,</w:t>
      </w:r>
      <w:r w:rsidRPr="004B535A">
        <w:t xml:space="preserve"> after the </w:t>
      </w:r>
      <w:r w:rsidR="00201125" w:rsidRPr="004B535A">
        <w:t>adoption of</w:t>
      </w:r>
      <w:r w:rsidR="00322CAA" w:rsidRPr="004B535A">
        <w:t xml:space="preserve"> decision XXVI/13, his G</w:t>
      </w:r>
      <w:r w:rsidRPr="004B535A">
        <w:t xml:space="preserve">overnment had been improving its regulations for HCFC consumption and had been attempting to control imports, but had been experiencing the challenges </w:t>
      </w:r>
      <w:r w:rsidR="007048C9" w:rsidRPr="004B535A">
        <w:t xml:space="preserve">that it </w:t>
      </w:r>
      <w:r w:rsidRPr="004B535A">
        <w:t xml:space="preserve">had reported to the Secretariat. </w:t>
      </w:r>
      <w:r w:rsidR="007048C9" w:rsidRPr="004B535A">
        <w:t>A d</w:t>
      </w:r>
      <w:r w:rsidRPr="004B535A">
        <w:t>etailed examination of customs import data</w:t>
      </w:r>
      <w:r w:rsidR="00322CAA" w:rsidRPr="004B535A">
        <w:t>,</w:t>
      </w:r>
      <w:r w:rsidRPr="004B535A">
        <w:t xml:space="preserve"> together with a survey of the main HCFC-using companies</w:t>
      </w:r>
      <w:r w:rsidR="001F2F43" w:rsidRPr="004B535A">
        <w:t>,</w:t>
      </w:r>
      <w:r w:rsidRPr="004B535A">
        <w:t xml:space="preserve"> had confirmed that those companies had not exceeded their quota levels, which suggested that illegal imports were occurring. </w:t>
      </w:r>
    </w:p>
    <w:p w14:paraId="07D4904B" w14:textId="77777777" w:rsidR="005F7162" w:rsidRPr="004B535A" w:rsidRDefault="009D2A9E" w:rsidP="00FF307E">
      <w:pPr>
        <w:pStyle w:val="Normalnumber"/>
        <w:tabs>
          <w:tab w:val="clear" w:pos="1134"/>
          <w:tab w:val="clear" w:pos="1247"/>
          <w:tab w:val="clear" w:pos="1814"/>
          <w:tab w:val="clear" w:pos="2381"/>
          <w:tab w:val="clear" w:pos="2948"/>
          <w:tab w:val="clear" w:pos="3515"/>
          <w:tab w:val="clear" w:pos="4082"/>
          <w:tab w:val="num" w:pos="624"/>
        </w:tabs>
      </w:pPr>
      <w:r w:rsidRPr="004B535A">
        <w:t>The a</w:t>
      </w:r>
      <w:r w:rsidR="005F7162" w:rsidRPr="004B535A">
        <w:t xml:space="preserve">pproval by the Global Environment Facility of the project that Kazakhstan had put forward, with assistance from </w:t>
      </w:r>
      <w:r w:rsidR="006E4EBD" w:rsidRPr="004B535A">
        <w:t>the United Nations Development Programme</w:t>
      </w:r>
      <w:r w:rsidR="005F7162" w:rsidRPr="004B535A">
        <w:t xml:space="preserve">, would be essential to the future phase-out of consumption, both of HCFCs </w:t>
      </w:r>
      <w:r w:rsidR="006E4EBD" w:rsidRPr="004B535A">
        <w:t>and HFCs, and would enable the G</w:t>
      </w:r>
      <w:r w:rsidR="005F7162" w:rsidRPr="004B535A">
        <w:t xml:space="preserve">overnment to improve its import controls and update its legislation. </w:t>
      </w:r>
      <w:r w:rsidR="000D519C" w:rsidRPr="004B535A">
        <w:t xml:space="preserve">Given that </w:t>
      </w:r>
      <w:r w:rsidR="005F7162" w:rsidRPr="004B535A">
        <w:t xml:space="preserve">project approval normally took up to </w:t>
      </w:r>
      <w:r w:rsidR="007A1ECD" w:rsidRPr="004B535A">
        <w:t xml:space="preserve">16 </w:t>
      </w:r>
      <w:r w:rsidR="005F7162" w:rsidRPr="004B535A">
        <w:t xml:space="preserve">months, however, it would not be feasible to </w:t>
      </w:r>
      <w:r w:rsidR="0077432C" w:rsidRPr="004B535A">
        <w:t xml:space="preserve">begin </w:t>
      </w:r>
      <w:r w:rsidR="005F7162" w:rsidRPr="004B535A">
        <w:t>implementation until 2019, with the first significant reduction in consumption not expected until 2021.</w:t>
      </w:r>
    </w:p>
    <w:p w14:paraId="00B042C0" w14:textId="77777777" w:rsidR="005F7162" w:rsidRPr="004B535A" w:rsidRDefault="005F7162" w:rsidP="00FF307E">
      <w:pPr>
        <w:pStyle w:val="Normalnumber"/>
        <w:tabs>
          <w:tab w:val="clear" w:pos="1134"/>
          <w:tab w:val="clear" w:pos="1247"/>
          <w:tab w:val="clear" w:pos="1814"/>
          <w:tab w:val="clear" w:pos="2381"/>
          <w:tab w:val="clear" w:pos="2948"/>
          <w:tab w:val="clear" w:pos="3515"/>
          <w:tab w:val="clear" w:pos="4082"/>
          <w:tab w:val="num" w:pos="624"/>
        </w:tabs>
      </w:pPr>
      <w:r w:rsidRPr="004B535A">
        <w:t>Responding to questions from members of the Committee, he explained that consumption of HCFCs was expected to continue until 2025</w:t>
      </w:r>
      <w:r w:rsidR="00446F9E" w:rsidRPr="004B535A">
        <w:t>,</w:t>
      </w:r>
      <w:r w:rsidRPr="004B535A">
        <w:t xml:space="preserve"> </w:t>
      </w:r>
      <w:r w:rsidR="0077432C" w:rsidRPr="004B535A">
        <w:t xml:space="preserve">owing </w:t>
      </w:r>
      <w:r w:rsidRPr="004B535A">
        <w:t xml:space="preserve">to anticipated imports from the Russian Federation. </w:t>
      </w:r>
      <w:r w:rsidR="0077432C" w:rsidRPr="004B535A">
        <w:t>O</w:t>
      </w:r>
      <w:r w:rsidRPr="004B535A">
        <w:t>ne important outcome of support from the Global Environment Facility would be an improvement in the quality of the detect</w:t>
      </w:r>
      <w:r w:rsidR="0040748F" w:rsidRPr="004B535A">
        <w:t>ion</w:t>
      </w:r>
      <w:r w:rsidRPr="004B535A">
        <w:t xml:space="preserve"> equipment used by customs</w:t>
      </w:r>
      <w:r w:rsidR="0064310D" w:rsidRPr="004B535A">
        <w:t xml:space="preserve"> authorities</w:t>
      </w:r>
      <w:r w:rsidRPr="004B535A">
        <w:t xml:space="preserve">. </w:t>
      </w:r>
    </w:p>
    <w:p w14:paraId="04FD6764" w14:textId="77777777" w:rsidR="005F7162" w:rsidRPr="004B535A" w:rsidRDefault="005F7162" w:rsidP="004B535A">
      <w:pPr>
        <w:pStyle w:val="Normalnumber"/>
        <w:keepNext/>
        <w:keepLines/>
        <w:tabs>
          <w:tab w:val="clear" w:pos="1134"/>
          <w:tab w:val="clear" w:pos="1247"/>
          <w:tab w:val="clear" w:pos="1814"/>
          <w:tab w:val="clear" w:pos="2381"/>
          <w:tab w:val="clear" w:pos="2948"/>
          <w:tab w:val="clear" w:pos="3515"/>
          <w:tab w:val="clear" w:pos="4082"/>
          <w:tab w:val="num" w:pos="624"/>
        </w:tabs>
      </w:pPr>
      <w:r w:rsidRPr="004B535A">
        <w:lastRenderedPageBreak/>
        <w:t xml:space="preserve">The Committee </w:t>
      </w:r>
      <w:r w:rsidR="00E4740C" w:rsidRPr="004B535A">
        <w:t xml:space="preserve">therefore </w:t>
      </w:r>
      <w:r w:rsidRPr="004B535A">
        <w:t>agreed</w:t>
      </w:r>
      <w:r w:rsidR="00686171" w:rsidRPr="004B535A">
        <w:t xml:space="preserve"> as follows</w:t>
      </w:r>
      <w:r w:rsidRPr="004B535A">
        <w:t xml:space="preserve">: </w:t>
      </w:r>
    </w:p>
    <w:p w14:paraId="08741E2E" w14:textId="77777777" w:rsidR="005F7162" w:rsidRPr="004B535A" w:rsidRDefault="005F7162" w:rsidP="004B535A">
      <w:pPr>
        <w:keepNext/>
        <w:keepLines/>
        <w:numPr>
          <w:ilvl w:val="1"/>
          <w:numId w:val="3"/>
        </w:numPr>
        <w:tabs>
          <w:tab w:val="clear" w:pos="1247"/>
          <w:tab w:val="clear" w:pos="1814"/>
          <w:tab w:val="clear" w:pos="2381"/>
          <w:tab w:val="clear" w:pos="2948"/>
          <w:tab w:val="clear" w:pos="3515"/>
          <w:tab w:val="left" w:pos="624"/>
        </w:tabs>
        <w:spacing w:after="120"/>
      </w:pPr>
      <w:r w:rsidRPr="004B535A">
        <w:t>To note with appreciation that Kazakhstan had submitted its corrected Article 7 data for 2015 and its Article 7 data for 2016;</w:t>
      </w:r>
    </w:p>
    <w:p w14:paraId="69B6882F" w14:textId="77777777" w:rsidR="005F7162" w:rsidRPr="004B535A" w:rsidRDefault="005F7162" w:rsidP="005F7162">
      <w:pPr>
        <w:numPr>
          <w:ilvl w:val="1"/>
          <w:numId w:val="3"/>
        </w:numPr>
        <w:tabs>
          <w:tab w:val="clear" w:pos="1247"/>
          <w:tab w:val="clear" w:pos="1814"/>
          <w:tab w:val="clear" w:pos="2381"/>
          <w:tab w:val="clear" w:pos="2948"/>
          <w:tab w:val="clear" w:pos="3515"/>
          <w:tab w:val="left" w:pos="624"/>
        </w:tabs>
        <w:spacing w:after="120"/>
      </w:pPr>
      <w:r w:rsidRPr="004B535A">
        <w:t xml:space="preserve">To note with concern, however, that the reported data for 2015 and 2016 indicated that the party’s consumption of HCFCs for those years exceeded its commitments under its plan of action as recorded in decision XXVI/13, as well as the control measures under the Montreal Protocol; </w:t>
      </w:r>
    </w:p>
    <w:p w14:paraId="1A9359DC" w14:textId="77777777" w:rsidR="005F7162" w:rsidRPr="004B535A" w:rsidRDefault="005F7162" w:rsidP="005F7162">
      <w:pPr>
        <w:numPr>
          <w:ilvl w:val="1"/>
          <w:numId w:val="3"/>
        </w:numPr>
        <w:tabs>
          <w:tab w:val="clear" w:pos="1247"/>
          <w:tab w:val="clear" w:pos="1814"/>
          <w:tab w:val="clear" w:pos="2381"/>
          <w:tab w:val="clear" w:pos="2948"/>
          <w:tab w:val="clear" w:pos="3515"/>
          <w:tab w:val="left" w:pos="624"/>
        </w:tabs>
        <w:spacing w:after="120"/>
      </w:pPr>
      <w:r w:rsidRPr="004B535A">
        <w:t>To note that the reported consumption data for 2015 and 2016 place</w:t>
      </w:r>
      <w:r w:rsidR="006E4EBD" w:rsidRPr="004B535A">
        <w:t>d</w:t>
      </w:r>
      <w:r w:rsidRPr="004B535A">
        <w:t xml:space="preserve"> the party in non</w:t>
      </w:r>
      <w:r w:rsidRPr="004B535A">
        <w:noBreakHyphen/>
        <w:t>compliance with its commitments under decision XXVI/13 for those years;</w:t>
      </w:r>
    </w:p>
    <w:p w14:paraId="21EB105C" w14:textId="77777777" w:rsidR="005F7162" w:rsidRPr="004B535A" w:rsidRDefault="005F7162" w:rsidP="005F7162">
      <w:pPr>
        <w:numPr>
          <w:ilvl w:val="1"/>
          <w:numId w:val="3"/>
        </w:numPr>
        <w:tabs>
          <w:tab w:val="clear" w:pos="1247"/>
          <w:tab w:val="clear" w:pos="1814"/>
          <w:tab w:val="clear" w:pos="2381"/>
          <w:tab w:val="clear" w:pos="2948"/>
          <w:tab w:val="clear" w:pos="3515"/>
          <w:tab w:val="left" w:pos="624"/>
        </w:tabs>
        <w:spacing w:after="120"/>
      </w:pPr>
      <w:r w:rsidRPr="004B535A">
        <w:t>To note with appreciation the submission by Kazakhstan of an explanation for the deviation from its plan of action</w:t>
      </w:r>
      <w:r w:rsidR="006E4EBD" w:rsidRPr="004B535A">
        <w:t>,</w:t>
      </w:r>
      <w:r w:rsidRPr="004B535A">
        <w:t xml:space="preserve"> along with a revised plan of action to return to compliance;</w:t>
      </w:r>
    </w:p>
    <w:p w14:paraId="51DF5F2E" w14:textId="3F836A26" w:rsidR="005F7162" w:rsidRPr="004B535A" w:rsidRDefault="005F7162" w:rsidP="005F7162">
      <w:pPr>
        <w:numPr>
          <w:ilvl w:val="1"/>
          <w:numId w:val="3"/>
        </w:numPr>
        <w:tabs>
          <w:tab w:val="clear" w:pos="1247"/>
          <w:tab w:val="clear" w:pos="1814"/>
          <w:tab w:val="clear" w:pos="2381"/>
          <w:tab w:val="clear" w:pos="2948"/>
          <w:tab w:val="clear" w:pos="3515"/>
          <w:tab w:val="left" w:pos="624"/>
        </w:tabs>
        <w:spacing w:after="120"/>
      </w:pPr>
      <w:r w:rsidRPr="004B535A">
        <w:t>To forward for consideration by the Twenty-Ninth Meeting of the Parties</w:t>
      </w:r>
      <w:r w:rsidR="006E4EBD" w:rsidRPr="004B535A">
        <w:t xml:space="preserve"> the draft decision set out in section </w:t>
      </w:r>
      <w:r w:rsidR="00BA6364" w:rsidRPr="004B535A">
        <w:t xml:space="preserve">B </w:t>
      </w:r>
      <w:r w:rsidR="006E4EBD" w:rsidRPr="004B535A">
        <w:t>of a</w:t>
      </w:r>
      <w:r w:rsidRPr="004B535A">
        <w:t xml:space="preserve">nnex I to the present report, </w:t>
      </w:r>
      <w:r w:rsidR="001D7DC1" w:rsidRPr="004B535A">
        <w:t xml:space="preserve">in </w:t>
      </w:r>
      <w:r w:rsidRPr="004B535A">
        <w:t xml:space="preserve">which </w:t>
      </w:r>
      <w:r w:rsidR="001D7DC1" w:rsidRPr="004B535A">
        <w:t xml:space="preserve">the parties </w:t>
      </w:r>
      <w:r w:rsidRPr="004B535A">
        <w:t>would, among oth</w:t>
      </w:r>
      <w:r w:rsidR="006E4EBD" w:rsidRPr="004B535A">
        <w:t>er things, note that the party wa</w:t>
      </w:r>
      <w:r w:rsidRPr="004B535A">
        <w:t>s in non-compliance with its commitments for 2015 and 2016 under its existing plan of action as recorded in decision XXVI/13 and note with appreciation the party’s explanation for that deviation and its submission of a revised plan of action with time-specific benchmarks to ensure a return to compliance by 2025.</w:t>
      </w:r>
    </w:p>
    <w:p w14:paraId="015345AD" w14:textId="77777777" w:rsidR="005F7162" w:rsidRPr="004B535A" w:rsidRDefault="005F7162" w:rsidP="00DC30BB">
      <w:pPr>
        <w:tabs>
          <w:tab w:val="clear" w:pos="1247"/>
          <w:tab w:val="clear" w:pos="1814"/>
          <w:tab w:val="clear" w:pos="2381"/>
          <w:tab w:val="clear" w:pos="2948"/>
          <w:tab w:val="clear" w:pos="3515"/>
          <w:tab w:val="left" w:pos="624"/>
        </w:tabs>
        <w:spacing w:after="120"/>
        <w:ind w:left="1247" w:firstLine="624"/>
        <w:jc w:val="right"/>
        <w:rPr>
          <w:b/>
        </w:rPr>
      </w:pPr>
      <w:r w:rsidRPr="004B535A">
        <w:rPr>
          <w:b/>
        </w:rPr>
        <w:t>Recommendation 59/1</w:t>
      </w:r>
    </w:p>
    <w:p w14:paraId="72A4A8C7" w14:textId="77777777" w:rsidR="005F7162" w:rsidRPr="004B535A" w:rsidRDefault="005F7162" w:rsidP="008C0BEE">
      <w:pPr>
        <w:pStyle w:val="CH2"/>
      </w:pPr>
      <w:r w:rsidRPr="004B535A">
        <w:t xml:space="preserve"> </w:t>
      </w:r>
      <w:r w:rsidRPr="004B535A">
        <w:tab/>
        <w:t>B.</w:t>
      </w:r>
      <w:r w:rsidRPr="004B535A">
        <w:tab/>
        <w:t xml:space="preserve">Ukraine (decision XXIV/18 and recommendation 58/2) </w:t>
      </w:r>
      <w:r w:rsidRPr="004B535A">
        <w:rPr>
          <w:rFonts w:ascii="MS Gothic" w:eastAsia="MS Gothic" w:hAnsi="MS Gothic" w:cs="MS Gothic"/>
        </w:rPr>
        <w:t> </w:t>
      </w:r>
    </w:p>
    <w:p w14:paraId="31EBDD92"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representative of the Secretariat </w:t>
      </w:r>
      <w:r w:rsidR="00D40872" w:rsidRPr="004B535A">
        <w:t>said</w:t>
      </w:r>
      <w:r w:rsidRPr="004B535A">
        <w:t xml:space="preserve"> that at </w:t>
      </w:r>
      <w:r w:rsidR="00D40872" w:rsidRPr="004B535A">
        <w:t xml:space="preserve">the Committee’s </w:t>
      </w:r>
      <w:r w:rsidRPr="004B535A">
        <w:t xml:space="preserve">previous meeting it had requested Ukraine to report its data on ozone-depleting substances for 2016 so that the Committee could assess its compliance status at the </w:t>
      </w:r>
      <w:r w:rsidR="00D40872" w:rsidRPr="004B535A">
        <w:t xml:space="preserve">current </w:t>
      </w:r>
      <w:r w:rsidRPr="004B535A">
        <w:t xml:space="preserve">meeting. The consumption data for 2016 </w:t>
      </w:r>
      <w:r w:rsidR="00591BAD" w:rsidRPr="004B535A">
        <w:t xml:space="preserve">that </w:t>
      </w:r>
      <w:r w:rsidRPr="004B535A">
        <w:t>Ukraine had subsequently reported indicated that it was in compliance with its obligations under decision XXIV/18.</w:t>
      </w:r>
    </w:p>
    <w:p w14:paraId="409FF20C" w14:textId="77777777" w:rsidR="00193D3E" w:rsidRPr="004B535A" w:rsidRDefault="00193D3E"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During the discussions, </w:t>
      </w:r>
      <w:r w:rsidR="00C3352B" w:rsidRPr="004B535A">
        <w:t xml:space="preserve">a representative of the United Nations Development Programme </w:t>
      </w:r>
      <w:r w:rsidRPr="004B535A">
        <w:t xml:space="preserve">confirmed that it had been working </w:t>
      </w:r>
      <w:r w:rsidR="00E4740C" w:rsidRPr="004B535A">
        <w:t xml:space="preserve">to assist </w:t>
      </w:r>
      <w:r w:rsidRPr="004B535A">
        <w:t xml:space="preserve">Ukraine </w:t>
      </w:r>
      <w:r w:rsidR="00E4740C" w:rsidRPr="004B535A">
        <w:t>with its phase-out and data collection to prepare its national strategy.</w:t>
      </w:r>
      <w:r w:rsidR="00C635DA" w:rsidRPr="004B535A">
        <w:t xml:space="preserve"> </w:t>
      </w:r>
      <w:r w:rsidR="00E4740C" w:rsidRPr="004B535A">
        <w:t>He noted that there had been a reduction in HCFC consumption which may be attributable to the economic downturn</w:t>
      </w:r>
      <w:r w:rsidR="00C3352B" w:rsidRPr="004B535A">
        <w:t>. S</w:t>
      </w:r>
      <w:r w:rsidR="00E4740C" w:rsidRPr="004B535A">
        <w:t>hould the economic situation improve</w:t>
      </w:r>
      <w:r w:rsidR="00C3352B" w:rsidRPr="004B535A">
        <w:t>,</w:t>
      </w:r>
      <w:r w:rsidR="00E4740C" w:rsidRPr="004B535A">
        <w:t xml:space="preserve"> resulting in an increase in consumption, the party might need to seek assistance from the Global Environment Facility to continue to meet its obligations.</w:t>
      </w:r>
      <w:r w:rsidR="00C635DA" w:rsidRPr="004B535A">
        <w:t xml:space="preserve"> </w:t>
      </w:r>
    </w:p>
    <w:p w14:paraId="53157F30"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The Committee therefore agreed to note wi</w:t>
      </w:r>
      <w:r w:rsidR="00062CB9" w:rsidRPr="004B535A">
        <w:t>th appreciation that Ukraine had</w:t>
      </w:r>
      <w:r w:rsidRPr="004B535A">
        <w:t xml:space="preserve"> reported its data under Article 7 of the Montreal Protocol for 2016, which indicated that it was in compliance with the benchmark recorded in decision XXIV/18 </w:t>
      </w:r>
      <w:r w:rsidR="00D40872" w:rsidRPr="004B535A">
        <w:t>and</w:t>
      </w:r>
      <w:r w:rsidRPr="004B535A">
        <w:t xml:space="preserve"> the control measures under the Montreal Protocol.</w:t>
      </w:r>
    </w:p>
    <w:p w14:paraId="7ABD438E" w14:textId="77777777" w:rsidR="005F7162" w:rsidRPr="004B535A" w:rsidRDefault="005F7162" w:rsidP="008C0BEE">
      <w:pPr>
        <w:pStyle w:val="CH1"/>
      </w:pPr>
      <w:r w:rsidRPr="004B535A">
        <w:t xml:space="preserve"> </w:t>
      </w:r>
      <w:r w:rsidRPr="004B535A">
        <w:tab/>
        <w:t>VI</w:t>
      </w:r>
      <w:r w:rsidR="00752C63" w:rsidRPr="004B535A">
        <w:t>.</w:t>
      </w:r>
      <w:r w:rsidRPr="004B535A">
        <w:tab/>
        <w:t>Data reporting obligations: reporting of zero in Article 7 data reporting forms (decision X</w:t>
      </w:r>
      <w:r w:rsidR="00062CB9" w:rsidRPr="004B535A">
        <w:t>XIV/14 and recommendation 58/4)</w:t>
      </w:r>
      <w:r w:rsidRPr="004B535A">
        <w:t xml:space="preserve"> </w:t>
      </w:r>
      <w:r w:rsidRPr="004B535A">
        <w:rPr>
          <w:rFonts w:ascii="MS Gothic" w:eastAsia="MS Gothic" w:hAnsi="MS Gothic" w:cs="MS Gothic"/>
        </w:rPr>
        <w:t> </w:t>
      </w:r>
    </w:p>
    <w:p w14:paraId="49D586BC"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The representative of the Secretariat explained that</w:t>
      </w:r>
      <w:r w:rsidR="00C12FDF" w:rsidRPr="004B535A">
        <w:t>, in</w:t>
      </w:r>
      <w:r w:rsidRPr="004B535A">
        <w:t xml:space="preserve"> decision XXIV/14</w:t>
      </w:r>
      <w:r w:rsidR="00C12FDF" w:rsidRPr="004B535A">
        <w:t>, the parties</w:t>
      </w:r>
      <w:r w:rsidRPr="004B535A">
        <w:t xml:space="preserve"> had recalled the need for consistent reporting of production, imports, exports and destruction of ozone</w:t>
      </w:r>
      <w:r w:rsidR="001A67D6" w:rsidRPr="004B535A">
        <w:noBreakHyphen/>
      </w:r>
      <w:r w:rsidRPr="004B535A">
        <w:t xml:space="preserve">depleting substances in accordance with Article 7 of the Montreal Protocol and had noted that the data reporting forms submitted by parties sometimes contained blank cells, in which no numbers indicating quantities of ozone-depleting substances had been entered. The </w:t>
      </w:r>
      <w:r w:rsidR="00FD08CA" w:rsidRPr="004B535A">
        <w:t xml:space="preserve">parties </w:t>
      </w:r>
      <w:r w:rsidRPr="004B535A">
        <w:t xml:space="preserve">had also noted that such blank cells could be intended by a party to indicate zero consumption or production or, alternatively, could represent non-reporting by that party in respect of those substances. </w:t>
      </w:r>
      <w:r w:rsidR="00E5090B" w:rsidRPr="004B535A">
        <w:t>P</w:t>
      </w:r>
      <w:r w:rsidRPr="004B535A">
        <w:t>arties</w:t>
      </w:r>
      <w:r w:rsidR="00E5090B" w:rsidRPr="004B535A">
        <w:t xml:space="preserve"> had thus been requested</w:t>
      </w:r>
      <w:r w:rsidRPr="004B535A">
        <w:t>, when reporting production, imports, exports or destruction, to enter a number</w:t>
      </w:r>
      <w:r w:rsidR="008662DF" w:rsidRPr="004B535A">
        <w:t>,</w:t>
      </w:r>
      <w:r w:rsidRPr="004B535A">
        <w:t xml:space="preserve"> </w:t>
      </w:r>
      <w:r w:rsidR="008662DF" w:rsidRPr="004B535A">
        <w:t xml:space="preserve">including zero where appropriate, </w:t>
      </w:r>
      <w:r w:rsidRPr="004B535A">
        <w:t xml:space="preserve">in each cell in the forms submitted, rather than leaving the cell blank. </w:t>
      </w:r>
      <w:r w:rsidR="008662DF" w:rsidRPr="004B535A">
        <w:t>T</w:t>
      </w:r>
      <w:r w:rsidRPr="004B535A">
        <w:t>he Secretariat</w:t>
      </w:r>
      <w:r w:rsidR="008662DF" w:rsidRPr="004B535A">
        <w:t xml:space="preserve"> had also been asked</w:t>
      </w:r>
      <w:r w:rsidRPr="004B535A">
        <w:t xml:space="preserve"> to request clarification from any party submitt</w:t>
      </w:r>
      <w:r w:rsidR="008662DF" w:rsidRPr="004B535A">
        <w:t>ing</w:t>
      </w:r>
      <w:r w:rsidRPr="004B535A">
        <w:t xml:space="preserve"> a reporting form containing a blank cell. </w:t>
      </w:r>
    </w:p>
    <w:p w14:paraId="1F9EC6B8"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While there had been a steady </w:t>
      </w:r>
      <w:r w:rsidR="00947807" w:rsidRPr="004B535A">
        <w:t xml:space="preserve">fall </w:t>
      </w:r>
      <w:r w:rsidRPr="004B535A">
        <w:t xml:space="preserve">in the number of parties submitting </w:t>
      </w:r>
      <w:proofErr w:type="gramStart"/>
      <w:r w:rsidRPr="004B535A">
        <w:t>reporting</w:t>
      </w:r>
      <w:proofErr w:type="gramEnd"/>
      <w:r w:rsidRPr="004B535A">
        <w:t xml:space="preserve"> forms containing blank cells, as noted in the report of the Secretariat under agenda item 3, several parties </w:t>
      </w:r>
      <w:r w:rsidR="00062CB9" w:rsidRPr="004B535A">
        <w:t xml:space="preserve">continued to do </w:t>
      </w:r>
      <w:r w:rsidRPr="004B535A">
        <w:t xml:space="preserve">so. Sometimes the Secretariat had to expend considerable effort, including requesting assistance from </w:t>
      </w:r>
      <w:r w:rsidR="009F3972" w:rsidRPr="004B535A">
        <w:t>the</w:t>
      </w:r>
      <w:r w:rsidRPr="004B535A">
        <w:t xml:space="preserve"> Compliance Assistance Programme</w:t>
      </w:r>
      <w:r w:rsidR="009F3972" w:rsidRPr="004B535A">
        <w:t xml:space="preserve"> of the United Nations Environment Programme</w:t>
      </w:r>
      <w:r w:rsidR="00D039F5" w:rsidRPr="004B535A">
        <w:t>, to resolve the ambiguity thus</w:t>
      </w:r>
      <w:r w:rsidRPr="004B535A">
        <w:t xml:space="preserve"> represented.</w:t>
      </w:r>
    </w:p>
    <w:p w14:paraId="293A5451"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Responding to questions from members of the Committee, the representative of the Secretariat explained that the Secretariat did not seek clarification of blank cells for </w:t>
      </w:r>
      <w:r w:rsidR="00D41775" w:rsidRPr="004B535A">
        <w:t xml:space="preserve">optional </w:t>
      </w:r>
      <w:r w:rsidRPr="004B535A">
        <w:t xml:space="preserve">data that parties were encouraged but not required to report, such as </w:t>
      </w:r>
      <w:r w:rsidR="00D41775" w:rsidRPr="004B535A">
        <w:t xml:space="preserve">data under the annex to the imports data form which </w:t>
      </w:r>
      <w:r w:rsidR="00D41775" w:rsidRPr="004B535A">
        <w:lastRenderedPageBreak/>
        <w:t xml:space="preserve">included </w:t>
      </w:r>
      <w:r w:rsidRPr="004B535A">
        <w:t xml:space="preserve">the country of origin of imports. Similarly, if parties reported that they had no imports at all, there was no need to </w:t>
      </w:r>
      <w:r w:rsidR="00D41775" w:rsidRPr="004B535A">
        <w:t xml:space="preserve">check the corresponding data form, </w:t>
      </w:r>
      <w:r w:rsidR="00C940A3" w:rsidRPr="004B535A">
        <w:t xml:space="preserve">and </w:t>
      </w:r>
      <w:r w:rsidR="00D41775" w:rsidRPr="004B535A">
        <w:t xml:space="preserve">hence no need to </w:t>
      </w:r>
      <w:r w:rsidRPr="004B535A">
        <w:t xml:space="preserve">seek clarification. The Secretariat needed to seek clarification </w:t>
      </w:r>
      <w:r w:rsidR="00FC4D1B" w:rsidRPr="004B535A">
        <w:t xml:space="preserve">only </w:t>
      </w:r>
      <w:r w:rsidRPr="004B535A">
        <w:t xml:space="preserve">in cases </w:t>
      </w:r>
      <w:r w:rsidR="00FC4D1B" w:rsidRPr="004B535A">
        <w:t xml:space="preserve">in which </w:t>
      </w:r>
      <w:r w:rsidRPr="004B535A">
        <w:t xml:space="preserve">parties had reported that they had imports </w:t>
      </w:r>
      <w:r w:rsidR="00D41775" w:rsidRPr="004B535A">
        <w:t>or production</w:t>
      </w:r>
      <w:r w:rsidR="00C940A3" w:rsidRPr="004B535A">
        <w:t>,</w:t>
      </w:r>
      <w:r w:rsidR="00D41775" w:rsidRPr="004B535A">
        <w:t xml:space="preserve"> </w:t>
      </w:r>
      <w:r w:rsidRPr="004B535A">
        <w:t>but had also left blank cells</w:t>
      </w:r>
      <w:r w:rsidR="00D41775" w:rsidRPr="004B535A">
        <w:t xml:space="preserve"> in the corresponding data form</w:t>
      </w:r>
      <w:r w:rsidRPr="004B535A">
        <w:t xml:space="preserve">. </w:t>
      </w:r>
    </w:p>
    <w:p w14:paraId="3DC1683D"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One member of the Committee suggested that forms could automatically have zeros entered in every cell, </w:t>
      </w:r>
      <w:r w:rsidR="00EA337A" w:rsidRPr="004B535A">
        <w:t xml:space="preserve">with </w:t>
      </w:r>
      <w:r w:rsidRPr="004B535A">
        <w:t>parties need</w:t>
      </w:r>
      <w:r w:rsidR="00EA337A" w:rsidRPr="004B535A">
        <w:t>ing</w:t>
      </w:r>
      <w:r w:rsidRPr="004B535A">
        <w:t xml:space="preserve"> to change th</w:t>
      </w:r>
      <w:r w:rsidR="00AE1B13" w:rsidRPr="004B535A">
        <w:t>at</w:t>
      </w:r>
      <w:r w:rsidRPr="004B535A">
        <w:t xml:space="preserve"> </w:t>
      </w:r>
      <w:r w:rsidR="00AE1B13" w:rsidRPr="004B535A">
        <w:t xml:space="preserve">only </w:t>
      </w:r>
      <w:r w:rsidRPr="004B535A">
        <w:t xml:space="preserve">when they had data to report. </w:t>
      </w:r>
    </w:p>
    <w:p w14:paraId="3FC8CA92" w14:textId="2F8C1CEE" w:rsidR="005F7162" w:rsidRPr="004B535A" w:rsidRDefault="00510C09"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Responding to a question raised by another member, the representative of the Secretariat </w:t>
      </w:r>
      <w:r w:rsidR="002A2ED6" w:rsidRPr="004B535A">
        <w:t xml:space="preserve">said </w:t>
      </w:r>
      <w:r w:rsidRPr="004B535A">
        <w:t>that persistent failure by a party to clarify blank cells</w:t>
      </w:r>
      <w:r w:rsidR="00F43B6C" w:rsidRPr="004B535A">
        <w:t>,</w:t>
      </w:r>
      <w:r w:rsidRPr="004B535A">
        <w:t xml:space="preserve"> even after a request for clarification</w:t>
      </w:r>
      <w:r w:rsidR="00F43B6C" w:rsidRPr="004B535A">
        <w:t>,</w:t>
      </w:r>
      <w:r w:rsidRPr="004B535A">
        <w:t xml:space="preserve"> would result in th</w:t>
      </w:r>
      <w:r w:rsidR="00446F9E" w:rsidRPr="004B535A">
        <w:t>e</w:t>
      </w:r>
      <w:r w:rsidRPr="004B535A">
        <w:t xml:space="preserve"> case being brought to the </w:t>
      </w:r>
      <w:r w:rsidR="00F43B6C" w:rsidRPr="004B535A">
        <w:t>C</w:t>
      </w:r>
      <w:r w:rsidRPr="004B535A">
        <w:t>ommittee for consideration. The Committee had previously, at its fifty-fourth meeting, instructed the Secretariat to list the names of parties that continued to disregard its requests regarding blank cells in its data report. The Committee was to revisit the matter and</w:t>
      </w:r>
      <w:r w:rsidR="00F43B6C" w:rsidRPr="004B535A">
        <w:t>,</w:t>
      </w:r>
      <w:r w:rsidRPr="004B535A">
        <w:t xml:space="preserve"> if necessary</w:t>
      </w:r>
      <w:r w:rsidR="00F43B6C" w:rsidRPr="004B535A">
        <w:t>,</w:t>
      </w:r>
      <w:r w:rsidRPr="004B535A">
        <w:t xml:space="preserve"> adopt a relevant recommendation and draft decision at its fifty-fifth meeting to address th</w:t>
      </w:r>
      <w:r w:rsidR="00A20BE5" w:rsidRPr="004B535A">
        <w:t>e</w:t>
      </w:r>
      <w:r w:rsidRPr="004B535A">
        <w:t xml:space="preserve"> situation, but all the parties in question at that time had responded to the requests for clarification.</w:t>
      </w:r>
    </w:p>
    <w:p w14:paraId="151017C9"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The Committee therefore agreed</w:t>
      </w:r>
      <w:r w:rsidR="00686171" w:rsidRPr="004B535A">
        <w:t xml:space="preserve"> as follows</w:t>
      </w:r>
      <w:r w:rsidRPr="004B535A">
        <w:t xml:space="preserve">: </w:t>
      </w:r>
    </w:p>
    <w:p w14:paraId="256D3E35" w14:textId="77777777" w:rsidR="005F7162" w:rsidRPr="004B535A" w:rsidRDefault="005F7162" w:rsidP="005F7162">
      <w:pPr>
        <w:numPr>
          <w:ilvl w:val="1"/>
          <w:numId w:val="3"/>
        </w:numPr>
        <w:tabs>
          <w:tab w:val="clear" w:pos="1247"/>
          <w:tab w:val="clear" w:pos="1814"/>
          <w:tab w:val="clear" w:pos="2381"/>
          <w:tab w:val="clear" w:pos="2948"/>
          <w:tab w:val="clear" w:pos="3515"/>
          <w:tab w:val="left" w:pos="624"/>
        </w:tabs>
        <w:spacing w:after="120"/>
      </w:pPr>
      <w:r w:rsidRPr="004B535A">
        <w:t>To note with appreciation that most parties</w:t>
      </w:r>
      <w:r w:rsidR="00A920B2" w:rsidRPr="004B535A">
        <w:t>,</w:t>
      </w:r>
      <w:r w:rsidRPr="004B535A">
        <w:t xml:space="preserve"> when reporting production, imports, exports or destruction</w:t>
      </w:r>
      <w:r w:rsidR="00A920B2" w:rsidRPr="004B535A">
        <w:t>,</w:t>
      </w:r>
      <w:r w:rsidRPr="004B535A">
        <w:t xml:space="preserve"> </w:t>
      </w:r>
      <w:r w:rsidR="00A920B2" w:rsidRPr="004B535A">
        <w:t xml:space="preserve">were </w:t>
      </w:r>
      <w:r w:rsidRPr="004B535A">
        <w:t>in compliance with the request in decision XXIV/14 to enter a number</w:t>
      </w:r>
      <w:r w:rsidR="00A920B2" w:rsidRPr="004B535A">
        <w:t xml:space="preserve">, including zero, where appropriate, </w:t>
      </w:r>
      <w:r w:rsidRPr="004B535A">
        <w:t>in each cell in the data reporting forms that they submit</w:t>
      </w:r>
      <w:r w:rsidR="00A920B2" w:rsidRPr="004B535A">
        <w:t>ted</w:t>
      </w:r>
      <w:r w:rsidRPr="004B535A">
        <w:t xml:space="preserve"> to the Secretariat, rather than leaving the cell blank;</w:t>
      </w:r>
    </w:p>
    <w:p w14:paraId="6AF835F7" w14:textId="2D3EAA3B" w:rsidR="005F7162" w:rsidRPr="004B535A" w:rsidRDefault="005F7162" w:rsidP="005F7162">
      <w:pPr>
        <w:numPr>
          <w:ilvl w:val="1"/>
          <w:numId w:val="3"/>
        </w:numPr>
        <w:tabs>
          <w:tab w:val="clear" w:pos="1247"/>
          <w:tab w:val="clear" w:pos="1814"/>
          <w:tab w:val="clear" w:pos="2381"/>
          <w:tab w:val="clear" w:pos="2948"/>
          <w:tab w:val="clear" w:pos="3515"/>
          <w:tab w:val="left" w:pos="624"/>
        </w:tabs>
        <w:spacing w:after="120"/>
      </w:pPr>
      <w:r w:rsidRPr="004B535A">
        <w:t>To forward for consideration by the Twenty-Ninth Meeting of the Parties the draft de</w:t>
      </w:r>
      <w:r w:rsidR="009736E0" w:rsidRPr="004B535A">
        <w:t xml:space="preserve">cision set out in section </w:t>
      </w:r>
      <w:r w:rsidR="00317AF5" w:rsidRPr="004B535A">
        <w:t>E</w:t>
      </w:r>
      <w:r w:rsidR="006D7583" w:rsidRPr="004B535A">
        <w:t xml:space="preserve"> </w:t>
      </w:r>
      <w:r w:rsidR="009736E0" w:rsidRPr="004B535A">
        <w:t>of a</w:t>
      </w:r>
      <w:r w:rsidRPr="004B535A">
        <w:t xml:space="preserve">nnex I to the present report, urging all parties to ensure that the requirements of decision XXIV/14 </w:t>
      </w:r>
      <w:r w:rsidR="00B867BB" w:rsidRPr="004B535A">
        <w:t xml:space="preserve">were </w:t>
      </w:r>
      <w:r w:rsidRPr="004B535A">
        <w:t>complied with in order to avoid the need for clarifications by the Secretariat and the possible resulting delays in assessing parties’ compliance with their data reporting obligations.</w:t>
      </w:r>
    </w:p>
    <w:p w14:paraId="4F3B4635" w14:textId="77777777" w:rsidR="005F7162" w:rsidRPr="004B535A" w:rsidRDefault="005F7162" w:rsidP="00DC30BB">
      <w:pPr>
        <w:tabs>
          <w:tab w:val="clear" w:pos="1247"/>
          <w:tab w:val="clear" w:pos="1814"/>
          <w:tab w:val="clear" w:pos="2381"/>
          <w:tab w:val="clear" w:pos="2948"/>
          <w:tab w:val="clear" w:pos="3515"/>
          <w:tab w:val="left" w:pos="624"/>
        </w:tabs>
        <w:spacing w:after="120"/>
        <w:ind w:left="1247" w:firstLine="624"/>
        <w:jc w:val="right"/>
        <w:rPr>
          <w:b/>
        </w:rPr>
      </w:pPr>
      <w:r w:rsidRPr="004B535A">
        <w:rPr>
          <w:b/>
        </w:rPr>
        <w:t>Recommendation 59/2</w:t>
      </w:r>
    </w:p>
    <w:p w14:paraId="3001344C" w14:textId="77777777" w:rsidR="005F7162" w:rsidRPr="004B535A" w:rsidRDefault="005F7162" w:rsidP="004B535A">
      <w:pPr>
        <w:pStyle w:val="CH1"/>
      </w:pPr>
      <w:r w:rsidRPr="004B535A">
        <w:tab/>
        <w:t>VII</w:t>
      </w:r>
      <w:r w:rsidR="00752C63" w:rsidRPr="004B535A">
        <w:t>.</w:t>
      </w:r>
      <w:r w:rsidRPr="004B535A">
        <w:tab/>
        <w:t>Consideration of other possible non-compliance issues arising out of the data report  </w:t>
      </w:r>
    </w:p>
    <w:p w14:paraId="394027AB"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representative of the Secretariat, recalling his presentation under item 3 of the agenda, </w:t>
      </w:r>
      <w:r w:rsidR="005B2EA4" w:rsidRPr="004B535A">
        <w:t>said</w:t>
      </w:r>
      <w:r w:rsidRPr="004B535A">
        <w:t xml:space="preserve"> that </w:t>
      </w:r>
      <w:r w:rsidR="00CF1146" w:rsidRPr="004B535A">
        <w:t xml:space="preserve">only </w:t>
      </w:r>
      <w:r w:rsidRPr="004B535A">
        <w:t xml:space="preserve">one party, the Holy See, had </w:t>
      </w:r>
      <w:r w:rsidR="000620B7" w:rsidRPr="004B535A">
        <w:t>thus far</w:t>
      </w:r>
      <w:r w:rsidRPr="004B535A">
        <w:t xml:space="preserve"> failed to report its consumption and production data for 2016, in breach of its obligation, under Article 7 of the Montreal Protocol, to report annual data by no later than 30 September of the following year. </w:t>
      </w:r>
    </w:p>
    <w:p w14:paraId="6D3E9FB6" w14:textId="5815761E"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Committee therefore agreed to forward for consideration by the Twenty-Ninth Meeting of the Parties the draft decision set out in section </w:t>
      </w:r>
      <w:r w:rsidR="002A2ED6" w:rsidRPr="004B535A">
        <w:t xml:space="preserve">A </w:t>
      </w:r>
      <w:r w:rsidRPr="004B535A">
        <w:t>of</w:t>
      </w:r>
      <w:r w:rsidR="009736E0" w:rsidRPr="004B535A">
        <w:t xml:space="preserve"> a</w:t>
      </w:r>
      <w:r w:rsidRPr="004B535A">
        <w:t>nnex I to the present report, which would, among other things, record and note with appreciation the number of parties that had reported ozone</w:t>
      </w:r>
      <w:r w:rsidR="00765762" w:rsidRPr="004B535A">
        <w:noBreakHyphen/>
      </w:r>
      <w:r w:rsidRPr="004B535A">
        <w:t xml:space="preserve">depleting-substance data for the year 2016 and list the parties that were in non-compliance with their data-reporting obligations under the Montreal Protocol. </w:t>
      </w:r>
    </w:p>
    <w:p w14:paraId="16820C18" w14:textId="77777777" w:rsidR="005F7162" w:rsidRPr="004B535A" w:rsidRDefault="005F7162" w:rsidP="005F7162">
      <w:pPr>
        <w:tabs>
          <w:tab w:val="clear" w:pos="1247"/>
          <w:tab w:val="clear" w:pos="1814"/>
          <w:tab w:val="clear" w:pos="2381"/>
          <w:tab w:val="clear" w:pos="2948"/>
          <w:tab w:val="clear" w:pos="3515"/>
          <w:tab w:val="left" w:pos="624"/>
        </w:tabs>
        <w:spacing w:after="120"/>
        <w:ind w:left="1247" w:firstLine="624"/>
        <w:jc w:val="right"/>
        <w:rPr>
          <w:b/>
        </w:rPr>
      </w:pPr>
      <w:r w:rsidRPr="004B535A">
        <w:rPr>
          <w:b/>
        </w:rPr>
        <w:t>Recommendation 59/3</w:t>
      </w:r>
    </w:p>
    <w:p w14:paraId="1616BBAE" w14:textId="77777777" w:rsidR="005F7162" w:rsidRPr="004B535A" w:rsidRDefault="005F7162" w:rsidP="00853695">
      <w:pPr>
        <w:pStyle w:val="CH1"/>
      </w:pPr>
      <w:r w:rsidRPr="004B535A">
        <w:tab/>
        <w:t>VIII.</w:t>
      </w:r>
      <w:r w:rsidRPr="004B535A">
        <w:tab/>
        <w:t xml:space="preserve">Requests for changes in baseline data </w:t>
      </w:r>
    </w:p>
    <w:p w14:paraId="012AB637" w14:textId="77777777" w:rsidR="005F7162" w:rsidRPr="004B535A" w:rsidRDefault="006C3C81" w:rsidP="00C92D07">
      <w:pPr>
        <w:pStyle w:val="Normalnumber"/>
        <w:tabs>
          <w:tab w:val="clear" w:pos="1134"/>
          <w:tab w:val="clear" w:pos="1247"/>
          <w:tab w:val="clear" w:pos="1814"/>
          <w:tab w:val="clear" w:pos="2381"/>
          <w:tab w:val="clear" w:pos="2948"/>
          <w:tab w:val="clear" w:pos="3515"/>
          <w:tab w:val="clear" w:pos="4082"/>
          <w:tab w:val="num" w:pos="624"/>
        </w:tabs>
      </w:pPr>
      <w:r w:rsidRPr="004B535A">
        <w:t>The representative of the Secretariat recalled the methodology that the parties had agreed upon in decision XV/19 for the submission of requests for changes in baseline data.</w:t>
      </w:r>
      <w:r w:rsidR="00BD5DD4" w:rsidRPr="004B535A">
        <w:t xml:space="preserve"> </w:t>
      </w:r>
      <w:r w:rsidR="005F7162" w:rsidRPr="004B535A">
        <w:t>The party requesting the change was required to</w:t>
      </w:r>
      <w:r w:rsidR="00037389" w:rsidRPr="004B535A">
        <w:t xml:space="preserve"> do the following</w:t>
      </w:r>
      <w:r w:rsidR="005F7162" w:rsidRPr="004B535A">
        <w:t xml:space="preserve">: identify which data were considered incorrect and propose new figures; explain why the existing baseline data were incorrect, including describing the methodology used for data collection and verification; explain why the changes should be considered correct, including describing the methodology used for data collection and verification; and provide </w:t>
      </w:r>
      <w:r w:rsidR="003E5D8E" w:rsidRPr="004B535A">
        <w:t xml:space="preserve">supporting </w:t>
      </w:r>
      <w:r w:rsidR="005F7162" w:rsidRPr="004B535A">
        <w:t>documentation.</w:t>
      </w:r>
    </w:p>
    <w:p w14:paraId="5E9D11B4" w14:textId="77777777" w:rsidR="005F7162" w:rsidRPr="004B535A" w:rsidRDefault="005F7162" w:rsidP="005F7162">
      <w:pPr>
        <w:keepNext/>
        <w:keepLines/>
        <w:tabs>
          <w:tab w:val="right" w:pos="851"/>
          <w:tab w:val="left" w:pos="4082"/>
        </w:tabs>
        <w:suppressAutoHyphens/>
        <w:spacing w:before="80" w:after="120"/>
        <w:ind w:left="1247" w:right="284" w:hanging="1247"/>
        <w:rPr>
          <w:b/>
          <w:sz w:val="24"/>
          <w:szCs w:val="24"/>
        </w:rPr>
      </w:pPr>
      <w:r w:rsidRPr="004B535A">
        <w:rPr>
          <w:b/>
          <w:sz w:val="24"/>
          <w:szCs w:val="24"/>
        </w:rPr>
        <w:tab/>
        <w:t>A.</w:t>
      </w:r>
      <w:r w:rsidRPr="004B535A">
        <w:rPr>
          <w:b/>
          <w:sz w:val="24"/>
          <w:szCs w:val="24"/>
        </w:rPr>
        <w:tab/>
        <w:t>Pakistan</w:t>
      </w:r>
    </w:p>
    <w:p w14:paraId="4ABD094C"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representative of the Secretariat explained that Pakistan had requested a change in its HCFC consumption data. It had explained that the absence, </w:t>
      </w:r>
      <w:r w:rsidR="0040632A" w:rsidRPr="004B535A">
        <w:t>until 2012, of specific Harmoniz</w:t>
      </w:r>
      <w:r w:rsidRPr="004B535A">
        <w:t xml:space="preserve">ed System customs codes for HCFC-142b had resulted in imports of the substance being reported as imports of HCFC-22. </w:t>
      </w:r>
      <w:r w:rsidR="00A20BE5" w:rsidRPr="004B535A">
        <w:t>Since</w:t>
      </w:r>
      <w:r w:rsidR="004F45A7" w:rsidRPr="004B535A">
        <w:t xml:space="preserve"> 2012</w:t>
      </w:r>
      <w:r w:rsidR="00A20BE5" w:rsidRPr="004B535A">
        <w:t>,</w:t>
      </w:r>
      <w:r w:rsidR="004F45A7" w:rsidRPr="004B535A">
        <w:t xml:space="preserve"> when the specific Harmonized System code was introduced for HCFC-142b, the party had been reporting th</w:t>
      </w:r>
      <w:r w:rsidR="00A20BE5" w:rsidRPr="004B535A">
        <w:t>e</w:t>
      </w:r>
      <w:r w:rsidR="004F45A7" w:rsidRPr="004B535A">
        <w:t xml:space="preserve"> substance separately. </w:t>
      </w:r>
      <w:r w:rsidRPr="004B535A">
        <w:t xml:space="preserve">The party was therefore requesting revisions of the consumption data </w:t>
      </w:r>
      <w:r w:rsidR="009701C3" w:rsidRPr="004B535A">
        <w:t xml:space="preserve">that </w:t>
      </w:r>
      <w:r w:rsidRPr="004B535A">
        <w:t>had reported for the years 2009 and 2010 (the baseline years)</w:t>
      </w:r>
      <w:r w:rsidR="007E29D4" w:rsidRPr="004B535A">
        <w:t>,</w:t>
      </w:r>
      <w:r w:rsidRPr="004B535A">
        <w:t xml:space="preserve"> as well as </w:t>
      </w:r>
      <w:r w:rsidRPr="004B535A">
        <w:lastRenderedPageBreak/>
        <w:t>2011</w:t>
      </w:r>
      <w:r w:rsidR="007E29D4" w:rsidRPr="004B535A">
        <w:t>,</w:t>
      </w:r>
      <w:r w:rsidRPr="004B535A">
        <w:t xml:space="preserve"> to reflect higher consumption of HCFC</w:t>
      </w:r>
      <w:r w:rsidR="00DC04F8" w:rsidRPr="004B535A">
        <w:noBreakHyphen/>
      </w:r>
      <w:r w:rsidRPr="004B535A">
        <w:t xml:space="preserve">142b and correspondingly lower consumption of </w:t>
      </w:r>
      <w:r w:rsidR="00D21223" w:rsidRPr="004B535A">
        <w:br/>
      </w:r>
      <w:r w:rsidRPr="004B535A">
        <w:t>HCFC-22.</w:t>
      </w:r>
    </w:p>
    <w:p w14:paraId="511A84EC"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request was linked to funding to be provided under the Multilateral Fund, </w:t>
      </w:r>
      <w:r w:rsidR="009701C3" w:rsidRPr="004B535A">
        <w:t xml:space="preserve">given that </w:t>
      </w:r>
      <w:r w:rsidRPr="004B535A">
        <w:t xml:space="preserve">revision of the baseline data for HCFC-142b was a condition of approval of an investment project for Pakistan to phase out the use of HCFC-142b in the extruded polystyrene foam manufacturing sector, in line with decision 76/39 of the Executive Committee. The net effect of the requested changes would increase </w:t>
      </w:r>
      <w:r w:rsidR="00EA18AF" w:rsidRPr="004B535A">
        <w:t>the pa</w:t>
      </w:r>
      <w:r w:rsidR="009701C3" w:rsidRPr="004B535A">
        <w:t xml:space="preserve">rty’s </w:t>
      </w:r>
      <w:r w:rsidRPr="004B535A">
        <w:t>baseline consumption from 247.4 ODP-tonnes to 248.11 ODP-tonnes.</w:t>
      </w:r>
    </w:p>
    <w:p w14:paraId="016A2330" w14:textId="51871D3E"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Subsequent clarifications by Pakistan had confirmed that one enterpri</w:t>
      </w:r>
      <w:r w:rsidR="00AB5D50" w:rsidRPr="004B535A">
        <w:t>se, Symbol Industries,</w:t>
      </w:r>
      <w:r w:rsidRPr="004B535A">
        <w:t xml:space="preserve"> had used a blend of HCFC-142b and HCFC-22 (in the ratio 60:40) to manufacture extruded polystyrene board. It had acquired the blend both through direct imports and local purchases from commercial importers, but all imports of the blend into Pakistan by commercial importers had been destined for the company. All quantities of the blend had been reported as HCFC-22, which meant that it was possible to calculate the revised figures on the basis of the composition of the blend; th</w:t>
      </w:r>
      <w:r w:rsidR="009701C3" w:rsidRPr="004B535A">
        <w:t>at</w:t>
      </w:r>
      <w:r w:rsidRPr="004B535A">
        <w:t xml:space="preserve"> had been accounted for in the proposed revisions of the consumption data for the baseline years and for 2011. </w:t>
      </w:r>
    </w:p>
    <w:p w14:paraId="5FD4868F" w14:textId="7A0C2478"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Pakistan had provided supporting information, including copies of goods declaration forms for direct imports by Symbol Industries, summaries of purchase and consumption of blowing agent as a share of HCFC-142b and of the annual quantity of the blend purchased by Symbol Industries, details of the purchase of the blend in the ratio</w:t>
      </w:r>
      <w:r w:rsidR="00400D3E" w:rsidRPr="004B535A">
        <w:t xml:space="preserve"> 60:40 during the period 2009–</w:t>
      </w:r>
      <w:r w:rsidRPr="004B535A">
        <w:t xml:space="preserve">2011, letters from two of the three commercial importers importing HCFC-142b, confirming that it had been imported </w:t>
      </w:r>
      <w:r w:rsidR="009701C3" w:rsidRPr="004B535A">
        <w:t xml:space="preserve">only </w:t>
      </w:r>
      <w:r w:rsidRPr="004B535A">
        <w:t xml:space="preserve">in the blend for Symbol Industries (information from the third importer was awaited), and the 2015 annual verification audit report for HCFC consumption. </w:t>
      </w:r>
    </w:p>
    <w:p w14:paraId="773AF689"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A representative of Pakistan had been due to attend the meeting, but unfortunately had </w:t>
      </w:r>
      <w:r w:rsidR="009701C3" w:rsidRPr="004B535A">
        <w:t>been unable to do so</w:t>
      </w:r>
      <w:r w:rsidRPr="004B535A">
        <w:t xml:space="preserve">. Responding to questions from members of the Committee, the representative of </w:t>
      </w:r>
      <w:r w:rsidR="009F3972" w:rsidRPr="004B535A">
        <w:t>the</w:t>
      </w:r>
      <w:r w:rsidR="00400D3E" w:rsidRPr="004B535A">
        <w:t xml:space="preserve"> </w:t>
      </w:r>
      <w:r w:rsidR="009F3972" w:rsidRPr="004B535A">
        <w:t xml:space="preserve">United Nations Industrial Development Organization </w:t>
      </w:r>
      <w:r w:rsidRPr="004B535A">
        <w:t>confirmed that Symbol Industries was the only company in Pakistan using HCFC-142b, in a blend with HCFC-22, to produce extruded polystyrene foam</w:t>
      </w:r>
      <w:r w:rsidR="00C1653D" w:rsidRPr="004B535A">
        <w:t>. W</w:t>
      </w:r>
      <w:r w:rsidRPr="004B535A">
        <w:t xml:space="preserve">hile other companies also produced foams, they used HCFC-141b or other substances. He also observed that the company itself had </w:t>
      </w:r>
      <w:r w:rsidR="004F45A7" w:rsidRPr="004B535A">
        <w:t>identified the issue</w:t>
      </w:r>
      <w:r w:rsidRPr="004B535A">
        <w:t xml:space="preserve"> in the recording of </w:t>
      </w:r>
      <w:r w:rsidR="00400D3E" w:rsidRPr="004B535A">
        <w:t>imports and reported it to the G</w:t>
      </w:r>
      <w:r w:rsidRPr="004B535A">
        <w:t xml:space="preserve">overnment. </w:t>
      </w:r>
    </w:p>
    <w:p w14:paraId="2C10E23A" w14:textId="4A615130"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Members of the Committee observed that</w:t>
      </w:r>
      <w:r w:rsidR="005B12CE" w:rsidRPr="004B535A">
        <w:t>,</w:t>
      </w:r>
      <w:r w:rsidRPr="004B535A">
        <w:t xml:space="preserve"> while the information provided by Pakistan was helpful, it had also indicated that six companies had been allocated quotas for the import of </w:t>
      </w:r>
      <w:r w:rsidR="00D21223" w:rsidRPr="004B535A">
        <w:br/>
      </w:r>
      <w:r w:rsidRPr="004B535A">
        <w:t xml:space="preserve">HCFC-142b in 2015. While Symbol Industries had been the only </w:t>
      </w:r>
      <w:r w:rsidR="00A20BE5" w:rsidRPr="004B535A">
        <w:t xml:space="preserve">company </w:t>
      </w:r>
      <w:r w:rsidRPr="004B535A">
        <w:t>to have used its quota allocation and actually imported the substance</w:t>
      </w:r>
      <w:r w:rsidR="00C34968" w:rsidRPr="004B535A">
        <w:t xml:space="preserve"> in 2015</w:t>
      </w:r>
      <w:r w:rsidRPr="004B535A">
        <w:t xml:space="preserve">, </w:t>
      </w:r>
      <w:r w:rsidR="00C51592" w:rsidRPr="004B535A">
        <w:t xml:space="preserve">the </w:t>
      </w:r>
      <w:r w:rsidR="00216394" w:rsidRPr="004B535A">
        <w:t xml:space="preserve">Committee </w:t>
      </w:r>
      <w:r w:rsidR="00C51592" w:rsidRPr="004B535A">
        <w:t>noted</w:t>
      </w:r>
      <w:r w:rsidR="00A966E4" w:rsidRPr="004B535A">
        <w:t xml:space="preserve"> that </w:t>
      </w:r>
      <w:r w:rsidRPr="004B535A">
        <w:t xml:space="preserve">the </w:t>
      </w:r>
      <w:r w:rsidR="00320118" w:rsidRPr="004B535A">
        <w:t xml:space="preserve">2015 </w:t>
      </w:r>
      <w:r w:rsidRPr="004B535A">
        <w:t xml:space="preserve">quota had been allocated </w:t>
      </w:r>
      <w:r w:rsidR="004F45A7" w:rsidRPr="004B535A">
        <w:t xml:space="preserve">only to </w:t>
      </w:r>
      <w:r w:rsidR="00435269" w:rsidRPr="004B535A">
        <w:t>companies</w:t>
      </w:r>
      <w:r w:rsidR="004F45A7" w:rsidRPr="004B535A">
        <w:t xml:space="preserve"> that had </w:t>
      </w:r>
      <w:r w:rsidR="00C51592" w:rsidRPr="004B535A">
        <w:t>imported</w:t>
      </w:r>
      <w:r w:rsidRPr="004B535A">
        <w:t xml:space="preserve"> </w:t>
      </w:r>
      <w:r w:rsidR="00216394" w:rsidRPr="004B535A">
        <w:t xml:space="preserve">the substance </w:t>
      </w:r>
      <w:r w:rsidRPr="004B535A">
        <w:t xml:space="preserve">in the baseline years 2009 and 2010. </w:t>
      </w:r>
      <w:r w:rsidR="00780E10" w:rsidRPr="004B535A">
        <w:t xml:space="preserve">Pakistan had reported that </w:t>
      </w:r>
      <w:r w:rsidRPr="004B535A">
        <w:t xml:space="preserve">three of the other companies had </w:t>
      </w:r>
      <w:r w:rsidR="00780E10" w:rsidRPr="004B535A">
        <w:t>imported HCFC-142b,</w:t>
      </w:r>
      <w:r w:rsidR="00C34968" w:rsidRPr="004B535A">
        <w:t xml:space="preserve"> in addition to Symbol Industries itself,</w:t>
      </w:r>
      <w:r w:rsidR="00780E10" w:rsidRPr="004B535A">
        <w:t xml:space="preserve"> and th</w:t>
      </w:r>
      <w:r w:rsidR="00A20BE5" w:rsidRPr="004B535A">
        <w:t>o</w:t>
      </w:r>
      <w:r w:rsidR="00C34968" w:rsidRPr="004B535A">
        <w:t>se</w:t>
      </w:r>
      <w:r w:rsidR="00780E10" w:rsidRPr="004B535A">
        <w:t xml:space="preserve"> companies had </w:t>
      </w:r>
      <w:r w:rsidRPr="004B535A">
        <w:t>been contacted</w:t>
      </w:r>
      <w:r w:rsidR="00780E10" w:rsidRPr="004B535A">
        <w:t xml:space="preserve"> to confirm that their imports were to supply Symbol Industries</w:t>
      </w:r>
      <w:r w:rsidR="006A65A8" w:rsidRPr="004B535A">
        <w:t>. T</w:t>
      </w:r>
      <w:r w:rsidRPr="004B535A">
        <w:t xml:space="preserve">wo had </w:t>
      </w:r>
      <w:r w:rsidR="005B12CE" w:rsidRPr="004B535A">
        <w:t xml:space="preserve">thus </w:t>
      </w:r>
      <w:r w:rsidRPr="004B535A">
        <w:t>far confirmed that their only import of HCFC-142b had been for the use of Symbol Industries</w:t>
      </w:r>
      <w:r w:rsidR="006A65A8" w:rsidRPr="004B535A">
        <w:t>. However</w:t>
      </w:r>
      <w:r w:rsidRPr="004B535A">
        <w:t>, th</w:t>
      </w:r>
      <w:r w:rsidR="005B12CE" w:rsidRPr="004B535A">
        <w:t>at</w:t>
      </w:r>
      <w:r w:rsidRPr="004B535A">
        <w:t xml:space="preserve"> meant that two other companies, Nasir Corporation and </w:t>
      </w:r>
      <w:proofErr w:type="spellStart"/>
      <w:r w:rsidRPr="004B535A">
        <w:t>Simlim</w:t>
      </w:r>
      <w:proofErr w:type="spellEnd"/>
      <w:r w:rsidRPr="004B535A">
        <w:t xml:space="preserve"> International, could have imported HCFC-142b and did not appear to have been contacted for further information. The Committee concurred that th</w:t>
      </w:r>
      <w:r w:rsidR="005B12CE" w:rsidRPr="004B535A">
        <w:t>at</w:t>
      </w:r>
      <w:r w:rsidRPr="004B535A">
        <w:t xml:space="preserve"> issue needed to be resolved before the </w:t>
      </w:r>
      <w:r w:rsidR="005B12CE" w:rsidRPr="004B535A">
        <w:t xml:space="preserve">Twenty-Ninth </w:t>
      </w:r>
      <w:r w:rsidRPr="004B535A">
        <w:t xml:space="preserve">Meeting of the Parties could approve the request for a change in baseline data. </w:t>
      </w:r>
    </w:p>
    <w:p w14:paraId="1EC399AC"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The Committee therefore agreed</w:t>
      </w:r>
      <w:r w:rsidR="00686171" w:rsidRPr="004B535A">
        <w:t xml:space="preserve"> as follows</w:t>
      </w:r>
      <w:r w:rsidRPr="004B535A">
        <w:t>:</w:t>
      </w:r>
    </w:p>
    <w:p w14:paraId="50EB23B7" w14:textId="77777777" w:rsidR="005F7162" w:rsidRPr="004B535A" w:rsidRDefault="005F7162" w:rsidP="005F7162">
      <w:pPr>
        <w:tabs>
          <w:tab w:val="clear" w:pos="1247"/>
          <w:tab w:val="clear" w:pos="1814"/>
          <w:tab w:val="clear" w:pos="2381"/>
          <w:tab w:val="clear" w:pos="2948"/>
          <w:tab w:val="clear" w:pos="3515"/>
          <w:tab w:val="left" w:pos="624"/>
        </w:tabs>
        <w:spacing w:after="120"/>
        <w:ind w:left="1260" w:firstLine="630"/>
      </w:pPr>
      <w:r w:rsidRPr="004B535A">
        <w:rPr>
          <w:i/>
        </w:rPr>
        <w:t>Noting with appreciation</w:t>
      </w:r>
      <w:r w:rsidRPr="004B535A">
        <w:t xml:space="preserve"> the information submitted by Pakistan in support of its request to revise its existing consumption data for the years 2009, 2010 and 2011 for the Annex C, group I</w:t>
      </w:r>
      <w:r w:rsidR="005B12CE" w:rsidRPr="004B535A">
        <w:t>,</w:t>
      </w:r>
      <w:r w:rsidRPr="004B535A">
        <w:t xml:space="preserve"> controlled substances (hydrochlorofluorocarbons),</w:t>
      </w:r>
    </w:p>
    <w:p w14:paraId="67C60137" w14:textId="77777777" w:rsidR="005F7162" w:rsidRPr="004B535A" w:rsidRDefault="005F7162" w:rsidP="005F7162">
      <w:pPr>
        <w:tabs>
          <w:tab w:val="clear" w:pos="1247"/>
          <w:tab w:val="clear" w:pos="1814"/>
          <w:tab w:val="clear" w:pos="2381"/>
          <w:tab w:val="clear" w:pos="2948"/>
          <w:tab w:val="clear" w:pos="3515"/>
          <w:tab w:val="left" w:pos="624"/>
        </w:tabs>
        <w:spacing w:after="120"/>
        <w:ind w:left="1260" w:firstLine="630"/>
      </w:pPr>
      <w:r w:rsidRPr="004B535A">
        <w:rPr>
          <w:i/>
        </w:rPr>
        <w:t xml:space="preserve">Noting </w:t>
      </w:r>
      <w:r w:rsidRPr="004B535A">
        <w:t>that decision XV/19 sets out the methodology for submission of requests for revision of baseline data,</w:t>
      </w:r>
    </w:p>
    <w:p w14:paraId="32297DBD" w14:textId="77777777" w:rsidR="005F7162" w:rsidRPr="004B535A" w:rsidRDefault="005F7162" w:rsidP="005F7162">
      <w:pPr>
        <w:tabs>
          <w:tab w:val="clear" w:pos="1247"/>
          <w:tab w:val="clear" w:pos="1814"/>
          <w:tab w:val="clear" w:pos="2381"/>
          <w:tab w:val="clear" w:pos="2948"/>
          <w:tab w:val="clear" w:pos="3515"/>
          <w:tab w:val="left" w:pos="624"/>
        </w:tabs>
        <w:spacing w:after="120"/>
        <w:ind w:left="1260" w:firstLine="630"/>
      </w:pPr>
      <w:r w:rsidRPr="004B535A">
        <w:rPr>
          <w:i/>
        </w:rPr>
        <w:t xml:space="preserve">Noting with appreciation </w:t>
      </w:r>
      <w:r w:rsidRPr="004B535A">
        <w:t xml:space="preserve">the efforts made by Pakistan to fulfil the information requirements of decision XV/19, </w:t>
      </w:r>
    </w:p>
    <w:p w14:paraId="7CC97E91" w14:textId="0BD70FA4" w:rsidR="005F7162" w:rsidRPr="004B535A" w:rsidRDefault="005F7162" w:rsidP="005F7162">
      <w:pPr>
        <w:tabs>
          <w:tab w:val="clear" w:pos="1247"/>
          <w:tab w:val="clear" w:pos="1814"/>
          <w:tab w:val="clear" w:pos="2381"/>
          <w:tab w:val="clear" w:pos="2948"/>
          <w:tab w:val="clear" w:pos="3515"/>
          <w:tab w:val="left" w:pos="624"/>
        </w:tabs>
        <w:spacing w:after="120"/>
        <w:ind w:left="1260" w:firstLine="630"/>
      </w:pPr>
      <w:r w:rsidRPr="004B535A">
        <w:t>To forward for consideration by the Twenty-Ninth Meeting of the Parties</w:t>
      </w:r>
      <w:r w:rsidR="00686171" w:rsidRPr="004B535A">
        <w:t xml:space="preserve"> the draft decision set out in s</w:t>
      </w:r>
      <w:r w:rsidRPr="004B535A">
        <w:t xml:space="preserve">ection C of </w:t>
      </w:r>
      <w:r w:rsidR="00686171" w:rsidRPr="004B535A">
        <w:t>a</w:t>
      </w:r>
      <w:r w:rsidRPr="004B535A">
        <w:t xml:space="preserve">nnex I to the present report, by which the Meeting of the Parties would approve the request by Pakistan for the revision of its consumption data for hydrochlorofluorocarbons, as set out in the table below, provided that the Secretariat receives confirmation from Pakistan, prior to the adoption of the decision by the </w:t>
      </w:r>
      <w:r w:rsidR="00D03DAC" w:rsidRPr="004B535A">
        <w:t xml:space="preserve">Twenty-Ninth </w:t>
      </w:r>
      <w:r w:rsidRPr="004B535A">
        <w:t>Meeting of the Parties, that the imports of HCFC-142b by the two other companies in 2009 and 2010 had been accounted for in the revised baseline data:</w:t>
      </w:r>
    </w:p>
    <w:tbl>
      <w:tblPr>
        <w:tblW w:w="8335" w:type="dxa"/>
        <w:jc w:val="right"/>
        <w:tblBorders>
          <w:top w:val="single" w:sz="4" w:space="0" w:color="auto"/>
          <w:bottom w:val="single" w:sz="4" w:space="0" w:color="auto"/>
          <w:insideH w:val="single" w:sz="4" w:space="0" w:color="auto"/>
        </w:tblBorders>
        <w:tblLook w:val="04A0" w:firstRow="1" w:lastRow="0" w:firstColumn="1" w:lastColumn="0" w:noHBand="0" w:noVBand="1"/>
      </w:tblPr>
      <w:tblGrid>
        <w:gridCol w:w="1614"/>
        <w:gridCol w:w="1222"/>
        <w:gridCol w:w="1095"/>
        <w:gridCol w:w="1096"/>
        <w:gridCol w:w="968"/>
        <w:gridCol w:w="1133"/>
        <w:gridCol w:w="1207"/>
      </w:tblGrid>
      <w:tr w:rsidR="005F7162" w:rsidRPr="004B535A" w14:paraId="1FCC6D4A" w14:textId="77777777" w:rsidTr="003868E4">
        <w:trPr>
          <w:jc w:val="right"/>
        </w:trPr>
        <w:tc>
          <w:tcPr>
            <w:tcW w:w="1620" w:type="dxa"/>
            <w:vMerge w:val="restart"/>
            <w:tcBorders>
              <w:top w:val="single" w:sz="4" w:space="0" w:color="auto"/>
            </w:tcBorders>
            <w:shd w:val="clear" w:color="auto" w:fill="auto"/>
            <w:vAlign w:val="bottom"/>
          </w:tcPr>
          <w:p w14:paraId="590988BF"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rPr>
                <w:i/>
                <w:sz w:val="18"/>
                <w:szCs w:val="18"/>
              </w:rPr>
            </w:pPr>
            <w:r w:rsidRPr="004B535A">
              <w:rPr>
                <w:i/>
                <w:sz w:val="18"/>
                <w:szCs w:val="18"/>
              </w:rPr>
              <w:lastRenderedPageBreak/>
              <w:t>Substance</w:t>
            </w:r>
          </w:p>
        </w:tc>
        <w:tc>
          <w:tcPr>
            <w:tcW w:w="3425" w:type="dxa"/>
            <w:gridSpan w:val="3"/>
            <w:tcBorders>
              <w:top w:val="single" w:sz="4" w:space="0" w:color="auto"/>
              <w:bottom w:val="single" w:sz="4" w:space="0" w:color="auto"/>
            </w:tcBorders>
            <w:shd w:val="clear" w:color="auto" w:fill="auto"/>
            <w:vAlign w:val="bottom"/>
          </w:tcPr>
          <w:p w14:paraId="5DCFDBD4" w14:textId="77777777" w:rsidR="005F7162" w:rsidRPr="004B535A" w:rsidRDefault="00686171" w:rsidP="009373BC">
            <w:pPr>
              <w:keepNext/>
              <w:keepLines/>
              <w:tabs>
                <w:tab w:val="clear" w:pos="1247"/>
                <w:tab w:val="clear" w:pos="1814"/>
                <w:tab w:val="clear" w:pos="2381"/>
                <w:tab w:val="clear" w:pos="2948"/>
                <w:tab w:val="clear" w:pos="3515"/>
                <w:tab w:val="left" w:pos="624"/>
              </w:tabs>
              <w:spacing w:before="40" w:after="40"/>
              <w:rPr>
                <w:i/>
                <w:sz w:val="18"/>
                <w:szCs w:val="18"/>
              </w:rPr>
            </w:pPr>
            <w:r w:rsidRPr="004B535A">
              <w:rPr>
                <w:i/>
                <w:sz w:val="18"/>
                <w:szCs w:val="18"/>
              </w:rPr>
              <w:t>Existing consumption data (ODP-</w:t>
            </w:r>
            <w:r w:rsidR="005F7162" w:rsidRPr="004B535A">
              <w:rPr>
                <w:i/>
                <w:sz w:val="18"/>
                <w:szCs w:val="18"/>
              </w:rPr>
              <w:t>tonnes)</w:t>
            </w:r>
          </w:p>
        </w:tc>
        <w:tc>
          <w:tcPr>
            <w:tcW w:w="3317" w:type="dxa"/>
            <w:gridSpan w:val="3"/>
            <w:tcBorders>
              <w:top w:val="single" w:sz="4" w:space="0" w:color="auto"/>
              <w:bottom w:val="single" w:sz="4" w:space="0" w:color="auto"/>
            </w:tcBorders>
            <w:shd w:val="clear" w:color="auto" w:fill="auto"/>
            <w:vAlign w:val="bottom"/>
          </w:tcPr>
          <w:p w14:paraId="0A31490F" w14:textId="77777777" w:rsidR="005F7162" w:rsidRPr="004B535A" w:rsidRDefault="00686171" w:rsidP="009373BC">
            <w:pPr>
              <w:keepNext/>
              <w:keepLines/>
              <w:tabs>
                <w:tab w:val="clear" w:pos="1247"/>
                <w:tab w:val="clear" w:pos="1814"/>
                <w:tab w:val="clear" w:pos="2381"/>
                <w:tab w:val="clear" w:pos="2948"/>
                <w:tab w:val="clear" w:pos="3515"/>
                <w:tab w:val="left" w:pos="624"/>
              </w:tabs>
              <w:spacing w:before="40" w:after="40"/>
              <w:rPr>
                <w:i/>
                <w:sz w:val="18"/>
                <w:szCs w:val="18"/>
              </w:rPr>
            </w:pPr>
            <w:r w:rsidRPr="004B535A">
              <w:rPr>
                <w:i/>
                <w:sz w:val="18"/>
                <w:szCs w:val="18"/>
              </w:rPr>
              <w:t>Revised consumption data (ODP-</w:t>
            </w:r>
            <w:r w:rsidR="005F7162" w:rsidRPr="004B535A">
              <w:rPr>
                <w:i/>
                <w:sz w:val="18"/>
                <w:szCs w:val="18"/>
              </w:rPr>
              <w:t>tonnes)</w:t>
            </w:r>
          </w:p>
        </w:tc>
      </w:tr>
      <w:tr w:rsidR="005F7162" w:rsidRPr="004B535A" w14:paraId="0EC9DC60" w14:textId="77777777" w:rsidTr="003868E4">
        <w:trPr>
          <w:jc w:val="right"/>
        </w:trPr>
        <w:tc>
          <w:tcPr>
            <w:tcW w:w="1620" w:type="dxa"/>
            <w:vMerge/>
            <w:tcBorders>
              <w:bottom w:val="single" w:sz="12" w:space="0" w:color="auto"/>
            </w:tcBorders>
            <w:shd w:val="clear" w:color="auto" w:fill="auto"/>
            <w:vAlign w:val="bottom"/>
          </w:tcPr>
          <w:p w14:paraId="00896323"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rPr>
                <w:i/>
                <w:sz w:val="18"/>
                <w:szCs w:val="18"/>
              </w:rPr>
            </w:pPr>
          </w:p>
        </w:tc>
        <w:tc>
          <w:tcPr>
            <w:tcW w:w="1228" w:type="dxa"/>
            <w:tcBorders>
              <w:top w:val="single" w:sz="4" w:space="0" w:color="auto"/>
              <w:bottom w:val="single" w:sz="12" w:space="0" w:color="auto"/>
            </w:tcBorders>
            <w:shd w:val="clear" w:color="auto" w:fill="auto"/>
            <w:vAlign w:val="bottom"/>
          </w:tcPr>
          <w:p w14:paraId="31ACF27C"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i/>
                <w:sz w:val="18"/>
                <w:szCs w:val="18"/>
              </w:rPr>
            </w:pPr>
            <w:r w:rsidRPr="004B535A">
              <w:rPr>
                <w:i/>
                <w:sz w:val="18"/>
                <w:szCs w:val="18"/>
              </w:rPr>
              <w:t>2009</w:t>
            </w:r>
          </w:p>
        </w:tc>
        <w:tc>
          <w:tcPr>
            <w:tcW w:w="1099" w:type="dxa"/>
            <w:tcBorders>
              <w:top w:val="single" w:sz="4" w:space="0" w:color="auto"/>
              <w:bottom w:val="single" w:sz="12" w:space="0" w:color="auto"/>
            </w:tcBorders>
            <w:shd w:val="clear" w:color="auto" w:fill="auto"/>
            <w:vAlign w:val="bottom"/>
          </w:tcPr>
          <w:p w14:paraId="52DF3E70"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i/>
                <w:sz w:val="18"/>
                <w:szCs w:val="18"/>
              </w:rPr>
            </w:pPr>
            <w:r w:rsidRPr="004B535A">
              <w:rPr>
                <w:i/>
                <w:sz w:val="18"/>
                <w:szCs w:val="18"/>
              </w:rPr>
              <w:t>2010</w:t>
            </w:r>
          </w:p>
        </w:tc>
        <w:tc>
          <w:tcPr>
            <w:tcW w:w="1098" w:type="dxa"/>
            <w:tcBorders>
              <w:top w:val="single" w:sz="4" w:space="0" w:color="auto"/>
              <w:bottom w:val="single" w:sz="12" w:space="0" w:color="auto"/>
            </w:tcBorders>
            <w:shd w:val="clear" w:color="auto" w:fill="auto"/>
            <w:vAlign w:val="bottom"/>
          </w:tcPr>
          <w:p w14:paraId="596B274A"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i/>
                <w:sz w:val="18"/>
                <w:szCs w:val="18"/>
              </w:rPr>
            </w:pPr>
            <w:proofErr w:type="spellStart"/>
            <w:r w:rsidRPr="004B535A">
              <w:rPr>
                <w:i/>
                <w:sz w:val="18"/>
                <w:szCs w:val="18"/>
              </w:rPr>
              <w:t>Baseline</w:t>
            </w:r>
            <w:r w:rsidR="00D03DAC" w:rsidRPr="004B535A">
              <w:rPr>
                <w:i/>
                <w:sz w:val="18"/>
                <w:szCs w:val="18"/>
                <w:vertAlign w:val="superscript"/>
              </w:rPr>
              <w:t>a</w:t>
            </w:r>
            <w:proofErr w:type="spellEnd"/>
          </w:p>
        </w:tc>
        <w:tc>
          <w:tcPr>
            <w:tcW w:w="970" w:type="dxa"/>
            <w:tcBorders>
              <w:top w:val="single" w:sz="4" w:space="0" w:color="auto"/>
              <w:bottom w:val="single" w:sz="12" w:space="0" w:color="auto"/>
            </w:tcBorders>
            <w:shd w:val="clear" w:color="auto" w:fill="auto"/>
            <w:vAlign w:val="bottom"/>
          </w:tcPr>
          <w:p w14:paraId="7ECF26E2"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i/>
                <w:sz w:val="18"/>
                <w:szCs w:val="18"/>
              </w:rPr>
            </w:pPr>
            <w:r w:rsidRPr="004B535A">
              <w:rPr>
                <w:i/>
                <w:sz w:val="18"/>
                <w:szCs w:val="18"/>
              </w:rPr>
              <w:t>2009</w:t>
            </w:r>
          </w:p>
        </w:tc>
        <w:tc>
          <w:tcPr>
            <w:tcW w:w="1137" w:type="dxa"/>
            <w:tcBorders>
              <w:top w:val="single" w:sz="4" w:space="0" w:color="auto"/>
              <w:bottom w:val="single" w:sz="12" w:space="0" w:color="auto"/>
            </w:tcBorders>
            <w:shd w:val="clear" w:color="auto" w:fill="auto"/>
            <w:vAlign w:val="bottom"/>
          </w:tcPr>
          <w:p w14:paraId="6C13A69B"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i/>
                <w:sz w:val="18"/>
                <w:szCs w:val="18"/>
              </w:rPr>
            </w:pPr>
            <w:r w:rsidRPr="004B535A">
              <w:rPr>
                <w:i/>
                <w:sz w:val="18"/>
                <w:szCs w:val="18"/>
              </w:rPr>
              <w:t>2010</w:t>
            </w:r>
          </w:p>
        </w:tc>
        <w:tc>
          <w:tcPr>
            <w:tcW w:w="1210" w:type="dxa"/>
            <w:tcBorders>
              <w:top w:val="single" w:sz="4" w:space="0" w:color="auto"/>
              <w:bottom w:val="single" w:sz="12" w:space="0" w:color="auto"/>
            </w:tcBorders>
            <w:shd w:val="clear" w:color="auto" w:fill="auto"/>
            <w:vAlign w:val="bottom"/>
          </w:tcPr>
          <w:p w14:paraId="48EB87E9"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center"/>
              <w:rPr>
                <w:i/>
                <w:sz w:val="18"/>
                <w:szCs w:val="18"/>
              </w:rPr>
            </w:pPr>
            <w:proofErr w:type="spellStart"/>
            <w:r w:rsidRPr="004B535A">
              <w:rPr>
                <w:i/>
                <w:sz w:val="18"/>
                <w:szCs w:val="18"/>
              </w:rPr>
              <w:t>Baseline</w:t>
            </w:r>
            <w:r w:rsidR="00D03DAC" w:rsidRPr="004B535A">
              <w:rPr>
                <w:i/>
                <w:sz w:val="18"/>
                <w:szCs w:val="18"/>
                <w:vertAlign w:val="superscript"/>
              </w:rPr>
              <w:t>a</w:t>
            </w:r>
            <w:proofErr w:type="spellEnd"/>
          </w:p>
        </w:tc>
      </w:tr>
      <w:tr w:rsidR="005F7162" w:rsidRPr="004B535A" w14:paraId="4EF3898B" w14:textId="77777777" w:rsidTr="003868E4">
        <w:trPr>
          <w:jc w:val="right"/>
        </w:trPr>
        <w:tc>
          <w:tcPr>
            <w:tcW w:w="1620" w:type="dxa"/>
            <w:tcBorders>
              <w:top w:val="single" w:sz="12" w:space="0" w:color="auto"/>
              <w:bottom w:val="nil"/>
            </w:tcBorders>
            <w:shd w:val="clear" w:color="auto" w:fill="auto"/>
            <w:vAlign w:val="bottom"/>
          </w:tcPr>
          <w:p w14:paraId="71180379"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rPr>
                <w:sz w:val="18"/>
                <w:szCs w:val="18"/>
              </w:rPr>
            </w:pPr>
            <w:r w:rsidRPr="004B535A">
              <w:rPr>
                <w:sz w:val="18"/>
                <w:szCs w:val="18"/>
              </w:rPr>
              <w:t>HCFC-141b</w:t>
            </w:r>
          </w:p>
        </w:tc>
        <w:tc>
          <w:tcPr>
            <w:tcW w:w="1228" w:type="dxa"/>
            <w:tcBorders>
              <w:top w:val="single" w:sz="12" w:space="0" w:color="auto"/>
              <w:bottom w:val="nil"/>
            </w:tcBorders>
            <w:shd w:val="clear" w:color="auto" w:fill="auto"/>
            <w:vAlign w:val="bottom"/>
          </w:tcPr>
          <w:p w14:paraId="414A266D"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t>134.2</w:t>
            </w:r>
          </w:p>
        </w:tc>
        <w:tc>
          <w:tcPr>
            <w:tcW w:w="1099" w:type="dxa"/>
            <w:tcBorders>
              <w:top w:val="single" w:sz="12" w:space="0" w:color="auto"/>
              <w:bottom w:val="nil"/>
            </w:tcBorders>
            <w:shd w:val="clear" w:color="auto" w:fill="auto"/>
            <w:vAlign w:val="bottom"/>
          </w:tcPr>
          <w:p w14:paraId="54B10BF9"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t>142.8</w:t>
            </w:r>
          </w:p>
        </w:tc>
        <w:tc>
          <w:tcPr>
            <w:tcW w:w="1098" w:type="dxa"/>
            <w:tcBorders>
              <w:top w:val="single" w:sz="12" w:space="0" w:color="auto"/>
              <w:bottom w:val="nil"/>
            </w:tcBorders>
            <w:shd w:val="clear" w:color="auto" w:fill="auto"/>
            <w:vAlign w:val="bottom"/>
          </w:tcPr>
          <w:p w14:paraId="27252A46"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p>
        </w:tc>
        <w:tc>
          <w:tcPr>
            <w:tcW w:w="970" w:type="dxa"/>
            <w:tcBorders>
              <w:top w:val="single" w:sz="12" w:space="0" w:color="auto"/>
              <w:bottom w:val="nil"/>
            </w:tcBorders>
            <w:shd w:val="clear" w:color="auto" w:fill="auto"/>
            <w:vAlign w:val="bottom"/>
          </w:tcPr>
          <w:p w14:paraId="57D37899"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t>134.20</w:t>
            </w:r>
          </w:p>
        </w:tc>
        <w:tc>
          <w:tcPr>
            <w:tcW w:w="1137" w:type="dxa"/>
            <w:tcBorders>
              <w:top w:val="single" w:sz="12" w:space="0" w:color="auto"/>
              <w:bottom w:val="nil"/>
            </w:tcBorders>
            <w:shd w:val="clear" w:color="auto" w:fill="auto"/>
            <w:vAlign w:val="bottom"/>
          </w:tcPr>
          <w:p w14:paraId="66C6761F"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t>142.80</w:t>
            </w:r>
          </w:p>
        </w:tc>
        <w:tc>
          <w:tcPr>
            <w:tcW w:w="1210" w:type="dxa"/>
            <w:tcBorders>
              <w:top w:val="single" w:sz="12" w:space="0" w:color="auto"/>
              <w:bottom w:val="nil"/>
            </w:tcBorders>
            <w:shd w:val="clear" w:color="auto" w:fill="auto"/>
            <w:vAlign w:val="bottom"/>
          </w:tcPr>
          <w:p w14:paraId="66AE7CB8"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center"/>
              <w:rPr>
                <w:sz w:val="18"/>
                <w:szCs w:val="18"/>
              </w:rPr>
            </w:pPr>
          </w:p>
        </w:tc>
      </w:tr>
      <w:tr w:rsidR="005F7162" w:rsidRPr="004B535A" w14:paraId="29E7A82E" w14:textId="77777777" w:rsidTr="003868E4">
        <w:trPr>
          <w:jc w:val="right"/>
        </w:trPr>
        <w:tc>
          <w:tcPr>
            <w:tcW w:w="1620" w:type="dxa"/>
            <w:tcBorders>
              <w:top w:val="nil"/>
              <w:bottom w:val="nil"/>
            </w:tcBorders>
            <w:shd w:val="clear" w:color="auto" w:fill="auto"/>
            <w:vAlign w:val="bottom"/>
          </w:tcPr>
          <w:p w14:paraId="6FF06625"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rPr>
                <w:sz w:val="18"/>
                <w:szCs w:val="18"/>
              </w:rPr>
            </w:pPr>
            <w:r w:rsidRPr="004B535A">
              <w:rPr>
                <w:sz w:val="18"/>
                <w:szCs w:val="18"/>
              </w:rPr>
              <w:t>HCFC-142b</w:t>
            </w:r>
          </w:p>
        </w:tc>
        <w:tc>
          <w:tcPr>
            <w:tcW w:w="1228" w:type="dxa"/>
            <w:tcBorders>
              <w:top w:val="nil"/>
              <w:bottom w:val="nil"/>
            </w:tcBorders>
            <w:shd w:val="clear" w:color="auto" w:fill="auto"/>
            <w:vAlign w:val="bottom"/>
          </w:tcPr>
          <w:p w14:paraId="748B92AC"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sym w:font="Symbol" w:char="F02D"/>
            </w:r>
          </w:p>
        </w:tc>
        <w:tc>
          <w:tcPr>
            <w:tcW w:w="1099" w:type="dxa"/>
            <w:tcBorders>
              <w:top w:val="nil"/>
              <w:bottom w:val="nil"/>
            </w:tcBorders>
            <w:shd w:val="clear" w:color="auto" w:fill="auto"/>
            <w:vAlign w:val="bottom"/>
          </w:tcPr>
          <w:p w14:paraId="2986CCCB"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sym w:font="Symbol" w:char="F02D"/>
            </w:r>
          </w:p>
        </w:tc>
        <w:tc>
          <w:tcPr>
            <w:tcW w:w="1098" w:type="dxa"/>
            <w:tcBorders>
              <w:top w:val="nil"/>
              <w:bottom w:val="nil"/>
            </w:tcBorders>
            <w:shd w:val="clear" w:color="auto" w:fill="auto"/>
            <w:vAlign w:val="bottom"/>
          </w:tcPr>
          <w:p w14:paraId="336B4869"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center"/>
              <w:rPr>
                <w:sz w:val="18"/>
                <w:szCs w:val="18"/>
              </w:rPr>
            </w:pPr>
          </w:p>
        </w:tc>
        <w:tc>
          <w:tcPr>
            <w:tcW w:w="970" w:type="dxa"/>
            <w:tcBorders>
              <w:top w:val="nil"/>
              <w:bottom w:val="nil"/>
            </w:tcBorders>
            <w:shd w:val="clear" w:color="auto" w:fill="auto"/>
            <w:vAlign w:val="bottom"/>
          </w:tcPr>
          <w:p w14:paraId="35C5B49E"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t>4.62</w:t>
            </w:r>
          </w:p>
        </w:tc>
        <w:tc>
          <w:tcPr>
            <w:tcW w:w="1137" w:type="dxa"/>
            <w:tcBorders>
              <w:top w:val="nil"/>
              <w:bottom w:val="nil"/>
            </w:tcBorders>
            <w:shd w:val="clear" w:color="auto" w:fill="auto"/>
            <w:vAlign w:val="bottom"/>
          </w:tcPr>
          <w:p w14:paraId="7CAEEE62"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t>4.68</w:t>
            </w:r>
          </w:p>
        </w:tc>
        <w:tc>
          <w:tcPr>
            <w:tcW w:w="1210" w:type="dxa"/>
            <w:tcBorders>
              <w:top w:val="nil"/>
              <w:bottom w:val="nil"/>
            </w:tcBorders>
            <w:shd w:val="clear" w:color="auto" w:fill="auto"/>
            <w:vAlign w:val="bottom"/>
          </w:tcPr>
          <w:p w14:paraId="5DFC0F66"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center"/>
              <w:rPr>
                <w:sz w:val="18"/>
                <w:szCs w:val="18"/>
              </w:rPr>
            </w:pPr>
          </w:p>
        </w:tc>
      </w:tr>
      <w:tr w:rsidR="005F7162" w:rsidRPr="004B535A" w14:paraId="15ACFB47" w14:textId="77777777" w:rsidTr="003868E4">
        <w:trPr>
          <w:jc w:val="right"/>
        </w:trPr>
        <w:tc>
          <w:tcPr>
            <w:tcW w:w="1620" w:type="dxa"/>
            <w:tcBorders>
              <w:top w:val="nil"/>
              <w:bottom w:val="single" w:sz="4" w:space="0" w:color="auto"/>
            </w:tcBorders>
            <w:shd w:val="clear" w:color="auto" w:fill="auto"/>
            <w:vAlign w:val="bottom"/>
          </w:tcPr>
          <w:p w14:paraId="372BA44F"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rPr>
                <w:sz w:val="18"/>
                <w:szCs w:val="18"/>
              </w:rPr>
            </w:pPr>
            <w:r w:rsidRPr="004B535A">
              <w:rPr>
                <w:sz w:val="18"/>
                <w:szCs w:val="18"/>
              </w:rPr>
              <w:t>HCFC-22</w:t>
            </w:r>
          </w:p>
        </w:tc>
        <w:tc>
          <w:tcPr>
            <w:tcW w:w="1228" w:type="dxa"/>
            <w:tcBorders>
              <w:top w:val="nil"/>
              <w:bottom w:val="single" w:sz="4" w:space="0" w:color="auto"/>
            </w:tcBorders>
            <w:shd w:val="clear" w:color="auto" w:fill="auto"/>
            <w:vAlign w:val="bottom"/>
          </w:tcPr>
          <w:p w14:paraId="204B3C00"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t>105.6</w:t>
            </w:r>
          </w:p>
        </w:tc>
        <w:tc>
          <w:tcPr>
            <w:tcW w:w="1099" w:type="dxa"/>
            <w:tcBorders>
              <w:top w:val="nil"/>
              <w:bottom w:val="single" w:sz="4" w:space="0" w:color="auto"/>
            </w:tcBorders>
            <w:shd w:val="clear" w:color="auto" w:fill="auto"/>
            <w:vAlign w:val="bottom"/>
          </w:tcPr>
          <w:p w14:paraId="0149828D"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t>112.2</w:t>
            </w:r>
          </w:p>
        </w:tc>
        <w:tc>
          <w:tcPr>
            <w:tcW w:w="1098" w:type="dxa"/>
            <w:tcBorders>
              <w:top w:val="nil"/>
              <w:bottom w:val="single" w:sz="4" w:space="0" w:color="auto"/>
            </w:tcBorders>
            <w:shd w:val="clear" w:color="auto" w:fill="auto"/>
            <w:vAlign w:val="bottom"/>
          </w:tcPr>
          <w:p w14:paraId="7C2217B0"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p>
        </w:tc>
        <w:tc>
          <w:tcPr>
            <w:tcW w:w="970" w:type="dxa"/>
            <w:tcBorders>
              <w:top w:val="nil"/>
              <w:bottom w:val="single" w:sz="4" w:space="0" w:color="auto"/>
            </w:tcBorders>
            <w:shd w:val="clear" w:color="auto" w:fill="auto"/>
            <w:vAlign w:val="bottom"/>
          </w:tcPr>
          <w:p w14:paraId="42F3AB2E"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t>101.69</w:t>
            </w:r>
          </w:p>
        </w:tc>
        <w:tc>
          <w:tcPr>
            <w:tcW w:w="1137" w:type="dxa"/>
            <w:tcBorders>
              <w:top w:val="nil"/>
              <w:bottom w:val="single" w:sz="4" w:space="0" w:color="auto"/>
            </w:tcBorders>
            <w:shd w:val="clear" w:color="auto" w:fill="auto"/>
            <w:vAlign w:val="bottom"/>
          </w:tcPr>
          <w:p w14:paraId="18FAECD7"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right"/>
              <w:rPr>
                <w:sz w:val="18"/>
                <w:szCs w:val="18"/>
              </w:rPr>
            </w:pPr>
            <w:r w:rsidRPr="004B535A">
              <w:rPr>
                <w:sz w:val="18"/>
                <w:szCs w:val="18"/>
              </w:rPr>
              <w:t>108.22</w:t>
            </w:r>
          </w:p>
        </w:tc>
        <w:tc>
          <w:tcPr>
            <w:tcW w:w="1210" w:type="dxa"/>
            <w:tcBorders>
              <w:top w:val="nil"/>
              <w:bottom w:val="single" w:sz="4" w:space="0" w:color="auto"/>
            </w:tcBorders>
            <w:shd w:val="clear" w:color="auto" w:fill="auto"/>
            <w:vAlign w:val="bottom"/>
          </w:tcPr>
          <w:p w14:paraId="6D5CA182" w14:textId="77777777" w:rsidR="005F7162" w:rsidRPr="004B535A" w:rsidRDefault="005F7162" w:rsidP="009373BC">
            <w:pPr>
              <w:keepNext/>
              <w:keepLines/>
              <w:tabs>
                <w:tab w:val="clear" w:pos="1247"/>
                <w:tab w:val="clear" w:pos="1814"/>
                <w:tab w:val="clear" w:pos="2381"/>
                <w:tab w:val="clear" w:pos="2948"/>
                <w:tab w:val="clear" w:pos="3515"/>
                <w:tab w:val="left" w:pos="624"/>
              </w:tabs>
              <w:spacing w:before="40" w:after="40"/>
              <w:jc w:val="center"/>
              <w:rPr>
                <w:sz w:val="18"/>
                <w:szCs w:val="18"/>
              </w:rPr>
            </w:pPr>
          </w:p>
        </w:tc>
      </w:tr>
      <w:tr w:rsidR="005F7162" w:rsidRPr="004B535A" w14:paraId="7DB545FE" w14:textId="77777777" w:rsidTr="003868E4">
        <w:trPr>
          <w:jc w:val="right"/>
        </w:trPr>
        <w:tc>
          <w:tcPr>
            <w:tcW w:w="1620" w:type="dxa"/>
            <w:tcBorders>
              <w:top w:val="single" w:sz="4" w:space="0" w:color="auto"/>
              <w:bottom w:val="single" w:sz="12" w:space="0" w:color="auto"/>
            </w:tcBorders>
            <w:shd w:val="clear" w:color="auto" w:fill="auto"/>
            <w:vAlign w:val="bottom"/>
          </w:tcPr>
          <w:p w14:paraId="2830A0CC" w14:textId="77777777" w:rsidR="005F7162" w:rsidRPr="004B535A" w:rsidRDefault="005F7162" w:rsidP="005F7162">
            <w:pPr>
              <w:tabs>
                <w:tab w:val="clear" w:pos="1247"/>
                <w:tab w:val="clear" w:pos="1814"/>
                <w:tab w:val="clear" w:pos="2381"/>
                <w:tab w:val="clear" w:pos="2948"/>
                <w:tab w:val="clear" w:pos="3515"/>
                <w:tab w:val="left" w:pos="624"/>
              </w:tabs>
              <w:spacing w:before="40" w:after="40"/>
              <w:rPr>
                <w:b/>
                <w:sz w:val="18"/>
                <w:szCs w:val="18"/>
              </w:rPr>
            </w:pPr>
            <w:r w:rsidRPr="004B535A">
              <w:rPr>
                <w:b/>
                <w:sz w:val="18"/>
                <w:szCs w:val="18"/>
              </w:rPr>
              <w:t>Total</w:t>
            </w:r>
          </w:p>
        </w:tc>
        <w:tc>
          <w:tcPr>
            <w:tcW w:w="1228" w:type="dxa"/>
            <w:tcBorders>
              <w:top w:val="single" w:sz="4" w:space="0" w:color="auto"/>
              <w:bottom w:val="single" w:sz="12" w:space="0" w:color="auto"/>
            </w:tcBorders>
            <w:shd w:val="clear" w:color="auto" w:fill="auto"/>
            <w:vAlign w:val="bottom"/>
          </w:tcPr>
          <w:p w14:paraId="6C9568F4" w14:textId="77777777" w:rsidR="005F7162" w:rsidRPr="004B535A" w:rsidRDefault="005F7162" w:rsidP="005F7162">
            <w:pPr>
              <w:tabs>
                <w:tab w:val="clear" w:pos="1247"/>
                <w:tab w:val="clear" w:pos="1814"/>
                <w:tab w:val="clear" w:pos="2381"/>
                <w:tab w:val="clear" w:pos="2948"/>
                <w:tab w:val="clear" w:pos="3515"/>
                <w:tab w:val="left" w:pos="624"/>
              </w:tabs>
              <w:spacing w:before="40" w:after="40"/>
              <w:jc w:val="right"/>
              <w:rPr>
                <w:b/>
                <w:sz w:val="18"/>
                <w:szCs w:val="18"/>
              </w:rPr>
            </w:pPr>
            <w:r w:rsidRPr="004B535A">
              <w:rPr>
                <w:b/>
                <w:sz w:val="18"/>
                <w:szCs w:val="18"/>
              </w:rPr>
              <w:t>239.8</w:t>
            </w:r>
          </w:p>
        </w:tc>
        <w:tc>
          <w:tcPr>
            <w:tcW w:w="1099" w:type="dxa"/>
            <w:tcBorders>
              <w:top w:val="single" w:sz="4" w:space="0" w:color="auto"/>
              <w:bottom w:val="single" w:sz="12" w:space="0" w:color="auto"/>
            </w:tcBorders>
            <w:shd w:val="clear" w:color="auto" w:fill="auto"/>
            <w:vAlign w:val="bottom"/>
          </w:tcPr>
          <w:p w14:paraId="3AE85758" w14:textId="77777777" w:rsidR="005F7162" w:rsidRPr="004B535A" w:rsidRDefault="005F7162" w:rsidP="005F7162">
            <w:pPr>
              <w:tabs>
                <w:tab w:val="clear" w:pos="1247"/>
                <w:tab w:val="clear" w:pos="1814"/>
                <w:tab w:val="clear" w:pos="2381"/>
                <w:tab w:val="clear" w:pos="2948"/>
                <w:tab w:val="clear" w:pos="3515"/>
                <w:tab w:val="left" w:pos="624"/>
              </w:tabs>
              <w:spacing w:before="40" w:after="40"/>
              <w:jc w:val="right"/>
              <w:rPr>
                <w:b/>
                <w:sz w:val="18"/>
                <w:szCs w:val="18"/>
              </w:rPr>
            </w:pPr>
            <w:r w:rsidRPr="004B535A">
              <w:rPr>
                <w:b/>
                <w:sz w:val="18"/>
                <w:szCs w:val="18"/>
              </w:rPr>
              <w:t>255.0</w:t>
            </w:r>
          </w:p>
        </w:tc>
        <w:tc>
          <w:tcPr>
            <w:tcW w:w="1098" w:type="dxa"/>
            <w:tcBorders>
              <w:top w:val="single" w:sz="4" w:space="0" w:color="auto"/>
              <w:bottom w:val="single" w:sz="12" w:space="0" w:color="auto"/>
            </w:tcBorders>
            <w:shd w:val="clear" w:color="auto" w:fill="auto"/>
            <w:vAlign w:val="bottom"/>
          </w:tcPr>
          <w:p w14:paraId="7E6BAACC" w14:textId="77777777" w:rsidR="005F7162" w:rsidRPr="004B535A" w:rsidRDefault="005F7162" w:rsidP="005F7162">
            <w:pPr>
              <w:tabs>
                <w:tab w:val="clear" w:pos="1247"/>
                <w:tab w:val="clear" w:pos="1814"/>
                <w:tab w:val="clear" w:pos="2381"/>
                <w:tab w:val="clear" w:pos="2948"/>
                <w:tab w:val="clear" w:pos="3515"/>
                <w:tab w:val="left" w:pos="624"/>
              </w:tabs>
              <w:spacing w:before="40" w:after="40"/>
              <w:jc w:val="right"/>
              <w:rPr>
                <w:b/>
                <w:sz w:val="18"/>
                <w:szCs w:val="18"/>
              </w:rPr>
            </w:pPr>
            <w:r w:rsidRPr="004B535A">
              <w:rPr>
                <w:b/>
                <w:sz w:val="18"/>
                <w:szCs w:val="18"/>
              </w:rPr>
              <w:t>247.4</w:t>
            </w:r>
          </w:p>
        </w:tc>
        <w:tc>
          <w:tcPr>
            <w:tcW w:w="970" w:type="dxa"/>
            <w:tcBorders>
              <w:top w:val="single" w:sz="4" w:space="0" w:color="auto"/>
              <w:bottom w:val="single" w:sz="12" w:space="0" w:color="auto"/>
            </w:tcBorders>
            <w:shd w:val="clear" w:color="auto" w:fill="auto"/>
            <w:vAlign w:val="bottom"/>
          </w:tcPr>
          <w:p w14:paraId="03846087" w14:textId="77777777" w:rsidR="005F7162" w:rsidRPr="004B535A" w:rsidRDefault="005F7162" w:rsidP="005F7162">
            <w:pPr>
              <w:tabs>
                <w:tab w:val="clear" w:pos="1247"/>
                <w:tab w:val="clear" w:pos="1814"/>
                <w:tab w:val="clear" w:pos="2381"/>
                <w:tab w:val="clear" w:pos="2948"/>
                <w:tab w:val="clear" w:pos="3515"/>
                <w:tab w:val="left" w:pos="624"/>
              </w:tabs>
              <w:spacing w:before="40" w:after="40"/>
              <w:jc w:val="right"/>
              <w:rPr>
                <w:b/>
                <w:sz w:val="18"/>
                <w:szCs w:val="18"/>
              </w:rPr>
            </w:pPr>
            <w:r w:rsidRPr="004B535A">
              <w:rPr>
                <w:b/>
                <w:sz w:val="18"/>
                <w:szCs w:val="18"/>
              </w:rPr>
              <w:t>240.51</w:t>
            </w:r>
          </w:p>
        </w:tc>
        <w:tc>
          <w:tcPr>
            <w:tcW w:w="1137" w:type="dxa"/>
            <w:tcBorders>
              <w:top w:val="single" w:sz="4" w:space="0" w:color="auto"/>
              <w:bottom w:val="single" w:sz="12" w:space="0" w:color="auto"/>
            </w:tcBorders>
            <w:shd w:val="clear" w:color="auto" w:fill="auto"/>
            <w:vAlign w:val="bottom"/>
          </w:tcPr>
          <w:p w14:paraId="0877DDCF" w14:textId="77777777" w:rsidR="005F7162" w:rsidRPr="004B535A" w:rsidRDefault="005F7162" w:rsidP="005F7162">
            <w:pPr>
              <w:tabs>
                <w:tab w:val="clear" w:pos="1247"/>
                <w:tab w:val="clear" w:pos="1814"/>
                <w:tab w:val="clear" w:pos="2381"/>
                <w:tab w:val="clear" w:pos="2948"/>
                <w:tab w:val="clear" w:pos="3515"/>
                <w:tab w:val="left" w:pos="624"/>
              </w:tabs>
              <w:spacing w:before="40" w:after="40"/>
              <w:jc w:val="right"/>
              <w:rPr>
                <w:b/>
                <w:sz w:val="18"/>
                <w:szCs w:val="18"/>
              </w:rPr>
            </w:pPr>
            <w:r w:rsidRPr="004B535A">
              <w:rPr>
                <w:b/>
                <w:sz w:val="18"/>
                <w:szCs w:val="18"/>
              </w:rPr>
              <w:t>255.70</w:t>
            </w:r>
          </w:p>
        </w:tc>
        <w:tc>
          <w:tcPr>
            <w:tcW w:w="1210" w:type="dxa"/>
            <w:tcBorders>
              <w:top w:val="single" w:sz="4" w:space="0" w:color="auto"/>
              <w:bottom w:val="single" w:sz="12" w:space="0" w:color="auto"/>
            </w:tcBorders>
            <w:shd w:val="clear" w:color="auto" w:fill="auto"/>
            <w:vAlign w:val="bottom"/>
          </w:tcPr>
          <w:p w14:paraId="7984FB9A" w14:textId="77777777" w:rsidR="005F7162" w:rsidRPr="004B535A" w:rsidRDefault="005F7162" w:rsidP="005F7162">
            <w:pPr>
              <w:tabs>
                <w:tab w:val="clear" w:pos="1247"/>
                <w:tab w:val="clear" w:pos="1814"/>
                <w:tab w:val="clear" w:pos="2381"/>
                <w:tab w:val="clear" w:pos="2948"/>
                <w:tab w:val="clear" w:pos="3515"/>
                <w:tab w:val="left" w:pos="624"/>
              </w:tabs>
              <w:spacing w:before="40" w:after="40"/>
              <w:jc w:val="center"/>
              <w:rPr>
                <w:b/>
                <w:sz w:val="18"/>
                <w:szCs w:val="18"/>
              </w:rPr>
            </w:pPr>
            <w:r w:rsidRPr="004B535A">
              <w:rPr>
                <w:b/>
                <w:sz w:val="18"/>
                <w:szCs w:val="18"/>
              </w:rPr>
              <w:t>248.11</w:t>
            </w:r>
          </w:p>
        </w:tc>
      </w:tr>
    </w:tbl>
    <w:p w14:paraId="2E4B15A3" w14:textId="77777777" w:rsidR="005F7162" w:rsidRPr="004B535A" w:rsidRDefault="00D03DAC" w:rsidP="005F7162">
      <w:pPr>
        <w:tabs>
          <w:tab w:val="clear" w:pos="1247"/>
          <w:tab w:val="left" w:pos="4082"/>
        </w:tabs>
        <w:spacing w:after="120"/>
        <w:ind w:left="1134"/>
        <w:rPr>
          <w:bCs/>
          <w:i/>
          <w:iCs/>
          <w:sz w:val="17"/>
          <w:szCs w:val="17"/>
        </w:rPr>
      </w:pPr>
      <w:r w:rsidRPr="004B535A">
        <w:rPr>
          <w:bCs/>
          <w:color w:val="000000"/>
          <w:sz w:val="16"/>
          <w:szCs w:val="16"/>
          <w:vertAlign w:val="superscript"/>
        </w:rPr>
        <w:t>a</w:t>
      </w:r>
      <w:r w:rsidRPr="004B535A">
        <w:rPr>
          <w:bCs/>
          <w:color w:val="000000"/>
          <w:sz w:val="16"/>
          <w:szCs w:val="16"/>
        </w:rPr>
        <w:t xml:space="preserve"> Hydrochlorofluorocarbon baselines established after the Twenty-Third Meeting of the Parties are presented using two decimal places</w:t>
      </w:r>
      <w:r w:rsidR="00446F9E" w:rsidRPr="004B535A">
        <w:rPr>
          <w:bCs/>
          <w:color w:val="000000"/>
          <w:sz w:val="16"/>
          <w:szCs w:val="16"/>
        </w:rPr>
        <w:t>,</w:t>
      </w:r>
      <w:r w:rsidRPr="004B535A">
        <w:rPr>
          <w:bCs/>
          <w:color w:val="000000"/>
          <w:sz w:val="16"/>
          <w:szCs w:val="16"/>
        </w:rPr>
        <w:t xml:space="preserve"> whereas those established before are presented using one decimal place (see decision XXIII/30)</w:t>
      </w:r>
      <w:r w:rsidR="002065EB" w:rsidRPr="004B535A">
        <w:rPr>
          <w:bCs/>
          <w:color w:val="000000"/>
          <w:sz w:val="16"/>
          <w:szCs w:val="16"/>
        </w:rPr>
        <w:t>.</w:t>
      </w:r>
    </w:p>
    <w:p w14:paraId="1189EB81" w14:textId="77777777" w:rsidR="005F7162" w:rsidRPr="004B535A" w:rsidRDefault="005F7162" w:rsidP="005F7162">
      <w:pPr>
        <w:tabs>
          <w:tab w:val="clear" w:pos="1247"/>
          <w:tab w:val="clear" w:pos="1814"/>
          <w:tab w:val="clear" w:pos="2381"/>
          <w:tab w:val="clear" w:pos="2948"/>
          <w:tab w:val="clear" w:pos="3515"/>
          <w:tab w:val="left" w:pos="624"/>
        </w:tabs>
        <w:spacing w:after="120"/>
        <w:ind w:left="1247" w:firstLine="624"/>
        <w:jc w:val="right"/>
        <w:rPr>
          <w:b/>
        </w:rPr>
      </w:pPr>
      <w:r w:rsidRPr="004B535A">
        <w:rPr>
          <w:b/>
        </w:rPr>
        <w:t>Recommendation 59/4</w:t>
      </w:r>
    </w:p>
    <w:p w14:paraId="731C6CCE" w14:textId="77777777" w:rsidR="005F7162" w:rsidRPr="004B535A" w:rsidRDefault="005F7162" w:rsidP="008C0BEE">
      <w:pPr>
        <w:pStyle w:val="CH2"/>
      </w:pPr>
      <w:r w:rsidRPr="004B535A">
        <w:tab/>
        <w:t>B.</w:t>
      </w:r>
      <w:r w:rsidRPr="004B535A">
        <w:tab/>
        <w:t>Philippines</w:t>
      </w:r>
    </w:p>
    <w:p w14:paraId="24871CD7"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representative of the Secretariat explained that the Philippines had requested a change in its HCFC consumption data for the baseline years 2009 and 2010. During the implementation of </w:t>
      </w:r>
      <w:r w:rsidR="00F803D4" w:rsidRPr="004B535A">
        <w:t xml:space="preserve">the first </w:t>
      </w:r>
      <w:r w:rsidRPr="004B535A">
        <w:t>stage of the party’s HCFC phase-out management plan, discrepancies had been noted between verified HCFC consumption data and the data reported under Article 7. Further investigation had revealed that the original data reported had been based on pre-shipment import clearan</w:t>
      </w:r>
      <w:r w:rsidR="00686171" w:rsidRPr="004B535A">
        <w:t>ces issued to importers, but tho</w:t>
      </w:r>
      <w:r w:rsidRPr="004B535A">
        <w:t xml:space="preserve">se allocations were not always used. The revised data </w:t>
      </w:r>
      <w:r w:rsidR="00686171" w:rsidRPr="004B535A">
        <w:t>were</w:t>
      </w:r>
      <w:r w:rsidRPr="004B535A">
        <w:t xml:space="preserve"> based on records of the actual arrival of shipments of HCFCs.</w:t>
      </w:r>
    </w:p>
    <w:p w14:paraId="6E6A1D46" w14:textId="127474AF"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 xml:space="preserve">The party had provided extensive supporting documentation in the form of copies of several hundred customs documents, and had clarified issues at the request of the Secretariat. As a result, the party’s calculation had been adjusted, with the </w:t>
      </w:r>
      <w:r w:rsidR="00EB0B0F" w:rsidRPr="004B535A">
        <w:t xml:space="preserve">agreement of the </w:t>
      </w:r>
      <w:r w:rsidRPr="004B535A">
        <w:t>pa</w:t>
      </w:r>
      <w:r w:rsidR="00EB0B0F" w:rsidRPr="004B535A">
        <w:t>rty</w:t>
      </w:r>
      <w:r w:rsidRPr="004B535A">
        <w:t xml:space="preserve">. The net effect of the proposed revisions would reduce the </w:t>
      </w:r>
      <w:r w:rsidR="00F803D4" w:rsidRPr="004B535A">
        <w:t xml:space="preserve">party’s </w:t>
      </w:r>
      <w:r w:rsidRPr="004B535A">
        <w:t>baseline consumption from 209.4 ODP-tonnes to 161.97</w:t>
      </w:r>
      <w:r w:rsidR="00EB0103" w:rsidRPr="004B535A">
        <w:t> </w:t>
      </w:r>
      <w:r w:rsidRPr="004B535A">
        <w:t>ODP</w:t>
      </w:r>
      <w:r w:rsidR="00846816" w:rsidRPr="004B535A">
        <w:noBreakHyphen/>
      </w:r>
      <w:r w:rsidRPr="004B535A">
        <w:t>tonnes.</w:t>
      </w:r>
    </w:p>
    <w:p w14:paraId="77F1F6F8"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A representative of the Philippines attended the meeting at the invitation of the Committee. Responding to questions, he confirmed that consumption data to be reported in the future would also be based on records of actual imports from customs and revenue collection</w:t>
      </w:r>
      <w:r w:rsidR="00F803D4" w:rsidRPr="004B535A">
        <w:t xml:space="preserve"> authorities</w:t>
      </w:r>
      <w:r w:rsidRPr="004B535A">
        <w:t xml:space="preserve"> rather than on import clearances, and should therefore be accurate.</w:t>
      </w:r>
    </w:p>
    <w:p w14:paraId="189C81B5"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The Committee therefore agreed</w:t>
      </w:r>
      <w:r w:rsidR="00686171" w:rsidRPr="004B535A">
        <w:t xml:space="preserve"> as follows</w:t>
      </w:r>
      <w:r w:rsidRPr="004B535A">
        <w:t>:</w:t>
      </w:r>
    </w:p>
    <w:p w14:paraId="4728A8BD" w14:textId="77777777" w:rsidR="005F7162" w:rsidRPr="004B535A" w:rsidRDefault="005F7162" w:rsidP="005F7162">
      <w:pPr>
        <w:tabs>
          <w:tab w:val="clear" w:pos="1247"/>
          <w:tab w:val="clear" w:pos="1814"/>
          <w:tab w:val="clear" w:pos="2381"/>
          <w:tab w:val="clear" w:pos="2948"/>
          <w:tab w:val="clear" w:pos="3515"/>
          <w:tab w:val="left" w:pos="624"/>
        </w:tabs>
        <w:spacing w:after="120"/>
        <w:ind w:left="1260" w:firstLine="630"/>
      </w:pPr>
      <w:r w:rsidRPr="004B535A">
        <w:rPr>
          <w:i/>
        </w:rPr>
        <w:t>Noting with appreciation</w:t>
      </w:r>
      <w:r w:rsidRPr="004B535A">
        <w:t xml:space="preserve"> the information submitted by the Philippines in support of its request to revise its existing consumption data for the years 2009 and 2010 for the Annex C, group I</w:t>
      </w:r>
      <w:r w:rsidR="009B30AE" w:rsidRPr="004B535A">
        <w:t>,</w:t>
      </w:r>
      <w:r w:rsidRPr="004B535A">
        <w:t xml:space="preserve"> controlled substances (hydrochlorofluorocarbons),</w:t>
      </w:r>
    </w:p>
    <w:p w14:paraId="7DDE2609" w14:textId="77777777" w:rsidR="005F7162" w:rsidRPr="004B535A" w:rsidRDefault="005F7162" w:rsidP="005F7162">
      <w:pPr>
        <w:tabs>
          <w:tab w:val="clear" w:pos="1247"/>
          <w:tab w:val="clear" w:pos="1814"/>
          <w:tab w:val="clear" w:pos="2381"/>
          <w:tab w:val="clear" w:pos="2948"/>
          <w:tab w:val="clear" w:pos="3515"/>
          <w:tab w:val="left" w:pos="624"/>
        </w:tabs>
        <w:spacing w:after="120"/>
        <w:ind w:left="1260" w:firstLine="630"/>
      </w:pPr>
      <w:r w:rsidRPr="004B535A">
        <w:rPr>
          <w:i/>
        </w:rPr>
        <w:t xml:space="preserve">Noting </w:t>
      </w:r>
      <w:r w:rsidRPr="004B535A">
        <w:t>that decision XV/19 sets out the methodology for submission of requests for revision of baseline data,</w:t>
      </w:r>
    </w:p>
    <w:p w14:paraId="4E661D22" w14:textId="77777777" w:rsidR="005F7162" w:rsidRPr="004B535A" w:rsidRDefault="005F7162" w:rsidP="005F7162">
      <w:pPr>
        <w:tabs>
          <w:tab w:val="clear" w:pos="1247"/>
          <w:tab w:val="clear" w:pos="1814"/>
          <w:tab w:val="clear" w:pos="2381"/>
          <w:tab w:val="clear" w:pos="2948"/>
          <w:tab w:val="clear" w:pos="3515"/>
          <w:tab w:val="left" w:pos="624"/>
        </w:tabs>
        <w:spacing w:after="120"/>
        <w:ind w:left="1260" w:firstLine="630"/>
      </w:pPr>
      <w:r w:rsidRPr="004B535A">
        <w:rPr>
          <w:i/>
        </w:rPr>
        <w:t xml:space="preserve">Noting with appreciation </w:t>
      </w:r>
      <w:r w:rsidRPr="004B535A">
        <w:t xml:space="preserve">the efforts made by the Philippines to fulfil the information requirements of decision XV/19, </w:t>
      </w:r>
    </w:p>
    <w:p w14:paraId="3E78708D" w14:textId="62FB541B" w:rsidR="005F7162" w:rsidRPr="004B535A" w:rsidRDefault="005F7162" w:rsidP="005F7162">
      <w:pPr>
        <w:tabs>
          <w:tab w:val="clear" w:pos="1247"/>
          <w:tab w:val="clear" w:pos="1814"/>
          <w:tab w:val="clear" w:pos="2381"/>
          <w:tab w:val="clear" w:pos="2948"/>
          <w:tab w:val="clear" w:pos="3515"/>
          <w:tab w:val="left" w:pos="624"/>
        </w:tabs>
        <w:spacing w:after="120"/>
        <w:ind w:left="1260" w:firstLine="630"/>
      </w:pPr>
      <w:r w:rsidRPr="004B535A">
        <w:t xml:space="preserve">To forward for consideration by the Twenty-Ninth Meeting of the Parties the draft decision set </w:t>
      </w:r>
      <w:r w:rsidR="00686171" w:rsidRPr="004B535A">
        <w:t>out in section D of a</w:t>
      </w:r>
      <w:r w:rsidRPr="004B535A">
        <w:t>nnex I to the present report, by which the Meeting of the Parties would approve the request by the Philippines to revise its consumption data for hydrochlorofluorocarbons for the baseline years 2009 and 2010 to 162.98 ODP</w:t>
      </w:r>
      <w:r w:rsidR="009B30AE" w:rsidRPr="004B535A">
        <w:t>-</w:t>
      </w:r>
      <w:r w:rsidRPr="004B535A">
        <w:t>tonnes and 160.96 ODP</w:t>
      </w:r>
      <w:r w:rsidR="009B30AE" w:rsidRPr="004B535A">
        <w:t>-</w:t>
      </w:r>
      <w:r w:rsidRPr="004B535A">
        <w:t>tonnes respectively</w:t>
      </w:r>
      <w:r w:rsidR="00686171" w:rsidRPr="004B535A">
        <w:t>.</w:t>
      </w:r>
    </w:p>
    <w:p w14:paraId="2D82AAD7" w14:textId="77777777" w:rsidR="005F7162" w:rsidRPr="004B535A" w:rsidRDefault="005F7162" w:rsidP="005F7162">
      <w:pPr>
        <w:tabs>
          <w:tab w:val="clear" w:pos="1247"/>
          <w:tab w:val="clear" w:pos="1814"/>
          <w:tab w:val="clear" w:pos="2381"/>
          <w:tab w:val="clear" w:pos="2948"/>
          <w:tab w:val="clear" w:pos="3515"/>
          <w:tab w:val="left" w:pos="624"/>
        </w:tabs>
        <w:spacing w:after="120"/>
        <w:ind w:left="1247" w:firstLine="624"/>
        <w:jc w:val="right"/>
        <w:rPr>
          <w:b/>
        </w:rPr>
      </w:pPr>
      <w:r w:rsidRPr="004B535A">
        <w:rPr>
          <w:b/>
        </w:rPr>
        <w:t>Recommendation 59/5</w:t>
      </w:r>
    </w:p>
    <w:p w14:paraId="08E0B6E0" w14:textId="77777777" w:rsidR="005F7162" w:rsidRPr="004B535A" w:rsidRDefault="005F7162" w:rsidP="008C0BEE">
      <w:pPr>
        <w:pStyle w:val="CH1"/>
      </w:pPr>
      <w:r w:rsidRPr="004B535A">
        <w:t xml:space="preserve"> </w:t>
      </w:r>
      <w:r w:rsidRPr="004B535A">
        <w:tab/>
        <w:t>IX.</w:t>
      </w:r>
      <w:r w:rsidRPr="004B535A">
        <w:tab/>
        <w:t>Other matters</w:t>
      </w:r>
    </w:p>
    <w:p w14:paraId="2FD46EC4"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No other matters were discussed.</w:t>
      </w:r>
    </w:p>
    <w:p w14:paraId="03AA224F" w14:textId="77777777" w:rsidR="005F7162" w:rsidRPr="004B535A" w:rsidRDefault="005F7162" w:rsidP="008C0BEE">
      <w:pPr>
        <w:pStyle w:val="CH1"/>
      </w:pPr>
      <w:r w:rsidRPr="004B535A">
        <w:tab/>
        <w:t>X.</w:t>
      </w:r>
      <w:r w:rsidRPr="004B535A">
        <w:tab/>
        <w:t>Adoption of the recommendations and report of the meeting</w:t>
      </w:r>
    </w:p>
    <w:p w14:paraId="30F2E0A8" w14:textId="77777777" w:rsidR="005F7162" w:rsidRPr="004B535A" w:rsidRDefault="005F7162" w:rsidP="00C92D07">
      <w:pPr>
        <w:pStyle w:val="Normalnumber"/>
        <w:tabs>
          <w:tab w:val="clear" w:pos="1134"/>
          <w:tab w:val="clear" w:pos="1247"/>
          <w:tab w:val="clear" w:pos="1814"/>
          <w:tab w:val="clear" w:pos="2381"/>
          <w:tab w:val="clear" w:pos="2948"/>
          <w:tab w:val="clear" w:pos="3515"/>
          <w:tab w:val="clear" w:pos="4082"/>
          <w:tab w:val="num" w:pos="624"/>
        </w:tabs>
      </w:pPr>
      <w:r w:rsidRPr="004B535A">
        <w:t>The Committee approved the recommendations set out in the present report and agreed to entrust the finalization and approval of the report to the President and the Vice-President, the latter of whom served as Rapporteur for the meeting, working in consultation with the Secretariat.</w:t>
      </w:r>
    </w:p>
    <w:p w14:paraId="70A14A18" w14:textId="77777777" w:rsidR="005F7162" w:rsidRPr="004B535A" w:rsidRDefault="005F7162" w:rsidP="008C0BEE">
      <w:pPr>
        <w:pStyle w:val="CH1"/>
      </w:pPr>
      <w:r w:rsidRPr="004B535A">
        <w:tab/>
        <w:t>XI.</w:t>
      </w:r>
      <w:r w:rsidRPr="004B535A">
        <w:tab/>
        <w:t>Closure of the meeting</w:t>
      </w:r>
    </w:p>
    <w:p w14:paraId="76A47C57" w14:textId="77777777" w:rsidR="00446F9E" w:rsidRPr="004B535A" w:rsidRDefault="005F7162" w:rsidP="00605142">
      <w:pPr>
        <w:pStyle w:val="Normalnumber"/>
        <w:tabs>
          <w:tab w:val="clear" w:pos="1134"/>
          <w:tab w:val="clear" w:pos="1247"/>
          <w:tab w:val="clear" w:pos="1814"/>
          <w:tab w:val="clear" w:pos="2381"/>
          <w:tab w:val="clear" w:pos="2948"/>
          <w:tab w:val="clear" w:pos="3515"/>
          <w:tab w:val="clear" w:pos="4082"/>
          <w:tab w:val="num" w:pos="624"/>
        </w:tabs>
      </w:pPr>
      <w:r w:rsidRPr="004B535A">
        <w:t>Following the customary exchange of courtesies, the President declared the meeting closed at 3.20 p.m. on Saturday, 18 November 2017.</w:t>
      </w:r>
    </w:p>
    <w:p w14:paraId="1F431F1A" w14:textId="77777777" w:rsidR="00446F9E" w:rsidRPr="004B535A" w:rsidRDefault="00446F9E">
      <w:pPr>
        <w:tabs>
          <w:tab w:val="clear" w:pos="1247"/>
          <w:tab w:val="clear" w:pos="1814"/>
          <w:tab w:val="clear" w:pos="2381"/>
          <w:tab w:val="clear" w:pos="2948"/>
          <w:tab w:val="clear" w:pos="3515"/>
        </w:tabs>
      </w:pPr>
      <w:r w:rsidRPr="004B535A">
        <w:br w:type="page"/>
      </w:r>
    </w:p>
    <w:p w14:paraId="6D0CE7E8" w14:textId="77777777" w:rsidR="005F7162" w:rsidRPr="004B535A" w:rsidRDefault="005F7162" w:rsidP="005F7162">
      <w:pPr>
        <w:rPr>
          <w:b/>
          <w:bCs/>
          <w:sz w:val="28"/>
          <w:szCs w:val="22"/>
        </w:rPr>
      </w:pPr>
      <w:r w:rsidRPr="004B535A">
        <w:rPr>
          <w:b/>
          <w:bCs/>
          <w:sz w:val="28"/>
          <w:szCs w:val="22"/>
        </w:rPr>
        <w:lastRenderedPageBreak/>
        <w:t>Annex I</w:t>
      </w:r>
      <w:r w:rsidR="00672F8B" w:rsidRPr="004B535A">
        <w:rPr>
          <w:b/>
          <w:bCs/>
          <w:sz w:val="28"/>
          <w:szCs w:val="22"/>
        </w:rPr>
        <w:t xml:space="preserve"> </w:t>
      </w:r>
    </w:p>
    <w:p w14:paraId="2329A9B7" w14:textId="116FBB29" w:rsidR="0044658C" w:rsidRPr="004B535A" w:rsidRDefault="0044658C" w:rsidP="0044658C">
      <w:pPr>
        <w:pStyle w:val="BBTitle"/>
        <w:tabs>
          <w:tab w:val="left" w:pos="624"/>
          <w:tab w:val="left" w:pos="1871"/>
          <w:tab w:val="left" w:pos="2495"/>
          <w:tab w:val="left" w:pos="3119"/>
        </w:tabs>
      </w:pPr>
      <w:r w:rsidRPr="004B535A">
        <w:t>Draft decisions approved by the Implementation Committee under the Non</w:t>
      </w:r>
      <w:r w:rsidRPr="004B535A">
        <w:noBreakHyphen/>
        <w:t>Compliance Procedure for the Montreal Protocol at its fifty-eighth and fifty-ninth meetings for consideration by the Twenty-Ninth Meeting of the Parties to the Montreal Protocol</w:t>
      </w:r>
      <w:r w:rsidR="0064542A" w:rsidRPr="004B535A">
        <w:t xml:space="preserve"> </w:t>
      </w:r>
    </w:p>
    <w:p w14:paraId="1060A3D4" w14:textId="77777777" w:rsidR="0044658C" w:rsidRPr="004B535A" w:rsidRDefault="0044658C" w:rsidP="00DC2E5E">
      <w:pPr>
        <w:pStyle w:val="NormalNonumber"/>
        <w:tabs>
          <w:tab w:val="clear" w:pos="1247"/>
          <w:tab w:val="clear" w:pos="1814"/>
          <w:tab w:val="clear" w:pos="2381"/>
          <w:tab w:val="clear" w:pos="2948"/>
          <w:tab w:val="clear" w:pos="3515"/>
          <w:tab w:val="clear" w:pos="4082"/>
          <w:tab w:val="left" w:pos="624"/>
        </w:tabs>
        <w:ind w:firstLine="624"/>
        <w:rPr>
          <w:i/>
        </w:rPr>
      </w:pPr>
      <w:r w:rsidRPr="004B535A">
        <w:rPr>
          <w:i/>
        </w:rPr>
        <w:t>The Twenty-Ninth Meeting of the Parties decides:</w:t>
      </w:r>
    </w:p>
    <w:p w14:paraId="6679C764" w14:textId="77777777" w:rsidR="0044658C" w:rsidRPr="004B535A" w:rsidRDefault="00DC2E5E" w:rsidP="00DC2E5E">
      <w:pPr>
        <w:pStyle w:val="CH2"/>
      </w:pPr>
      <w:r w:rsidRPr="004B535A">
        <w:tab/>
        <w:t>A.</w:t>
      </w:r>
      <w:r w:rsidRPr="004B535A">
        <w:tab/>
      </w:r>
      <w:r w:rsidR="0044658C" w:rsidRPr="004B535A">
        <w:t>Draft decision XXIX</w:t>
      </w:r>
      <w:proofErr w:type="gramStart"/>
      <w:r w:rsidR="0044658C" w:rsidRPr="004B535A">
        <w:t>/[</w:t>
      </w:r>
      <w:proofErr w:type="gramEnd"/>
      <w:r w:rsidR="0044658C" w:rsidRPr="004B535A">
        <w:t xml:space="preserve">…]: Data and information provided by the parties in accordance with Article 7 of the Montreal Protocol </w:t>
      </w:r>
    </w:p>
    <w:p w14:paraId="68E33D30" w14:textId="04B38B02" w:rsidR="0044658C" w:rsidRPr="004B535A" w:rsidRDefault="00DC2E5E"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1.</w:t>
      </w:r>
      <w:r w:rsidR="0044658C" w:rsidRPr="004B535A">
        <w:tab/>
        <w:t>To</w:t>
      </w:r>
      <w:r w:rsidR="0044658C" w:rsidRPr="004B535A">
        <w:rPr>
          <w:i/>
        </w:rPr>
        <w:t xml:space="preserve"> </w:t>
      </w:r>
      <w:r w:rsidR="0044658C" w:rsidRPr="004B535A">
        <w:t xml:space="preserve">note with appreciation that </w:t>
      </w:r>
      <w:r w:rsidR="00FA2F70" w:rsidRPr="004B535A">
        <w:t>[196] of the</w:t>
      </w:r>
      <w:r w:rsidR="0044658C" w:rsidRPr="004B535A">
        <w:t xml:space="preserve"> 197 parties that should have reported data for 2016 have done so and that 180 of those parties had reported their data by 30 September </w:t>
      </w:r>
      <w:r w:rsidR="00DC4EBD" w:rsidRPr="004B535A">
        <w:t>201</w:t>
      </w:r>
      <w:r w:rsidR="00DC4EBD">
        <w:t>7</w:t>
      </w:r>
      <w:r w:rsidR="00DC4EBD" w:rsidRPr="004B535A">
        <w:t xml:space="preserve"> </w:t>
      </w:r>
      <w:r w:rsidR="0044658C" w:rsidRPr="004B535A">
        <w:t xml:space="preserve">as required under paragraph 3 of Article 7 of the Montreal Protocol on Substances that Deplete the Ozone Layer; </w:t>
      </w:r>
    </w:p>
    <w:p w14:paraId="70AF4FEC" w14:textId="6B34841F" w:rsidR="0044658C" w:rsidRPr="004B535A" w:rsidRDefault="00DC2E5E"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2.</w:t>
      </w:r>
      <w:r w:rsidR="0044658C" w:rsidRPr="004B535A">
        <w:tab/>
        <w:t>To note with appreciation that 130 of those parties had</w:t>
      </w:r>
      <w:r w:rsidR="00AC6164">
        <w:t xml:space="preserve"> reported their data by 30 June </w:t>
      </w:r>
      <w:r w:rsidR="00DC4EBD" w:rsidRPr="004B535A">
        <w:t>201</w:t>
      </w:r>
      <w:r w:rsidR="00DC4EBD">
        <w:t>7</w:t>
      </w:r>
      <w:r w:rsidR="00DC4EBD" w:rsidRPr="004B535A">
        <w:t xml:space="preserve"> </w:t>
      </w:r>
      <w:r w:rsidR="0044658C" w:rsidRPr="004B535A">
        <w:t>in accordance with decision XV/15 and that reporting by 30 June each year greatly facilitat</w:t>
      </w:r>
      <w:bookmarkStart w:id="2" w:name="_GoBack"/>
      <w:bookmarkEnd w:id="2"/>
      <w:r w:rsidR="0044658C" w:rsidRPr="004B535A">
        <w:t xml:space="preserve">es the work of the Executive Committee of the Multilateral Fund for the Implementation of the Montreal Protocol in assisting parties operating under paragraph 1 of Article 5 of the Protocol to comply with the control measures under the Protocol; </w:t>
      </w:r>
    </w:p>
    <w:p w14:paraId="5E47435B" w14:textId="676D7A6A" w:rsidR="007025C4" w:rsidRPr="004B535A" w:rsidRDefault="007025C4" w:rsidP="007025C4">
      <w:pPr>
        <w:pStyle w:val="Normal-pool"/>
        <w:tabs>
          <w:tab w:val="clear" w:pos="1247"/>
          <w:tab w:val="clear" w:pos="1814"/>
          <w:tab w:val="clear" w:pos="2381"/>
          <w:tab w:val="clear" w:pos="2948"/>
          <w:tab w:val="clear" w:pos="3515"/>
          <w:tab w:val="clear" w:pos="4082"/>
          <w:tab w:val="left" w:pos="624"/>
        </w:tabs>
        <w:spacing w:after="120"/>
        <w:ind w:left="1247" w:firstLine="624"/>
      </w:pPr>
      <w:r w:rsidRPr="004B535A">
        <w:t xml:space="preserve">[3. </w:t>
      </w:r>
      <w:r w:rsidR="00750C73" w:rsidRPr="004B535A">
        <w:tab/>
      </w:r>
      <w:r w:rsidRPr="004B535A">
        <w:t xml:space="preserve">To note that a lack of timely data reporting by parties impedes the effective monitoring and assessment of parties’ compliance with their obligations under the Montreal Protocol; </w:t>
      </w:r>
    </w:p>
    <w:p w14:paraId="6EEFF41D" w14:textId="474D21BB" w:rsidR="007025C4" w:rsidRPr="004B535A" w:rsidRDefault="007025C4" w:rsidP="00B40701">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 xml:space="preserve">4. </w:t>
      </w:r>
      <w:r w:rsidR="00750C73" w:rsidRPr="004B535A">
        <w:tab/>
      </w:r>
      <w:r w:rsidRPr="004B535A">
        <w:t xml:space="preserve">To note with concern that one party, namely the Holy See, had not reported its 2016 data as required under Article 7 of the Montreal Protocol, and that this placed it in </w:t>
      </w:r>
      <w:r w:rsidR="00755953" w:rsidRPr="004B535A">
        <w:br/>
      </w:r>
      <w:r w:rsidRPr="004B535A">
        <w:t xml:space="preserve">non-compliance with its data reporting obligations under the Montreal Protocol until such time as the Secretariat receives its outstanding data; </w:t>
      </w:r>
    </w:p>
    <w:p w14:paraId="0674F89F" w14:textId="1470C820" w:rsidR="007025C4" w:rsidRPr="004B535A" w:rsidRDefault="007025C4" w:rsidP="007025C4">
      <w:pPr>
        <w:pStyle w:val="Normal-pool"/>
        <w:tabs>
          <w:tab w:val="clear" w:pos="1247"/>
          <w:tab w:val="clear" w:pos="1814"/>
          <w:tab w:val="clear" w:pos="2381"/>
          <w:tab w:val="clear" w:pos="2948"/>
          <w:tab w:val="clear" w:pos="3515"/>
          <w:tab w:val="clear" w:pos="4082"/>
          <w:tab w:val="left" w:pos="624"/>
        </w:tabs>
        <w:spacing w:after="120"/>
        <w:ind w:left="1247" w:firstLine="624"/>
      </w:pPr>
      <w:r w:rsidRPr="004B535A">
        <w:t xml:space="preserve">5. </w:t>
      </w:r>
      <w:r w:rsidR="00750C73" w:rsidRPr="004B535A">
        <w:tab/>
      </w:r>
      <w:r w:rsidRPr="004B535A">
        <w:t xml:space="preserve">To urge </w:t>
      </w:r>
      <w:r w:rsidR="00A51732" w:rsidRPr="004B535A">
        <w:t>that</w:t>
      </w:r>
      <w:r w:rsidRPr="004B535A">
        <w:t xml:space="preserve"> party to report the required data to the Secretariat as quickly as possible;</w:t>
      </w:r>
    </w:p>
    <w:p w14:paraId="50729772" w14:textId="68E0792B" w:rsidR="007025C4" w:rsidRPr="004B535A" w:rsidRDefault="007025C4" w:rsidP="007025C4">
      <w:pPr>
        <w:pStyle w:val="Normal-pool"/>
        <w:tabs>
          <w:tab w:val="clear" w:pos="1247"/>
          <w:tab w:val="clear" w:pos="1814"/>
          <w:tab w:val="clear" w:pos="2381"/>
          <w:tab w:val="clear" w:pos="2948"/>
          <w:tab w:val="clear" w:pos="3515"/>
          <w:tab w:val="clear" w:pos="4082"/>
          <w:tab w:val="left" w:pos="624"/>
        </w:tabs>
        <w:spacing w:after="120"/>
        <w:ind w:left="1247" w:firstLine="624"/>
      </w:pPr>
      <w:r w:rsidRPr="004B535A">
        <w:t xml:space="preserve">6. </w:t>
      </w:r>
      <w:r w:rsidR="00750C73" w:rsidRPr="004B535A">
        <w:tab/>
      </w:r>
      <w:r w:rsidRPr="004B535A">
        <w:t xml:space="preserve">To request the Implementation Committee to review the situation of that party at its sixtieth meeting;] </w:t>
      </w:r>
    </w:p>
    <w:p w14:paraId="109A09BF" w14:textId="42D88CDE" w:rsidR="0044658C" w:rsidRPr="004B535A" w:rsidRDefault="007025C4" w:rsidP="00853695">
      <w:pPr>
        <w:tabs>
          <w:tab w:val="clear" w:pos="1814"/>
          <w:tab w:val="clear" w:pos="2381"/>
          <w:tab w:val="clear" w:pos="2948"/>
          <w:tab w:val="clear" w:pos="3515"/>
          <w:tab w:val="left" w:pos="624"/>
          <w:tab w:val="left" w:pos="1871"/>
          <w:tab w:val="left" w:pos="2495"/>
          <w:tab w:val="left" w:pos="3119"/>
        </w:tabs>
        <w:spacing w:after="160"/>
        <w:ind w:left="1253" w:firstLine="619"/>
      </w:pPr>
      <w:r w:rsidRPr="004B535A">
        <w:t>7</w:t>
      </w:r>
      <w:r w:rsidR="00DC2E5E" w:rsidRPr="004B535A">
        <w:t>.</w:t>
      </w:r>
      <w:r w:rsidR="0044658C" w:rsidRPr="004B535A">
        <w:tab/>
        <w:t>To encourage parties to continue to report consumption and production data as soon as figures are available, and preferably by 30 June each year, as agreed in decision XV/15;</w:t>
      </w:r>
    </w:p>
    <w:p w14:paraId="0074A55B" w14:textId="77777777" w:rsidR="0044658C" w:rsidRPr="004B535A" w:rsidRDefault="00DC2E5E" w:rsidP="00DC2E5E">
      <w:pPr>
        <w:pStyle w:val="CH2"/>
      </w:pPr>
      <w:r w:rsidRPr="004B535A">
        <w:tab/>
        <w:t>B.</w:t>
      </w:r>
      <w:r w:rsidRPr="004B535A">
        <w:tab/>
      </w:r>
      <w:r w:rsidR="0044658C" w:rsidRPr="004B535A">
        <w:t>Draft decision XXIX</w:t>
      </w:r>
      <w:proofErr w:type="gramStart"/>
      <w:r w:rsidR="0044658C" w:rsidRPr="004B535A">
        <w:t>/[</w:t>
      </w:r>
      <w:proofErr w:type="gramEnd"/>
      <w:r w:rsidR="0044658C" w:rsidRPr="004B535A">
        <w:t>…]: Non-compliance in 2015 and 2016 with the provisions of the Montreal Protocol governing consumption of the controlled substance in Annex C, group I (hydrochlorofluorocarbons), by Kazakhstan</w:t>
      </w:r>
    </w:p>
    <w:p w14:paraId="15F833AE"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rPr>
          <w:i/>
          <w:iCs/>
        </w:rPr>
        <w:t>Noting</w:t>
      </w:r>
      <w:r w:rsidRPr="004B535A">
        <w:t xml:space="preserve"> that Kazakhstan ratified the Montreal Protocol on Substances that Deplete the Ozone Layer on 26 August 1998, the London Amendment on 26 July 2001, the Copenhagen Amendment and the Montreal Amendment on 28 June 2011 and the Beijing Amendment on 19 September 2014 and is a party not operating under paragraph 1 of Article 5 of the Protocol,</w:t>
      </w:r>
    </w:p>
    <w:p w14:paraId="6DE366B6"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rPr>
          <w:i/>
        </w:rPr>
      </w:pPr>
      <w:r w:rsidRPr="004B535A">
        <w:rPr>
          <w:i/>
        </w:rPr>
        <w:t>Noting also</w:t>
      </w:r>
      <w:r w:rsidRPr="004B535A">
        <w:t xml:space="preserve"> that the Global Environment Facility has approved the amount of [$5,688,452] to enable Kazakhstan to achieve compliance with the Protocol,</w:t>
      </w:r>
      <w:r w:rsidRPr="004B535A">
        <w:rPr>
          <w:i/>
        </w:rPr>
        <w:t xml:space="preserve"> </w:t>
      </w:r>
    </w:p>
    <w:p w14:paraId="47E84AEA"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1.</w:t>
      </w:r>
      <w:r w:rsidRPr="004B535A">
        <w:tab/>
        <w:t>To recall decision XXVI/13, in which the Twenty-Sixth Meeting of the Parties noted that Kazakhstan was in non-compliance with the consumption control measures under the Montreal Protocol on Substances that Deplete the Ozone Layer for hydrochlorofluorocarbons in the years 2011, 2012 and 2013 but also noted with appreciation the plan of action submitted by Kazakhstan to ensure its prompt return to compliance with those measures by 2016;</w:t>
      </w:r>
    </w:p>
    <w:p w14:paraId="358EDFBB"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2.</w:t>
      </w:r>
      <w:r w:rsidRPr="004B535A">
        <w:tab/>
        <w:t xml:space="preserve">To note with concern that Kazakhstan has reported annual consumption of the controlled substance in Annex C, group I (hydrochlorofluorocarbons), for 2015 of 12.1 ODP-tonnes and for 2016 of 5.0 ODP-tonnes, which is inconsistent with its commitment contained in decision XXVI/13 to reduce its consumption of hydrochlorofluorocarbons to no greater than 9.9 ODP-tonnes in 2015 and 3.95 ODP-tonnes in 2016 and with the Protocol’s requirement to limit consumption to no greater than 3.95 ODP-tonnes for each of those years, and that the party was therefore in </w:t>
      </w:r>
      <w:r w:rsidRPr="004B535A">
        <w:lastRenderedPageBreak/>
        <w:t>non</w:t>
      </w:r>
      <w:r w:rsidRPr="004B535A">
        <w:noBreakHyphen/>
        <w:t>compliance with the consumption control measures for that substance under the Protocol for 2015 and 2016;</w:t>
      </w:r>
    </w:p>
    <w:p w14:paraId="4529D1EA"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3.</w:t>
      </w:r>
      <w:r w:rsidRPr="004B535A">
        <w:tab/>
        <w:t>To note with appreciation the submission by Kazakhstan of an explanation for that deviation along with a revised plan of action to return to compliance with the Protocol’s hydrochlorofluorocarbon control measures under which, without prejudice to the operation of the financial mechanism of the Protocol, Kazakhstan specifically commits itself to reducing its consumption of hydrochlorofluorocarbons to no greater than:</w:t>
      </w:r>
    </w:p>
    <w:p w14:paraId="7066D4B2" w14:textId="77777777" w:rsidR="0044658C" w:rsidRPr="004B535A" w:rsidRDefault="009373BC" w:rsidP="009373BC">
      <w:pPr>
        <w:pStyle w:val="NormalWeb"/>
        <w:tabs>
          <w:tab w:val="clear" w:pos="1247"/>
          <w:tab w:val="clear" w:pos="1814"/>
          <w:tab w:val="clear" w:pos="2381"/>
          <w:tab w:val="clear" w:pos="2948"/>
          <w:tab w:val="clear" w:pos="3515"/>
          <w:tab w:val="left" w:pos="624"/>
        </w:tabs>
        <w:spacing w:before="0" w:beforeAutospacing="0" w:after="120" w:afterAutospacing="0"/>
        <w:ind w:left="1247" w:firstLine="624"/>
        <w:rPr>
          <w:rFonts w:ascii="Times New Roman" w:eastAsia="Times New Roman" w:hAnsi="Times New Roman" w:cs="Times New Roman"/>
          <w:sz w:val="20"/>
          <w:szCs w:val="20"/>
          <w:lang w:val="en-GB" w:eastAsia="en-US"/>
        </w:rPr>
      </w:pPr>
      <w:r w:rsidRPr="004B535A">
        <w:rPr>
          <w:rFonts w:ascii="Times New Roman" w:eastAsia="Times New Roman" w:hAnsi="Times New Roman" w:cs="Times New Roman"/>
          <w:sz w:val="20"/>
          <w:szCs w:val="20"/>
          <w:lang w:val="en-GB" w:eastAsia="en-US"/>
        </w:rPr>
        <w:t>(a)</w:t>
      </w:r>
      <w:r w:rsidR="0044658C" w:rsidRPr="004B535A">
        <w:rPr>
          <w:rFonts w:ascii="Times New Roman" w:eastAsia="Times New Roman" w:hAnsi="Times New Roman" w:cs="Times New Roman"/>
          <w:sz w:val="20"/>
          <w:szCs w:val="20"/>
          <w:lang w:val="en-GB" w:eastAsia="en-US"/>
        </w:rPr>
        <w:tab/>
        <w:t>7.5 ODP-tonnes in 2017, 2018 and 2019;</w:t>
      </w:r>
    </w:p>
    <w:p w14:paraId="33FAB6F0" w14:textId="77777777" w:rsidR="0044658C" w:rsidRPr="004B535A" w:rsidRDefault="009373BC" w:rsidP="009373BC">
      <w:pPr>
        <w:pStyle w:val="NormalWeb"/>
        <w:tabs>
          <w:tab w:val="clear" w:pos="1247"/>
          <w:tab w:val="clear" w:pos="1814"/>
          <w:tab w:val="clear" w:pos="2381"/>
          <w:tab w:val="clear" w:pos="2948"/>
          <w:tab w:val="clear" w:pos="3515"/>
          <w:tab w:val="left" w:pos="624"/>
        </w:tabs>
        <w:spacing w:before="0" w:beforeAutospacing="0" w:after="120" w:afterAutospacing="0"/>
        <w:ind w:left="1247" w:firstLine="624"/>
        <w:rPr>
          <w:rFonts w:ascii="Times New Roman" w:eastAsia="Times New Roman" w:hAnsi="Times New Roman" w:cs="Times New Roman"/>
          <w:sz w:val="20"/>
          <w:szCs w:val="20"/>
          <w:lang w:val="en-GB" w:eastAsia="en-US"/>
        </w:rPr>
      </w:pPr>
      <w:r w:rsidRPr="004B535A">
        <w:rPr>
          <w:rFonts w:ascii="Times New Roman" w:eastAsia="Times New Roman" w:hAnsi="Times New Roman" w:cs="Times New Roman"/>
          <w:sz w:val="20"/>
          <w:szCs w:val="20"/>
          <w:lang w:val="en-GB" w:eastAsia="en-US"/>
        </w:rPr>
        <w:t>(b)</w:t>
      </w:r>
      <w:r w:rsidR="0044658C" w:rsidRPr="004B535A">
        <w:rPr>
          <w:rFonts w:ascii="Times New Roman" w:eastAsia="Times New Roman" w:hAnsi="Times New Roman" w:cs="Times New Roman"/>
          <w:sz w:val="20"/>
          <w:szCs w:val="20"/>
          <w:lang w:val="en-GB" w:eastAsia="en-US"/>
        </w:rPr>
        <w:tab/>
        <w:t>6.0 ODP-tonnes in 2020;</w:t>
      </w:r>
    </w:p>
    <w:p w14:paraId="3448DBD9" w14:textId="77777777" w:rsidR="0044658C" w:rsidRPr="004B535A" w:rsidRDefault="009373BC" w:rsidP="009373BC">
      <w:pPr>
        <w:pStyle w:val="NormalWeb"/>
        <w:tabs>
          <w:tab w:val="clear" w:pos="1247"/>
          <w:tab w:val="clear" w:pos="1814"/>
          <w:tab w:val="clear" w:pos="2381"/>
          <w:tab w:val="clear" w:pos="2948"/>
          <w:tab w:val="clear" w:pos="3515"/>
          <w:tab w:val="left" w:pos="624"/>
        </w:tabs>
        <w:spacing w:before="0" w:beforeAutospacing="0" w:after="120" w:afterAutospacing="0"/>
        <w:ind w:left="1247" w:firstLine="624"/>
        <w:rPr>
          <w:rFonts w:ascii="Times New Roman" w:eastAsia="Times New Roman" w:hAnsi="Times New Roman" w:cs="Times New Roman"/>
          <w:sz w:val="20"/>
          <w:szCs w:val="20"/>
          <w:lang w:val="en-GB" w:eastAsia="en-US"/>
        </w:rPr>
      </w:pPr>
      <w:r w:rsidRPr="004B535A">
        <w:rPr>
          <w:rFonts w:ascii="Times New Roman" w:eastAsia="Times New Roman" w:hAnsi="Times New Roman" w:cs="Times New Roman"/>
          <w:sz w:val="20"/>
          <w:szCs w:val="20"/>
          <w:lang w:val="en-GB" w:eastAsia="en-US"/>
        </w:rPr>
        <w:t>(c)</w:t>
      </w:r>
      <w:r w:rsidR="0044658C" w:rsidRPr="004B535A">
        <w:rPr>
          <w:rFonts w:ascii="Times New Roman" w:eastAsia="Times New Roman" w:hAnsi="Times New Roman" w:cs="Times New Roman"/>
          <w:sz w:val="20"/>
          <w:szCs w:val="20"/>
          <w:lang w:val="en-GB" w:eastAsia="en-US"/>
        </w:rPr>
        <w:tab/>
        <w:t>3.95 ODP-tonnes in 2021;</w:t>
      </w:r>
    </w:p>
    <w:p w14:paraId="6A26D252" w14:textId="77777777" w:rsidR="0044658C" w:rsidRPr="004B535A" w:rsidRDefault="0044658C" w:rsidP="009373BC">
      <w:pPr>
        <w:pStyle w:val="NormalWeb"/>
        <w:tabs>
          <w:tab w:val="clear" w:pos="1247"/>
          <w:tab w:val="clear" w:pos="1814"/>
          <w:tab w:val="clear" w:pos="2381"/>
          <w:tab w:val="clear" w:pos="2948"/>
          <w:tab w:val="clear" w:pos="3515"/>
          <w:tab w:val="left" w:pos="624"/>
        </w:tabs>
        <w:spacing w:before="0" w:beforeAutospacing="0" w:after="120" w:afterAutospacing="0"/>
        <w:ind w:left="1247" w:firstLine="624"/>
        <w:rPr>
          <w:rFonts w:ascii="Times New Roman" w:eastAsia="Times New Roman" w:hAnsi="Times New Roman" w:cs="Times New Roman"/>
          <w:sz w:val="20"/>
          <w:szCs w:val="20"/>
          <w:lang w:val="en-GB" w:eastAsia="en-US"/>
        </w:rPr>
      </w:pPr>
      <w:r w:rsidRPr="004B535A">
        <w:rPr>
          <w:rFonts w:ascii="Times New Roman" w:eastAsia="Times New Roman" w:hAnsi="Times New Roman" w:cs="Times New Roman"/>
          <w:sz w:val="20"/>
          <w:szCs w:val="20"/>
          <w:lang w:val="en-GB" w:eastAsia="en-US"/>
        </w:rPr>
        <w:t>(d)</w:t>
      </w:r>
      <w:r w:rsidRPr="004B535A">
        <w:rPr>
          <w:rFonts w:ascii="Times New Roman" w:eastAsia="Times New Roman" w:hAnsi="Times New Roman" w:cs="Times New Roman"/>
          <w:sz w:val="20"/>
          <w:szCs w:val="20"/>
          <w:lang w:val="en-GB" w:eastAsia="en-US"/>
        </w:rPr>
        <w:tab/>
        <w:t>0.5 ODP-tonnes in 2022, 2023 and 2024;</w:t>
      </w:r>
    </w:p>
    <w:p w14:paraId="6E5F805C" w14:textId="08A10342" w:rsidR="0044658C" w:rsidRPr="004B535A" w:rsidRDefault="009373BC" w:rsidP="009373BC">
      <w:pPr>
        <w:pStyle w:val="NormalWeb"/>
        <w:tabs>
          <w:tab w:val="clear" w:pos="1247"/>
          <w:tab w:val="clear" w:pos="1814"/>
          <w:tab w:val="clear" w:pos="2381"/>
          <w:tab w:val="clear" w:pos="2948"/>
          <w:tab w:val="clear" w:pos="3515"/>
          <w:tab w:val="left" w:pos="624"/>
        </w:tabs>
        <w:spacing w:before="0" w:beforeAutospacing="0" w:after="120" w:afterAutospacing="0"/>
        <w:ind w:left="1247" w:firstLine="624"/>
        <w:rPr>
          <w:rFonts w:ascii="Times New Roman" w:eastAsia="Times New Roman" w:hAnsi="Times New Roman" w:cs="Times New Roman"/>
          <w:sz w:val="20"/>
          <w:szCs w:val="20"/>
          <w:lang w:val="en-GB" w:eastAsia="en-US"/>
        </w:rPr>
      </w:pPr>
      <w:r w:rsidRPr="004B535A">
        <w:rPr>
          <w:rFonts w:ascii="Times New Roman" w:eastAsia="Times New Roman" w:hAnsi="Times New Roman" w:cs="Times New Roman"/>
          <w:sz w:val="20"/>
          <w:szCs w:val="20"/>
          <w:lang w:val="en-GB" w:eastAsia="en-US"/>
        </w:rPr>
        <w:t>(e)</w:t>
      </w:r>
      <w:r w:rsidR="0044658C" w:rsidRPr="004B535A">
        <w:rPr>
          <w:rFonts w:ascii="Times New Roman" w:eastAsia="Times New Roman" w:hAnsi="Times New Roman" w:cs="Times New Roman"/>
          <w:sz w:val="20"/>
          <w:szCs w:val="20"/>
          <w:lang w:val="en-GB" w:eastAsia="en-US"/>
        </w:rPr>
        <w:tab/>
        <w:t xml:space="preserve">Zero ODP-tonnes by 1 January 2025, save for consumption restricted to the servicing of refrigeration and air-conditioning equipment </w:t>
      </w:r>
      <w:r w:rsidR="0060673D" w:rsidRPr="004B535A">
        <w:rPr>
          <w:rFonts w:ascii="Times New Roman" w:eastAsia="Times New Roman" w:hAnsi="Times New Roman" w:cs="Times New Roman"/>
          <w:sz w:val="20"/>
          <w:szCs w:val="20"/>
          <w:lang w:val="en-GB" w:eastAsia="en-US"/>
        </w:rPr>
        <w:t xml:space="preserve">during </w:t>
      </w:r>
      <w:r w:rsidR="0044658C" w:rsidRPr="004B535A">
        <w:rPr>
          <w:rFonts w:ascii="Times New Roman" w:eastAsia="Times New Roman" w:hAnsi="Times New Roman" w:cs="Times New Roman"/>
          <w:sz w:val="20"/>
          <w:szCs w:val="20"/>
          <w:lang w:val="en-GB" w:eastAsia="en-US"/>
        </w:rPr>
        <w:t>the period from</w:t>
      </w:r>
      <w:r w:rsidR="0060673D" w:rsidRPr="004B535A">
        <w:rPr>
          <w:rFonts w:ascii="Times New Roman" w:eastAsia="Times New Roman" w:hAnsi="Times New Roman" w:cs="Times New Roman"/>
          <w:b/>
          <w:sz w:val="20"/>
          <w:szCs w:val="20"/>
          <w:lang w:val="en-GB" w:eastAsia="en-US"/>
        </w:rPr>
        <w:t xml:space="preserve"> </w:t>
      </w:r>
      <w:r w:rsidR="0044658C" w:rsidRPr="004B535A">
        <w:rPr>
          <w:rFonts w:ascii="Times New Roman" w:eastAsia="Times New Roman" w:hAnsi="Times New Roman" w:cs="Times New Roman"/>
          <w:sz w:val="20"/>
          <w:szCs w:val="20"/>
          <w:lang w:val="en-GB" w:eastAsia="en-US"/>
        </w:rPr>
        <w:t>2020 to 2030, as prescribed in the Protocol; </w:t>
      </w:r>
    </w:p>
    <w:p w14:paraId="60CC2AD4"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4.</w:t>
      </w:r>
      <w:r w:rsidRPr="004B535A">
        <w:tab/>
        <w:t>To continue to monitor closely progress by Kazakhstan with regard to the implementation of its plan of action and the phase-out of hydrochlorofluorocarbons, and that, to the degree that the party is working towards and meeting the specific Protocol control measures, it should continue to be treated in the same manner as a party in good standing and, in that regard, should continue to receive international assistance to enable it to meet its commitments in accordance with item A of the indicative list of measures that may be taken by the Meeting of the Parties in respect of non</w:t>
      </w:r>
      <w:r w:rsidRPr="004B535A">
        <w:noBreakHyphen/>
        <w:t>compliance, as set out in annex V to the report of the Fourth Meeting of the Parties;</w:t>
      </w:r>
      <w:r w:rsidRPr="004B535A">
        <w:rPr>
          <w:rStyle w:val="FootnoteReference"/>
        </w:rPr>
        <w:footnoteReference w:id="2"/>
      </w:r>
    </w:p>
    <w:p w14:paraId="1393E5F4" w14:textId="77777777" w:rsidR="0044658C" w:rsidRPr="004B535A" w:rsidRDefault="0044658C" w:rsidP="00853695">
      <w:pPr>
        <w:tabs>
          <w:tab w:val="clear" w:pos="1814"/>
          <w:tab w:val="clear" w:pos="2381"/>
          <w:tab w:val="clear" w:pos="2948"/>
          <w:tab w:val="clear" w:pos="3515"/>
          <w:tab w:val="left" w:pos="624"/>
          <w:tab w:val="left" w:pos="1871"/>
          <w:tab w:val="left" w:pos="2495"/>
          <w:tab w:val="left" w:pos="3119"/>
        </w:tabs>
        <w:spacing w:after="160"/>
        <w:ind w:left="1253" w:firstLine="619"/>
      </w:pPr>
      <w:r w:rsidRPr="004B535A">
        <w:t>5.</w:t>
      </w:r>
      <w:r w:rsidRPr="004B535A">
        <w:tab/>
        <w:t>To caution Kazakhstan, under item B of the indicative list of measures that may be taken by the Meeting of the Parties in respect of non-compliance, that, should it fail to return to compliance, the Meeting of the Parties will consider measures consistent with item C of the indicative list of measures, which allows for the suspension of specific rights and privileges under the Protocol, and that this may include the possibility of actions available under Article 4, such as ensuring that the supply of hydrochlorofluorocarbons that are the subject of non-compliance is ceased so that exporting parties are not contributing to a continuing situation of non-compliance;</w:t>
      </w:r>
    </w:p>
    <w:p w14:paraId="56597186" w14:textId="40EA0F01" w:rsidR="0044658C" w:rsidRPr="004B535A" w:rsidRDefault="00DC2E5E" w:rsidP="00DC2E5E">
      <w:pPr>
        <w:pStyle w:val="CH2"/>
      </w:pPr>
      <w:r w:rsidRPr="004B535A">
        <w:tab/>
      </w:r>
      <w:r w:rsidR="0060673D" w:rsidRPr="004B535A">
        <w:t>C</w:t>
      </w:r>
      <w:r w:rsidRPr="004B535A">
        <w:t>.</w:t>
      </w:r>
      <w:r w:rsidRPr="004B535A">
        <w:tab/>
      </w:r>
      <w:r w:rsidR="0044658C" w:rsidRPr="004B535A">
        <w:t>[Draft decision XXIX</w:t>
      </w:r>
      <w:proofErr w:type="gramStart"/>
      <w:r w:rsidR="0044658C" w:rsidRPr="004B535A">
        <w:t>/[</w:t>
      </w:r>
      <w:proofErr w:type="gramEnd"/>
      <w:r w:rsidR="0044658C" w:rsidRPr="004B535A">
        <w:t>…]: Request for the revision of baseline data by Pakistan</w:t>
      </w:r>
    </w:p>
    <w:p w14:paraId="4065015D"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rPr>
          <w:i/>
        </w:rPr>
        <w:t>Noting</w:t>
      </w:r>
      <w:r w:rsidRPr="004B535A">
        <w:t xml:space="preserve"> that, in decision XIII/15, the Thirteenth Meeting of the Parties decided to advise parties requesting changes in reported baseline data for the base years to present their requests before the Implementation Committee under the Non-Compliance Procedure for the Montreal Protocol, which in turn would work with the Secretariat and the Executive Committee of the Multilateral Fund for the Implementation of the Montreal Protocol to confirm the justification for the changes and present them to the Meeting of the Parties for approval,</w:t>
      </w:r>
    </w:p>
    <w:p w14:paraId="7DF224E6" w14:textId="77777777" w:rsidR="0044658C" w:rsidRPr="004B535A" w:rsidRDefault="0044658C" w:rsidP="0044658C">
      <w:pPr>
        <w:tabs>
          <w:tab w:val="left" w:pos="624"/>
          <w:tab w:val="left" w:pos="1871"/>
          <w:tab w:val="left" w:pos="2495"/>
          <w:tab w:val="left" w:pos="3119"/>
          <w:tab w:val="left" w:pos="4082"/>
        </w:tabs>
        <w:spacing w:after="120"/>
        <w:ind w:left="1247" w:firstLine="624"/>
      </w:pPr>
      <w:r w:rsidRPr="004B535A">
        <w:rPr>
          <w:i/>
        </w:rPr>
        <w:t>Noting also</w:t>
      </w:r>
      <w:r w:rsidRPr="004B535A">
        <w:t xml:space="preserve"> that decision XV/19 sets out the methodology for the submission of such requests,</w:t>
      </w:r>
    </w:p>
    <w:p w14:paraId="4D7E7CC5"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1.</w:t>
      </w:r>
      <w:r w:rsidRPr="004B535A">
        <w:tab/>
        <w:t>That Pakistan has presented sufficient information, in accordance with decision XV/19, to justify its request for the revision of its consumption data for hydrochlorofluorocarbons for the years 2009 and 2010, which are part of the baseline for parties operating under paragraph 1 of Article 5;</w:t>
      </w:r>
    </w:p>
    <w:p w14:paraId="08857D18"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2.</w:t>
      </w:r>
      <w:r w:rsidRPr="004B535A">
        <w:tab/>
        <w:t>To approve the request by Pakistan, and to revise its consumption data for hydrochlorofluorocarbons for the baseline years 2009 and 2010, as indicated in the following table:</w:t>
      </w:r>
    </w:p>
    <w:tbl>
      <w:tblPr>
        <w:tblStyle w:val="TableGrid"/>
        <w:tblW w:w="8335" w:type="dxa"/>
        <w:jc w:val="right"/>
        <w:tblBorders>
          <w:left w:val="none" w:sz="0" w:space="0" w:color="auto"/>
          <w:right w:val="none" w:sz="0" w:space="0" w:color="auto"/>
          <w:insideV w:val="none" w:sz="0" w:space="0" w:color="auto"/>
        </w:tblBorders>
        <w:tblLook w:val="04A0" w:firstRow="1" w:lastRow="0" w:firstColumn="1" w:lastColumn="0" w:noHBand="0" w:noVBand="1"/>
      </w:tblPr>
      <w:tblGrid>
        <w:gridCol w:w="1507"/>
        <w:gridCol w:w="1250"/>
        <w:gridCol w:w="1117"/>
        <w:gridCol w:w="1106"/>
        <w:gridCol w:w="980"/>
        <w:gridCol w:w="1153"/>
        <w:gridCol w:w="1222"/>
      </w:tblGrid>
      <w:tr w:rsidR="0044658C" w:rsidRPr="004B535A" w14:paraId="40BE61B0" w14:textId="77777777" w:rsidTr="003868E4">
        <w:trPr>
          <w:jc w:val="right"/>
        </w:trPr>
        <w:tc>
          <w:tcPr>
            <w:tcW w:w="1516" w:type="dxa"/>
            <w:vMerge w:val="restart"/>
            <w:vAlign w:val="bottom"/>
          </w:tcPr>
          <w:p w14:paraId="041CA7F0" w14:textId="77777777" w:rsidR="0044658C" w:rsidRPr="004B535A" w:rsidRDefault="0044658C" w:rsidP="00A920B2">
            <w:pPr>
              <w:keepNext/>
              <w:keepLines/>
              <w:tabs>
                <w:tab w:val="left" w:pos="624"/>
                <w:tab w:val="left" w:pos="1871"/>
                <w:tab w:val="left" w:pos="2495"/>
                <w:tab w:val="left" w:pos="3119"/>
              </w:tabs>
              <w:spacing w:before="40" w:after="40"/>
              <w:rPr>
                <w:i/>
                <w:sz w:val="18"/>
                <w:szCs w:val="18"/>
              </w:rPr>
            </w:pPr>
            <w:r w:rsidRPr="004B535A">
              <w:rPr>
                <w:i/>
                <w:sz w:val="18"/>
                <w:szCs w:val="18"/>
              </w:rPr>
              <w:lastRenderedPageBreak/>
              <w:t>Substance</w:t>
            </w:r>
          </w:p>
        </w:tc>
        <w:tc>
          <w:tcPr>
            <w:tcW w:w="3524" w:type="dxa"/>
            <w:gridSpan w:val="3"/>
            <w:tcBorders>
              <w:bottom w:val="single" w:sz="4" w:space="0" w:color="auto"/>
            </w:tcBorders>
            <w:vAlign w:val="bottom"/>
          </w:tcPr>
          <w:p w14:paraId="5A6347BA" w14:textId="77777777" w:rsidR="0044658C" w:rsidRPr="004B535A" w:rsidRDefault="0044658C" w:rsidP="00A920B2">
            <w:pPr>
              <w:keepNext/>
              <w:keepLines/>
              <w:tabs>
                <w:tab w:val="left" w:pos="624"/>
                <w:tab w:val="left" w:pos="1871"/>
                <w:tab w:val="left" w:pos="2495"/>
                <w:tab w:val="left" w:pos="3119"/>
              </w:tabs>
              <w:spacing w:before="40" w:after="40"/>
              <w:jc w:val="center"/>
              <w:rPr>
                <w:i/>
                <w:sz w:val="18"/>
                <w:szCs w:val="18"/>
              </w:rPr>
            </w:pPr>
            <w:r w:rsidRPr="004B535A">
              <w:rPr>
                <w:i/>
                <w:sz w:val="18"/>
                <w:szCs w:val="18"/>
              </w:rPr>
              <w:t>Previous hydrochlorofluorocarbon data (ODP-tonnes)</w:t>
            </w:r>
          </w:p>
        </w:tc>
        <w:tc>
          <w:tcPr>
            <w:tcW w:w="3394" w:type="dxa"/>
            <w:gridSpan w:val="3"/>
            <w:tcBorders>
              <w:bottom w:val="single" w:sz="4" w:space="0" w:color="auto"/>
            </w:tcBorders>
            <w:vAlign w:val="bottom"/>
          </w:tcPr>
          <w:p w14:paraId="2DC3847C" w14:textId="77777777" w:rsidR="0044658C" w:rsidRPr="004B535A" w:rsidRDefault="0044658C" w:rsidP="00A920B2">
            <w:pPr>
              <w:keepNext/>
              <w:keepLines/>
              <w:tabs>
                <w:tab w:val="left" w:pos="624"/>
                <w:tab w:val="left" w:pos="1871"/>
                <w:tab w:val="left" w:pos="2495"/>
                <w:tab w:val="left" w:pos="3119"/>
              </w:tabs>
              <w:spacing w:before="40" w:after="40"/>
              <w:jc w:val="center"/>
              <w:rPr>
                <w:i/>
                <w:sz w:val="18"/>
                <w:szCs w:val="18"/>
              </w:rPr>
            </w:pPr>
            <w:r w:rsidRPr="004B535A">
              <w:rPr>
                <w:i/>
                <w:sz w:val="18"/>
                <w:szCs w:val="18"/>
              </w:rPr>
              <w:t xml:space="preserve">New hydrochlorofluorocarbon data </w:t>
            </w:r>
            <w:r w:rsidRPr="004B535A">
              <w:rPr>
                <w:i/>
                <w:sz w:val="18"/>
                <w:szCs w:val="18"/>
              </w:rPr>
              <w:br/>
              <w:t>(ODP-tonnes)</w:t>
            </w:r>
          </w:p>
        </w:tc>
      </w:tr>
      <w:tr w:rsidR="0044658C" w:rsidRPr="004B535A" w14:paraId="2156004B" w14:textId="77777777" w:rsidTr="003868E4">
        <w:trPr>
          <w:jc w:val="right"/>
        </w:trPr>
        <w:tc>
          <w:tcPr>
            <w:tcW w:w="1516" w:type="dxa"/>
            <w:vMerge/>
            <w:tcBorders>
              <w:bottom w:val="single" w:sz="12" w:space="0" w:color="auto"/>
            </w:tcBorders>
            <w:vAlign w:val="bottom"/>
          </w:tcPr>
          <w:p w14:paraId="62B67234" w14:textId="77777777" w:rsidR="0044658C" w:rsidRPr="004B535A" w:rsidRDefault="0044658C" w:rsidP="00A920B2">
            <w:pPr>
              <w:keepNext/>
              <w:keepLines/>
              <w:tabs>
                <w:tab w:val="left" w:pos="624"/>
                <w:tab w:val="left" w:pos="1871"/>
                <w:tab w:val="left" w:pos="2495"/>
                <w:tab w:val="left" w:pos="3119"/>
              </w:tabs>
              <w:spacing w:before="40" w:after="40"/>
              <w:rPr>
                <w:i/>
                <w:sz w:val="18"/>
                <w:szCs w:val="18"/>
              </w:rPr>
            </w:pPr>
          </w:p>
        </w:tc>
        <w:tc>
          <w:tcPr>
            <w:tcW w:w="1274" w:type="dxa"/>
            <w:tcBorders>
              <w:top w:val="single" w:sz="4" w:space="0" w:color="auto"/>
              <w:bottom w:val="single" w:sz="12" w:space="0" w:color="auto"/>
            </w:tcBorders>
            <w:vAlign w:val="bottom"/>
          </w:tcPr>
          <w:p w14:paraId="0C4829DB" w14:textId="77777777" w:rsidR="0044658C" w:rsidRPr="004B535A" w:rsidRDefault="0044658C" w:rsidP="00A920B2">
            <w:pPr>
              <w:keepNext/>
              <w:keepLines/>
              <w:tabs>
                <w:tab w:val="left" w:pos="624"/>
                <w:tab w:val="left" w:pos="1871"/>
                <w:tab w:val="left" w:pos="2495"/>
                <w:tab w:val="left" w:pos="3119"/>
              </w:tabs>
              <w:spacing w:before="40" w:after="40"/>
              <w:jc w:val="right"/>
              <w:rPr>
                <w:i/>
                <w:sz w:val="18"/>
                <w:szCs w:val="18"/>
              </w:rPr>
            </w:pPr>
            <w:r w:rsidRPr="004B535A">
              <w:rPr>
                <w:i/>
                <w:sz w:val="18"/>
                <w:szCs w:val="18"/>
              </w:rPr>
              <w:t>2009</w:t>
            </w:r>
          </w:p>
        </w:tc>
        <w:tc>
          <w:tcPr>
            <w:tcW w:w="1136" w:type="dxa"/>
            <w:tcBorders>
              <w:top w:val="single" w:sz="4" w:space="0" w:color="auto"/>
              <w:bottom w:val="single" w:sz="12" w:space="0" w:color="auto"/>
            </w:tcBorders>
            <w:vAlign w:val="bottom"/>
          </w:tcPr>
          <w:p w14:paraId="477A7ECA" w14:textId="77777777" w:rsidR="0044658C" w:rsidRPr="004B535A" w:rsidRDefault="0044658C" w:rsidP="00A920B2">
            <w:pPr>
              <w:keepNext/>
              <w:keepLines/>
              <w:tabs>
                <w:tab w:val="left" w:pos="624"/>
                <w:tab w:val="left" w:pos="1871"/>
                <w:tab w:val="left" w:pos="2495"/>
                <w:tab w:val="left" w:pos="3119"/>
              </w:tabs>
              <w:spacing w:before="40" w:after="40"/>
              <w:jc w:val="right"/>
              <w:rPr>
                <w:i/>
                <w:sz w:val="18"/>
                <w:szCs w:val="18"/>
              </w:rPr>
            </w:pPr>
            <w:r w:rsidRPr="004B535A">
              <w:rPr>
                <w:i/>
                <w:sz w:val="18"/>
                <w:szCs w:val="18"/>
              </w:rPr>
              <w:t>2010</w:t>
            </w:r>
          </w:p>
        </w:tc>
        <w:tc>
          <w:tcPr>
            <w:tcW w:w="1114" w:type="dxa"/>
            <w:tcBorders>
              <w:top w:val="single" w:sz="4" w:space="0" w:color="auto"/>
              <w:bottom w:val="single" w:sz="12" w:space="0" w:color="auto"/>
            </w:tcBorders>
            <w:vAlign w:val="bottom"/>
          </w:tcPr>
          <w:p w14:paraId="415EE91E" w14:textId="77777777" w:rsidR="0044658C" w:rsidRPr="004B535A" w:rsidRDefault="0044658C" w:rsidP="00A920B2">
            <w:pPr>
              <w:keepNext/>
              <w:keepLines/>
              <w:tabs>
                <w:tab w:val="left" w:pos="624"/>
                <w:tab w:val="left" w:pos="1871"/>
                <w:tab w:val="left" w:pos="2495"/>
                <w:tab w:val="left" w:pos="3119"/>
              </w:tabs>
              <w:spacing w:before="40" w:after="40"/>
              <w:jc w:val="right"/>
              <w:rPr>
                <w:i/>
                <w:sz w:val="18"/>
                <w:szCs w:val="18"/>
              </w:rPr>
            </w:pPr>
            <w:proofErr w:type="spellStart"/>
            <w:r w:rsidRPr="004B535A">
              <w:rPr>
                <w:i/>
                <w:sz w:val="18"/>
                <w:szCs w:val="18"/>
              </w:rPr>
              <w:t>Baseline</w:t>
            </w:r>
            <w:r w:rsidRPr="004B535A">
              <w:rPr>
                <w:i/>
                <w:sz w:val="18"/>
                <w:szCs w:val="18"/>
                <w:vertAlign w:val="superscript"/>
              </w:rPr>
              <w:t>a</w:t>
            </w:r>
            <w:proofErr w:type="spellEnd"/>
            <w:r w:rsidRPr="004B535A">
              <w:rPr>
                <w:i/>
                <w:sz w:val="18"/>
                <w:szCs w:val="18"/>
              </w:rPr>
              <w:t xml:space="preserve"> </w:t>
            </w:r>
          </w:p>
        </w:tc>
        <w:tc>
          <w:tcPr>
            <w:tcW w:w="990" w:type="dxa"/>
            <w:tcBorders>
              <w:top w:val="single" w:sz="4" w:space="0" w:color="auto"/>
              <w:bottom w:val="single" w:sz="12" w:space="0" w:color="auto"/>
            </w:tcBorders>
            <w:vAlign w:val="bottom"/>
          </w:tcPr>
          <w:p w14:paraId="712206A7" w14:textId="77777777" w:rsidR="0044658C" w:rsidRPr="004B535A" w:rsidRDefault="0044658C" w:rsidP="00A920B2">
            <w:pPr>
              <w:keepNext/>
              <w:keepLines/>
              <w:tabs>
                <w:tab w:val="left" w:pos="624"/>
                <w:tab w:val="left" w:pos="1871"/>
                <w:tab w:val="left" w:pos="2495"/>
                <w:tab w:val="left" w:pos="3119"/>
              </w:tabs>
              <w:spacing w:before="40" w:after="40"/>
              <w:jc w:val="right"/>
              <w:rPr>
                <w:i/>
                <w:sz w:val="18"/>
                <w:szCs w:val="18"/>
              </w:rPr>
            </w:pPr>
            <w:r w:rsidRPr="004B535A">
              <w:rPr>
                <w:i/>
                <w:sz w:val="18"/>
                <w:szCs w:val="18"/>
              </w:rPr>
              <w:t>2009</w:t>
            </w:r>
          </w:p>
        </w:tc>
        <w:tc>
          <w:tcPr>
            <w:tcW w:w="1170" w:type="dxa"/>
            <w:tcBorders>
              <w:top w:val="single" w:sz="4" w:space="0" w:color="auto"/>
              <w:bottom w:val="single" w:sz="12" w:space="0" w:color="auto"/>
            </w:tcBorders>
            <w:vAlign w:val="bottom"/>
          </w:tcPr>
          <w:p w14:paraId="41661DF1" w14:textId="77777777" w:rsidR="0044658C" w:rsidRPr="004B535A" w:rsidRDefault="0044658C" w:rsidP="00A920B2">
            <w:pPr>
              <w:keepNext/>
              <w:keepLines/>
              <w:tabs>
                <w:tab w:val="left" w:pos="624"/>
                <w:tab w:val="left" w:pos="1871"/>
                <w:tab w:val="left" w:pos="2495"/>
                <w:tab w:val="left" w:pos="3119"/>
              </w:tabs>
              <w:spacing w:before="40" w:after="40"/>
              <w:jc w:val="right"/>
              <w:rPr>
                <w:i/>
                <w:sz w:val="18"/>
                <w:szCs w:val="18"/>
              </w:rPr>
            </w:pPr>
            <w:r w:rsidRPr="004B535A">
              <w:rPr>
                <w:i/>
                <w:sz w:val="18"/>
                <w:szCs w:val="18"/>
              </w:rPr>
              <w:t>2010</w:t>
            </w:r>
          </w:p>
        </w:tc>
        <w:tc>
          <w:tcPr>
            <w:tcW w:w="1234" w:type="dxa"/>
            <w:tcBorders>
              <w:top w:val="single" w:sz="4" w:space="0" w:color="auto"/>
              <w:bottom w:val="single" w:sz="12" w:space="0" w:color="auto"/>
            </w:tcBorders>
            <w:vAlign w:val="bottom"/>
          </w:tcPr>
          <w:p w14:paraId="05978856" w14:textId="77777777" w:rsidR="0044658C" w:rsidRPr="004B535A" w:rsidRDefault="0044658C" w:rsidP="00A920B2">
            <w:pPr>
              <w:keepNext/>
              <w:keepLines/>
              <w:tabs>
                <w:tab w:val="left" w:pos="624"/>
                <w:tab w:val="left" w:pos="1871"/>
                <w:tab w:val="left" w:pos="2495"/>
                <w:tab w:val="left" w:pos="3119"/>
              </w:tabs>
              <w:spacing w:before="40" w:after="40"/>
              <w:jc w:val="center"/>
              <w:rPr>
                <w:i/>
                <w:sz w:val="18"/>
                <w:szCs w:val="18"/>
              </w:rPr>
            </w:pPr>
            <w:proofErr w:type="spellStart"/>
            <w:r w:rsidRPr="004B535A">
              <w:rPr>
                <w:i/>
                <w:sz w:val="18"/>
                <w:szCs w:val="18"/>
              </w:rPr>
              <w:t>Baseline</w:t>
            </w:r>
            <w:r w:rsidRPr="004B535A">
              <w:rPr>
                <w:i/>
                <w:sz w:val="18"/>
                <w:szCs w:val="18"/>
                <w:vertAlign w:val="superscript"/>
              </w:rPr>
              <w:t>a</w:t>
            </w:r>
            <w:proofErr w:type="spellEnd"/>
          </w:p>
        </w:tc>
      </w:tr>
      <w:tr w:rsidR="0044658C" w:rsidRPr="004B535A" w14:paraId="18DF9226" w14:textId="77777777" w:rsidTr="003868E4">
        <w:trPr>
          <w:jc w:val="right"/>
        </w:trPr>
        <w:tc>
          <w:tcPr>
            <w:tcW w:w="1516" w:type="dxa"/>
            <w:tcBorders>
              <w:top w:val="single" w:sz="12" w:space="0" w:color="auto"/>
              <w:bottom w:val="nil"/>
            </w:tcBorders>
            <w:vAlign w:val="bottom"/>
          </w:tcPr>
          <w:p w14:paraId="7B5607CC" w14:textId="77777777" w:rsidR="0044658C" w:rsidRPr="004B535A" w:rsidRDefault="0044658C" w:rsidP="00A920B2">
            <w:pPr>
              <w:keepNext/>
              <w:keepLines/>
              <w:tabs>
                <w:tab w:val="left" w:pos="624"/>
                <w:tab w:val="left" w:pos="1871"/>
                <w:tab w:val="left" w:pos="2495"/>
                <w:tab w:val="left" w:pos="3119"/>
              </w:tabs>
              <w:spacing w:before="40" w:after="40"/>
              <w:rPr>
                <w:sz w:val="18"/>
                <w:szCs w:val="18"/>
              </w:rPr>
            </w:pPr>
            <w:r w:rsidRPr="004B535A">
              <w:rPr>
                <w:sz w:val="18"/>
                <w:szCs w:val="18"/>
              </w:rPr>
              <w:t>HCFC-141b</w:t>
            </w:r>
          </w:p>
        </w:tc>
        <w:tc>
          <w:tcPr>
            <w:tcW w:w="1274" w:type="dxa"/>
            <w:tcBorders>
              <w:top w:val="single" w:sz="12" w:space="0" w:color="auto"/>
              <w:bottom w:val="nil"/>
            </w:tcBorders>
            <w:vAlign w:val="bottom"/>
          </w:tcPr>
          <w:p w14:paraId="2E76130C"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t>134.2</w:t>
            </w:r>
          </w:p>
        </w:tc>
        <w:tc>
          <w:tcPr>
            <w:tcW w:w="1136" w:type="dxa"/>
            <w:tcBorders>
              <w:top w:val="single" w:sz="12" w:space="0" w:color="auto"/>
              <w:bottom w:val="nil"/>
            </w:tcBorders>
            <w:vAlign w:val="bottom"/>
          </w:tcPr>
          <w:p w14:paraId="02C5899B"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t>142.8</w:t>
            </w:r>
          </w:p>
        </w:tc>
        <w:tc>
          <w:tcPr>
            <w:tcW w:w="1114" w:type="dxa"/>
            <w:tcBorders>
              <w:top w:val="single" w:sz="12" w:space="0" w:color="auto"/>
              <w:bottom w:val="nil"/>
            </w:tcBorders>
            <w:vAlign w:val="bottom"/>
          </w:tcPr>
          <w:p w14:paraId="6F3CB567"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p>
        </w:tc>
        <w:tc>
          <w:tcPr>
            <w:tcW w:w="990" w:type="dxa"/>
            <w:tcBorders>
              <w:top w:val="single" w:sz="12" w:space="0" w:color="auto"/>
              <w:bottom w:val="nil"/>
            </w:tcBorders>
            <w:vAlign w:val="bottom"/>
          </w:tcPr>
          <w:p w14:paraId="0708362C"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t>134.20</w:t>
            </w:r>
          </w:p>
        </w:tc>
        <w:tc>
          <w:tcPr>
            <w:tcW w:w="1170" w:type="dxa"/>
            <w:tcBorders>
              <w:top w:val="single" w:sz="12" w:space="0" w:color="auto"/>
              <w:bottom w:val="nil"/>
            </w:tcBorders>
            <w:vAlign w:val="bottom"/>
          </w:tcPr>
          <w:p w14:paraId="6112E2DD"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t>142.80</w:t>
            </w:r>
          </w:p>
        </w:tc>
        <w:tc>
          <w:tcPr>
            <w:tcW w:w="1234" w:type="dxa"/>
            <w:tcBorders>
              <w:top w:val="single" w:sz="12" w:space="0" w:color="auto"/>
              <w:bottom w:val="nil"/>
            </w:tcBorders>
            <w:vAlign w:val="bottom"/>
          </w:tcPr>
          <w:p w14:paraId="2C9630EC"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p>
        </w:tc>
      </w:tr>
      <w:tr w:rsidR="0044658C" w:rsidRPr="004B535A" w14:paraId="1F6C5591" w14:textId="77777777" w:rsidTr="003868E4">
        <w:trPr>
          <w:jc w:val="right"/>
        </w:trPr>
        <w:tc>
          <w:tcPr>
            <w:tcW w:w="1516" w:type="dxa"/>
            <w:tcBorders>
              <w:top w:val="nil"/>
              <w:bottom w:val="nil"/>
            </w:tcBorders>
            <w:vAlign w:val="bottom"/>
          </w:tcPr>
          <w:p w14:paraId="53F6690F" w14:textId="77777777" w:rsidR="0044658C" w:rsidRPr="004B535A" w:rsidRDefault="0044658C" w:rsidP="00A920B2">
            <w:pPr>
              <w:keepNext/>
              <w:keepLines/>
              <w:tabs>
                <w:tab w:val="left" w:pos="624"/>
                <w:tab w:val="left" w:pos="1871"/>
                <w:tab w:val="left" w:pos="2495"/>
                <w:tab w:val="left" w:pos="3119"/>
              </w:tabs>
              <w:spacing w:before="40" w:after="40"/>
              <w:rPr>
                <w:sz w:val="18"/>
                <w:szCs w:val="18"/>
              </w:rPr>
            </w:pPr>
            <w:r w:rsidRPr="004B535A">
              <w:rPr>
                <w:sz w:val="18"/>
                <w:szCs w:val="18"/>
              </w:rPr>
              <w:t>HCFC-142b</w:t>
            </w:r>
          </w:p>
        </w:tc>
        <w:tc>
          <w:tcPr>
            <w:tcW w:w="1274" w:type="dxa"/>
            <w:tcBorders>
              <w:top w:val="nil"/>
              <w:bottom w:val="nil"/>
            </w:tcBorders>
            <w:vAlign w:val="bottom"/>
          </w:tcPr>
          <w:p w14:paraId="2F295990"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sym w:font="Symbol" w:char="F02D"/>
            </w:r>
          </w:p>
        </w:tc>
        <w:tc>
          <w:tcPr>
            <w:tcW w:w="1136" w:type="dxa"/>
            <w:tcBorders>
              <w:top w:val="nil"/>
              <w:bottom w:val="nil"/>
            </w:tcBorders>
            <w:vAlign w:val="bottom"/>
          </w:tcPr>
          <w:p w14:paraId="605DBF7A"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sym w:font="Symbol" w:char="F02D"/>
            </w:r>
          </w:p>
        </w:tc>
        <w:tc>
          <w:tcPr>
            <w:tcW w:w="1114" w:type="dxa"/>
            <w:tcBorders>
              <w:top w:val="nil"/>
              <w:bottom w:val="nil"/>
            </w:tcBorders>
            <w:vAlign w:val="bottom"/>
          </w:tcPr>
          <w:p w14:paraId="0787A72E"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p>
        </w:tc>
        <w:tc>
          <w:tcPr>
            <w:tcW w:w="990" w:type="dxa"/>
            <w:tcBorders>
              <w:top w:val="nil"/>
              <w:bottom w:val="nil"/>
            </w:tcBorders>
            <w:vAlign w:val="bottom"/>
          </w:tcPr>
          <w:p w14:paraId="7A254CD9"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t>4.62</w:t>
            </w:r>
          </w:p>
        </w:tc>
        <w:tc>
          <w:tcPr>
            <w:tcW w:w="1170" w:type="dxa"/>
            <w:tcBorders>
              <w:top w:val="nil"/>
              <w:bottom w:val="nil"/>
            </w:tcBorders>
            <w:vAlign w:val="bottom"/>
          </w:tcPr>
          <w:p w14:paraId="0402296E"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t>4.68</w:t>
            </w:r>
          </w:p>
        </w:tc>
        <w:tc>
          <w:tcPr>
            <w:tcW w:w="1234" w:type="dxa"/>
            <w:tcBorders>
              <w:top w:val="nil"/>
              <w:bottom w:val="nil"/>
            </w:tcBorders>
            <w:vAlign w:val="bottom"/>
          </w:tcPr>
          <w:p w14:paraId="61FC1988"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p>
        </w:tc>
      </w:tr>
      <w:tr w:rsidR="0044658C" w:rsidRPr="004B535A" w14:paraId="5D891FB1" w14:textId="77777777" w:rsidTr="003868E4">
        <w:trPr>
          <w:jc w:val="right"/>
        </w:trPr>
        <w:tc>
          <w:tcPr>
            <w:tcW w:w="1516" w:type="dxa"/>
            <w:tcBorders>
              <w:top w:val="nil"/>
              <w:bottom w:val="single" w:sz="4" w:space="0" w:color="auto"/>
            </w:tcBorders>
            <w:vAlign w:val="bottom"/>
          </w:tcPr>
          <w:p w14:paraId="1A1B6961" w14:textId="77777777" w:rsidR="0044658C" w:rsidRPr="004B535A" w:rsidRDefault="0044658C" w:rsidP="00A920B2">
            <w:pPr>
              <w:keepNext/>
              <w:keepLines/>
              <w:tabs>
                <w:tab w:val="left" w:pos="624"/>
                <w:tab w:val="left" w:pos="1871"/>
                <w:tab w:val="left" w:pos="2495"/>
                <w:tab w:val="left" w:pos="3119"/>
              </w:tabs>
              <w:spacing w:before="40" w:after="40"/>
              <w:rPr>
                <w:sz w:val="18"/>
                <w:szCs w:val="18"/>
              </w:rPr>
            </w:pPr>
            <w:r w:rsidRPr="004B535A">
              <w:rPr>
                <w:sz w:val="18"/>
                <w:szCs w:val="18"/>
              </w:rPr>
              <w:t>HCFC-22</w:t>
            </w:r>
          </w:p>
        </w:tc>
        <w:tc>
          <w:tcPr>
            <w:tcW w:w="1274" w:type="dxa"/>
            <w:tcBorders>
              <w:top w:val="nil"/>
              <w:bottom w:val="single" w:sz="4" w:space="0" w:color="auto"/>
            </w:tcBorders>
            <w:vAlign w:val="bottom"/>
          </w:tcPr>
          <w:p w14:paraId="28A66F94"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t>105.6</w:t>
            </w:r>
          </w:p>
        </w:tc>
        <w:tc>
          <w:tcPr>
            <w:tcW w:w="1136" w:type="dxa"/>
            <w:tcBorders>
              <w:top w:val="nil"/>
              <w:bottom w:val="single" w:sz="4" w:space="0" w:color="auto"/>
            </w:tcBorders>
            <w:vAlign w:val="bottom"/>
          </w:tcPr>
          <w:p w14:paraId="1413433B"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t>112.2</w:t>
            </w:r>
          </w:p>
        </w:tc>
        <w:tc>
          <w:tcPr>
            <w:tcW w:w="1114" w:type="dxa"/>
            <w:tcBorders>
              <w:top w:val="nil"/>
              <w:bottom w:val="single" w:sz="4" w:space="0" w:color="auto"/>
            </w:tcBorders>
            <w:vAlign w:val="bottom"/>
          </w:tcPr>
          <w:p w14:paraId="4206E655"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p>
        </w:tc>
        <w:tc>
          <w:tcPr>
            <w:tcW w:w="990" w:type="dxa"/>
            <w:tcBorders>
              <w:top w:val="nil"/>
              <w:bottom w:val="single" w:sz="4" w:space="0" w:color="auto"/>
            </w:tcBorders>
            <w:vAlign w:val="bottom"/>
          </w:tcPr>
          <w:p w14:paraId="1DBF11B0"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t>101.69</w:t>
            </w:r>
          </w:p>
        </w:tc>
        <w:tc>
          <w:tcPr>
            <w:tcW w:w="1170" w:type="dxa"/>
            <w:tcBorders>
              <w:top w:val="nil"/>
              <w:bottom w:val="single" w:sz="4" w:space="0" w:color="auto"/>
            </w:tcBorders>
            <w:vAlign w:val="bottom"/>
          </w:tcPr>
          <w:p w14:paraId="4616595D"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r w:rsidRPr="004B535A">
              <w:rPr>
                <w:sz w:val="18"/>
                <w:szCs w:val="18"/>
              </w:rPr>
              <w:t>108.22</w:t>
            </w:r>
          </w:p>
        </w:tc>
        <w:tc>
          <w:tcPr>
            <w:tcW w:w="1234" w:type="dxa"/>
            <w:tcBorders>
              <w:top w:val="nil"/>
              <w:bottom w:val="single" w:sz="4" w:space="0" w:color="auto"/>
            </w:tcBorders>
            <w:vAlign w:val="bottom"/>
          </w:tcPr>
          <w:p w14:paraId="626F291D" w14:textId="77777777" w:rsidR="0044658C" w:rsidRPr="004B535A" w:rsidRDefault="0044658C" w:rsidP="00A920B2">
            <w:pPr>
              <w:keepNext/>
              <w:keepLines/>
              <w:tabs>
                <w:tab w:val="left" w:pos="624"/>
                <w:tab w:val="left" w:pos="1871"/>
                <w:tab w:val="left" w:pos="2495"/>
                <w:tab w:val="left" w:pos="3119"/>
              </w:tabs>
              <w:spacing w:before="40" w:after="40"/>
              <w:jc w:val="right"/>
              <w:rPr>
                <w:sz w:val="18"/>
                <w:szCs w:val="18"/>
              </w:rPr>
            </w:pPr>
          </w:p>
        </w:tc>
      </w:tr>
      <w:tr w:rsidR="0044658C" w:rsidRPr="004B535A" w14:paraId="443BBBC4" w14:textId="77777777" w:rsidTr="003868E4">
        <w:trPr>
          <w:jc w:val="right"/>
        </w:trPr>
        <w:tc>
          <w:tcPr>
            <w:tcW w:w="1516" w:type="dxa"/>
            <w:tcBorders>
              <w:top w:val="single" w:sz="4" w:space="0" w:color="auto"/>
              <w:bottom w:val="single" w:sz="12" w:space="0" w:color="auto"/>
            </w:tcBorders>
            <w:vAlign w:val="bottom"/>
          </w:tcPr>
          <w:p w14:paraId="7091A130" w14:textId="77777777" w:rsidR="0044658C" w:rsidRPr="004B535A" w:rsidRDefault="0044658C" w:rsidP="00A920B2">
            <w:pPr>
              <w:keepNext/>
              <w:keepLines/>
              <w:tabs>
                <w:tab w:val="left" w:pos="624"/>
                <w:tab w:val="left" w:pos="1871"/>
                <w:tab w:val="left" w:pos="2495"/>
                <w:tab w:val="left" w:pos="3119"/>
              </w:tabs>
              <w:spacing w:before="40" w:after="40"/>
              <w:rPr>
                <w:b/>
                <w:sz w:val="18"/>
                <w:szCs w:val="18"/>
              </w:rPr>
            </w:pPr>
            <w:r w:rsidRPr="004B535A">
              <w:rPr>
                <w:b/>
                <w:sz w:val="18"/>
                <w:szCs w:val="18"/>
              </w:rPr>
              <w:tab/>
              <w:t>Total</w:t>
            </w:r>
          </w:p>
        </w:tc>
        <w:tc>
          <w:tcPr>
            <w:tcW w:w="1274" w:type="dxa"/>
            <w:tcBorders>
              <w:top w:val="single" w:sz="4" w:space="0" w:color="auto"/>
              <w:bottom w:val="single" w:sz="12" w:space="0" w:color="auto"/>
            </w:tcBorders>
            <w:vAlign w:val="bottom"/>
          </w:tcPr>
          <w:p w14:paraId="1DE1B11D" w14:textId="77777777" w:rsidR="0044658C" w:rsidRPr="004B535A" w:rsidRDefault="0044658C" w:rsidP="00A920B2">
            <w:pPr>
              <w:keepNext/>
              <w:keepLines/>
              <w:tabs>
                <w:tab w:val="left" w:pos="624"/>
                <w:tab w:val="left" w:pos="1871"/>
                <w:tab w:val="left" w:pos="2495"/>
                <w:tab w:val="left" w:pos="3119"/>
              </w:tabs>
              <w:spacing w:before="40" w:after="40"/>
              <w:jc w:val="right"/>
              <w:rPr>
                <w:b/>
                <w:sz w:val="18"/>
                <w:szCs w:val="18"/>
              </w:rPr>
            </w:pPr>
            <w:r w:rsidRPr="004B535A">
              <w:rPr>
                <w:b/>
                <w:sz w:val="18"/>
                <w:szCs w:val="18"/>
              </w:rPr>
              <w:t>239.8</w:t>
            </w:r>
          </w:p>
        </w:tc>
        <w:tc>
          <w:tcPr>
            <w:tcW w:w="1136" w:type="dxa"/>
            <w:tcBorders>
              <w:top w:val="single" w:sz="4" w:space="0" w:color="auto"/>
              <w:bottom w:val="single" w:sz="12" w:space="0" w:color="auto"/>
            </w:tcBorders>
            <w:vAlign w:val="bottom"/>
          </w:tcPr>
          <w:p w14:paraId="765476FB" w14:textId="77777777" w:rsidR="0044658C" w:rsidRPr="004B535A" w:rsidRDefault="0044658C" w:rsidP="00A920B2">
            <w:pPr>
              <w:keepNext/>
              <w:keepLines/>
              <w:tabs>
                <w:tab w:val="left" w:pos="624"/>
                <w:tab w:val="left" w:pos="1871"/>
                <w:tab w:val="left" w:pos="2495"/>
                <w:tab w:val="left" w:pos="3119"/>
              </w:tabs>
              <w:spacing w:before="40" w:after="40"/>
              <w:jc w:val="right"/>
              <w:rPr>
                <w:b/>
                <w:sz w:val="18"/>
                <w:szCs w:val="18"/>
              </w:rPr>
            </w:pPr>
            <w:r w:rsidRPr="004B535A">
              <w:rPr>
                <w:b/>
                <w:sz w:val="18"/>
                <w:szCs w:val="18"/>
              </w:rPr>
              <w:t>255.0</w:t>
            </w:r>
          </w:p>
        </w:tc>
        <w:tc>
          <w:tcPr>
            <w:tcW w:w="1114" w:type="dxa"/>
            <w:tcBorders>
              <w:top w:val="single" w:sz="4" w:space="0" w:color="auto"/>
              <w:bottom w:val="single" w:sz="12" w:space="0" w:color="auto"/>
            </w:tcBorders>
            <w:vAlign w:val="bottom"/>
          </w:tcPr>
          <w:p w14:paraId="21656609" w14:textId="77777777" w:rsidR="0044658C" w:rsidRPr="004B535A" w:rsidRDefault="0044658C" w:rsidP="00A920B2">
            <w:pPr>
              <w:keepNext/>
              <w:keepLines/>
              <w:tabs>
                <w:tab w:val="left" w:pos="624"/>
                <w:tab w:val="left" w:pos="1871"/>
                <w:tab w:val="left" w:pos="2495"/>
                <w:tab w:val="left" w:pos="3119"/>
              </w:tabs>
              <w:spacing w:before="40" w:after="40"/>
              <w:jc w:val="right"/>
              <w:rPr>
                <w:b/>
                <w:sz w:val="18"/>
                <w:szCs w:val="18"/>
              </w:rPr>
            </w:pPr>
            <w:r w:rsidRPr="004B535A">
              <w:rPr>
                <w:b/>
                <w:sz w:val="18"/>
                <w:szCs w:val="18"/>
              </w:rPr>
              <w:t>247.4</w:t>
            </w:r>
          </w:p>
        </w:tc>
        <w:tc>
          <w:tcPr>
            <w:tcW w:w="990" w:type="dxa"/>
            <w:tcBorders>
              <w:top w:val="single" w:sz="4" w:space="0" w:color="auto"/>
              <w:bottom w:val="single" w:sz="12" w:space="0" w:color="auto"/>
            </w:tcBorders>
            <w:vAlign w:val="bottom"/>
          </w:tcPr>
          <w:p w14:paraId="4A081BA5" w14:textId="77777777" w:rsidR="0044658C" w:rsidRPr="004B535A" w:rsidRDefault="0044658C" w:rsidP="00A920B2">
            <w:pPr>
              <w:keepNext/>
              <w:keepLines/>
              <w:tabs>
                <w:tab w:val="left" w:pos="624"/>
                <w:tab w:val="left" w:pos="1871"/>
                <w:tab w:val="left" w:pos="2495"/>
                <w:tab w:val="left" w:pos="3119"/>
              </w:tabs>
              <w:spacing w:before="40" w:after="40"/>
              <w:jc w:val="right"/>
              <w:rPr>
                <w:b/>
                <w:sz w:val="18"/>
                <w:szCs w:val="18"/>
              </w:rPr>
            </w:pPr>
            <w:r w:rsidRPr="004B535A">
              <w:rPr>
                <w:b/>
                <w:sz w:val="18"/>
                <w:szCs w:val="18"/>
              </w:rPr>
              <w:t>240.51</w:t>
            </w:r>
          </w:p>
        </w:tc>
        <w:tc>
          <w:tcPr>
            <w:tcW w:w="1170" w:type="dxa"/>
            <w:tcBorders>
              <w:top w:val="single" w:sz="4" w:space="0" w:color="auto"/>
              <w:bottom w:val="single" w:sz="12" w:space="0" w:color="auto"/>
            </w:tcBorders>
            <w:vAlign w:val="bottom"/>
          </w:tcPr>
          <w:p w14:paraId="34196182" w14:textId="77777777" w:rsidR="0044658C" w:rsidRPr="004B535A" w:rsidRDefault="0044658C" w:rsidP="00A920B2">
            <w:pPr>
              <w:keepNext/>
              <w:keepLines/>
              <w:tabs>
                <w:tab w:val="left" w:pos="624"/>
                <w:tab w:val="left" w:pos="1871"/>
                <w:tab w:val="left" w:pos="2495"/>
                <w:tab w:val="left" w:pos="3119"/>
              </w:tabs>
              <w:spacing w:before="40" w:after="40"/>
              <w:jc w:val="right"/>
              <w:rPr>
                <w:b/>
                <w:sz w:val="18"/>
                <w:szCs w:val="18"/>
              </w:rPr>
            </w:pPr>
            <w:r w:rsidRPr="004B535A">
              <w:rPr>
                <w:b/>
                <w:sz w:val="18"/>
                <w:szCs w:val="18"/>
              </w:rPr>
              <w:t>255.70</w:t>
            </w:r>
          </w:p>
        </w:tc>
        <w:tc>
          <w:tcPr>
            <w:tcW w:w="1234" w:type="dxa"/>
            <w:tcBorders>
              <w:top w:val="single" w:sz="4" w:space="0" w:color="auto"/>
              <w:bottom w:val="single" w:sz="12" w:space="0" w:color="auto"/>
            </w:tcBorders>
            <w:vAlign w:val="bottom"/>
          </w:tcPr>
          <w:p w14:paraId="4CBE8687" w14:textId="77777777" w:rsidR="0044658C" w:rsidRPr="004B535A" w:rsidRDefault="0044658C" w:rsidP="00A920B2">
            <w:pPr>
              <w:keepNext/>
              <w:keepLines/>
              <w:tabs>
                <w:tab w:val="left" w:pos="624"/>
                <w:tab w:val="left" w:pos="1871"/>
                <w:tab w:val="left" w:pos="2495"/>
                <w:tab w:val="left" w:pos="3119"/>
              </w:tabs>
              <w:spacing w:before="40" w:after="40"/>
              <w:jc w:val="right"/>
              <w:rPr>
                <w:b/>
                <w:sz w:val="18"/>
                <w:szCs w:val="18"/>
              </w:rPr>
            </w:pPr>
            <w:r w:rsidRPr="004B535A">
              <w:rPr>
                <w:b/>
                <w:sz w:val="18"/>
                <w:szCs w:val="18"/>
              </w:rPr>
              <w:t>248.11</w:t>
            </w:r>
          </w:p>
        </w:tc>
      </w:tr>
    </w:tbl>
    <w:p w14:paraId="429F160F" w14:textId="15A5A6DC" w:rsidR="0044658C" w:rsidRPr="004B535A" w:rsidRDefault="0044658C" w:rsidP="00853695">
      <w:pPr>
        <w:keepNext/>
        <w:keepLines/>
        <w:tabs>
          <w:tab w:val="clear" w:pos="1247"/>
          <w:tab w:val="clear" w:pos="1814"/>
          <w:tab w:val="clear" w:pos="2381"/>
          <w:tab w:val="clear" w:pos="2948"/>
          <w:tab w:val="clear" w:pos="3515"/>
          <w:tab w:val="left" w:pos="624"/>
        </w:tabs>
        <w:ind w:left="1253"/>
        <w:rPr>
          <w:bCs/>
          <w:color w:val="000000"/>
          <w:sz w:val="16"/>
          <w:szCs w:val="16"/>
        </w:rPr>
      </w:pPr>
      <w:r w:rsidRPr="004B535A">
        <w:rPr>
          <w:bCs/>
          <w:color w:val="000000"/>
          <w:sz w:val="16"/>
          <w:szCs w:val="16"/>
          <w:vertAlign w:val="superscript"/>
        </w:rPr>
        <w:t>a</w:t>
      </w:r>
      <w:r w:rsidRPr="004B535A">
        <w:rPr>
          <w:bCs/>
          <w:color w:val="000000"/>
          <w:sz w:val="16"/>
          <w:szCs w:val="16"/>
        </w:rPr>
        <w:t xml:space="preserve"> </w:t>
      </w:r>
      <w:r w:rsidRPr="004B535A">
        <w:rPr>
          <w:sz w:val="16"/>
          <w:szCs w:val="16"/>
        </w:rPr>
        <w:t xml:space="preserve">Hydrochlorofluorocarbon baselines established after the Twenty-Third Meeting of the Parties are </w:t>
      </w:r>
      <w:r w:rsidR="00755953" w:rsidRPr="004B535A">
        <w:rPr>
          <w:sz w:val="16"/>
          <w:szCs w:val="16"/>
        </w:rPr>
        <w:t xml:space="preserve">presented using two </w:t>
      </w:r>
      <w:r w:rsidRPr="004B535A">
        <w:rPr>
          <w:sz w:val="16"/>
          <w:szCs w:val="16"/>
        </w:rPr>
        <w:t>decimal places</w:t>
      </w:r>
      <w:r w:rsidR="00446F9E" w:rsidRPr="004B535A">
        <w:rPr>
          <w:sz w:val="16"/>
          <w:szCs w:val="16"/>
        </w:rPr>
        <w:t>,</w:t>
      </w:r>
      <w:r w:rsidRPr="004B535A">
        <w:rPr>
          <w:sz w:val="16"/>
          <w:szCs w:val="16"/>
        </w:rPr>
        <w:t xml:space="preserve"> whereas those established before are presented using one decimal place (see decision XXIII/30).]</w:t>
      </w:r>
    </w:p>
    <w:p w14:paraId="6C1E1EB4" w14:textId="6E4E7DEA" w:rsidR="0044658C" w:rsidRPr="004B535A" w:rsidRDefault="00DC2E5E" w:rsidP="00853695">
      <w:pPr>
        <w:pStyle w:val="CH2"/>
        <w:spacing w:before="160"/>
        <w:ind w:left="1253" w:right="288" w:hanging="1253"/>
      </w:pPr>
      <w:r w:rsidRPr="004B535A">
        <w:tab/>
      </w:r>
      <w:r w:rsidR="0060673D" w:rsidRPr="004B535A">
        <w:t>D</w:t>
      </w:r>
      <w:r w:rsidRPr="004B535A">
        <w:t>.</w:t>
      </w:r>
      <w:r w:rsidRPr="004B535A">
        <w:tab/>
      </w:r>
      <w:r w:rsidR="0044658C" w:rsidRPr="004B535A">
        <w:t>Draft decision XXIX</w:t>
      </w:r>
      <w:proofErr w:type="gramStart"/>
      <w:r w:rsidR="0044658C" w:rsidRPr="004B535A">
        <w:t>/[</w:t>
      </w:r>
      <w:proofErr w:type="gramEnd"/>
      <w:r w:rsidR="0044658C" w:rsidRPr="004B535A">
        <w:t>…]: Request for the revision of baseline data by the Philippines</w:t>
      </w:r>
    </w:p>
    <w:p w14:paraId="5A8CD6C0"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rPr>
          <w:i/>
        </w:rPr>
        <w:t>Noting</w:t>
      </w:r>
      <w:r w:rsidRPr="004B535A">
        <w:t xml:space="preserve"> that, in decision XIII/15, the Thirteenth Meeting of the Parties decided to advise parties requesting changes in reported baseline data for the base years to present their requests before the Implementation Committee under the Non-Compliance Procedure for the Montreal Protocol, which in turn would work with the Secretariat and the Executive Committee of the Multilateral Fund for the Implementation of the Montreal Protocol to confirm the justification for the changes and present them to the Meeting of the Parties for approval,</w:t>
      </w:r>
    </w:p>
    <w:p w14:paraId="68176B39"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rPr>
          <w:i/>
        </w:rPr>
        <w:t>Noting also</w:t>
      </w:r>
      <w:r w:rsidRPr="004B535A">
        <w:t xml:space="preserve"> that decision XV/19 sets out the methodology for the submission of such requests,</w:t>
      </w:r>
    </w:p>
    <w:p w14:paraId="657963FD"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1.</w:t>
      </w:r>
      <w:r w:rsidRPr="004B535A">
        <w:tab/>
        <w:t>That the Philippines has presented sufficient information, in accordance with decision XV/19, to justify its request for the revision of its consumption data for hydrochlorofluorocarbons for both 2009 and 2010, which are part of the baseline for parties operating under paragraph 1 of Article 5;</w:t>
      </w:r>
    </w:p>
    <w:p w14:paraId="7CFDCB88"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2.</w:t>
      </w:r>
      <w:r w:rsidRPr="004B535A">
        <w:tab/>
        <w:t>To approve the request by the Philippines, and to revise its consumption data for hydrochlorofluorocarbons for the baseline years 2009 and 2010, as indicated in the following table:</w:t>
      </w:r>
    </w:p>
    <w:tbl>
      <w:tblPr>
        <w:tblStyle w:val="TableGrid"/>
        <w:tblW w:w="83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1"/>
        <w:gridCol w:w="1131"/>
        <w:gridCol w:w="1130"/>
        <w:gridCol w:w="1130"/>
        <w:gridCol w:w="1130"/>
        <w:gridCol w:w="1130"/>
        <w:gridCol w:w="1553"/>
      </w:tblGrid>
      <w:tr w:rsidR="0044658C" w:rsidRPr="004B535A" w14:paraId="22E64BE3" w14:textId="77777777" w:rsidTr="003868E4">
        <w:trPr>
          <w:jc w:val="right"/>
        </w:trPr>
        <w:tc>
          <w:tcPr>
            <w:tcW w:w="1134" w:type="dxa"/>
            <w:vMerge w:val="restart"/>
            <w:tcBorders>
              <w:top w:val="single" w:sz="4" w:space="0" w:color="auto"/>
              <w:bottom w:val="single" w:sz="12" w:space="0" w:color="auto"/>
            </w:tcBorders>
            <w:vAlign w:val="bottom"/>
          </w:tcPr>
          <w:p w14:paraId="2F760C74" w14:textId="77777777" w:rsidR="0044658C" w:rsidRPr="004B535A" w:rsidRDefault="0044658C" w:rsidP="00A920B2">
            <w:pPr>
              <w:tabs>
                <w:tab w:val="left" w:pos="624"/>
                <w:tab w:val="left" w:pos="1871"/>
                <w:tab w:val="left" w:pos="2495"/>
                <w:tab w:val="left" w:pos="3119"/>
                <w:tab w:val="left" w:pos="4082"/>
              </w:tabs>
              <w:spacing w:before="40" w:after="40"/>
              <w:rPr>
                <w:i/>
                <w:sz w:val="18"/>
                <w:szCs w:val="18"/>
              </w:rPr>
            </w:pPr>
          </w:p>
        </w:tc>
        <w:tc>
          <w:tcPr>
            <w:tcW w:w="3402" w:type="dxa"/>
            <w:gridSpan w:val="3"/>
            <w:tcBorders>
              <w:top w:val="single" w:sz="4" w:space="0" w:color="auto"/>
              <w:bottom w:val="single" w:sz="4" w:space="0" w:color="auto"/>
            </w:tcBorders>
            <w:vAlign w:val="bottom"/>
          </w:tcPr>
          <w:p w14:paraId="5EC89548" w14:textId="77777777" w:rsidR="0044658C" w:rsidRPr="004B535A" w:rsidRDefault="0044658C" w:rsidP="00A920B2">
            <w:pPr>
              <w:tabs>
                <w:tab w:val="left" w:pos="624"/>
                <w:tab w:val="left" w:pos="1871"/>
                <w:tab w:val="left" w:pos="2495"/>
                <w:tab w:val="left" w:pos="3119"/>
                <w:tab w:val="left" w:pos="4082"/>
              </w:tabs>
              <w:spacing w:before="40" w:after="40"/>
              <w:jc w:val="center"/>
              <w:rPr>
                <w:i/>
                <w:sz w:val="18"/>
                <w:szCs w:val="18"/>
              </w:rPr>
            </w:pPr>
            <w:r w:rsidRPr="004B535A">
              <w:rPr>
                <w:i/>
                <w:sz w:val="18"/>
                <w:szCs w:val="18"/>
              </w:rPr>
              <w:t>Previous hydrochlorofluorocarbon data</w:t>
            </w:r>
            <w:r w:rsidRPr="004B535A">
              <w:rPr>
                <w:i/>
                <w:sz w:val="18"/>
                <w:szCs w:val="18"/>
              </w:rPr>
              <w:br/>
              <w:t>(ODP-tonnes)</w:t>
            </w:r>
          </w:p>
        </w:tc>
        <w:tc>
          <w:tcPr>
            <w:tcW w:w="3827" w:type="dxa"/>
            <w:gridSpan w:val="3"/>
            <w:tcBorders>
              <w:top w:val="single" w:sz="4" w:space="0" w:color="auto"/>
              <w:bottom w:val="single" w:sz="4" w:space="0" w:color="auto"/>
            </w:tcBorders>
            <w:vAlign w:val="bottom"/>
          </w:tcPr>
          <w:p w14:paraId="5013CE83" w14:textId="77777777" w:rsidR="0044658C" w:rsidRPr="004B535A" w:rsidRDefault="0044658C" w:rsidP="00A920B2">
            <w:pPr>
              <w:tabs>
                <w:tab w:val="left" w:pos="624"/>
                <w:tab w:val="left" w:pos="1871"/>
                <w:tab w:val="left" w:pos="2495"/>
                <w:tab w:val="left" w:pos="3119"/>
                <w:tab w:val="left" w:pos="4082"/>
              </w:tabs>
              <w:spacing w:before="40" w:after="40"/>
              <w:jc w:val="center"/>
              <w:rPr>
                <w:i/>
                <w:sz w:val="18"/>
                <w:szCs w:val="18"/>
              </w:rPr>
            </w:pPr>
            <w:r w:rsidRPr="004B535A">
              <w:rPr>
                <w:i/>
                <w:sz w:val="18"/>
                <w:szCs w:val="18"/>
              </w:rPr>
              <w:t>New hydrochlorofluorocarbon data</w:t>
            </w:r>
            <w:r w:rsidRPr="004B535A">
              <w:rPr>
                <w:i/>
                <w:sz w:val="18"/>
                <w:szCs w:val="18"/>
              </w:rPr>
              <w:br/>
              <w:t>(ODP-tonnes)</w:t>
            </w:r>
          </w:p>
        </w:tc>
      </w:tr>
      <w:tr w:rsidR="0044658C" w:rsidRPr="004B535A" w14:paraId="1462A079" w14:textId="77777777" w:rsidTr="003868E4">
        <w:trPr>
          <w:jc w:val="right"/>
        </w:trPr>
        <w:tc>
          <w:tcPr>
            <w:tcW w:w="1134" w:type="dxa"/>
            <w:vMerge/>
            <w:tcBorders>
              <w:bottom w:val="single" w:sz="12" w:space="0" w:color="auto"/>
            </w:tcBorders>
            <w:vAlign w:val="bottom"/>
          </w:tcPr>
          <w:p w14:paraId="77FA0433" w14:textId="77777777" w:rsidR="0044658C" w:rsidRPr="004B535A" w:rsidRDefault="0044658C" w:rsidP="00A920B2">
            <w:pPr>
              <w:tabs>
                <w:tab w:val="left" w:pos="624"/>
                <w:tab w:val="left" w:pos="1871"/>
                <w:tab w:val="left" w:pos="2495"/>
                <w:tab w:val="left" w:pos="3119"/>
                <w:tab w:val="left" w:pos="4082"/>
              </w:tabs>
              <w:spacing w:before="40" w:after="40"/>
              <w:rPr>
                <w:sz w:val="18"/>
                <w:szCs w:val="18"/>
              </w:rPr>
            </w:pPr>
          </w:p>
        </w:tc>
        <w:tc>
          <w:tcPr>
            <w:tcW w:w="1134" w:type="dxa"/>
            <w:tcBorders>
              <w:top w:val="single" w:sz="4" w:space="0" w:color="auto"/>
              <w:bottom w:val="single" w:sz="12" w:space="0" w:color="auto"/>
            </w:tcBorders>
            <w:vAlign w:val="bottom"/>
          </w:tcPr>
          <w:p w14:paraId="4D801655" w14:textId="77777777" w:rsidR="0044658C" w:rsidRPr="004B535A" w:rsidRDefault="0044658C" w:rsidP="00A920B2">
            <w:pPr>
              <w:tabs>
                <w:tab w:val="left" w:pos="624"/>
                <w:tab w:val="left" w:pos="1871"/>
                <w:tab w:val="left" w:pos="2495"/>
                <w:tab w:val="left" w:pos="3119"/>
                <w:tab w:val="left" w:pos="4082"/>
              </w:tabs>
              <w:spacing w:before="40" w:after="40"/>
              <w:jc w:val="right"/>
              <w:rPr>
                <w:i/>
                <w:sz w:val="18"/>
                <w:szCs w:val="18"/>
              </w:rPr>
            </w:pPr>
            <w:r w:rsidRPr="004B535A">
              <w:rPr>
                <w:i/>
                <w:sz w:val="18"/>
                <w:szCs w:val="18"/>
              </w:rPr>
              <w:t>2009</w:t>
            </w:r>
          </w:p>
        </w:tc>
        <w:tc>
          <w:tcPr>
            <w:tcW w:w="1134" w:type="dxa"/>
            <w:tcBorders>
              <w:top w:val="single" w:sz="4" w:space="0" w:color="auto"/>
              <w:bottom w:val="single" w:sz="12" w:space="0" w:color="auto"/>
            </w:tcBorders>
            <w:vAlign w:val="bottom"/>
          </w:tcPr>
          <w:p w14:paraId="45E593D2" w14:textId="77777777" w:rsidR="0044658C" w:rsidRPr="004B535A" w:rsidRDefault="0044658C" w:rsidP="00A920B2">
            <w:pPr>
              <w:tabs>
                <w:tab w:val="left" w:pos="624"/>
                <w:tab w:val="left" w:pos="1871"/>
                <w:tab w:val="left" w:pos="2495"/>
                <w:tab w:val="left" w:pos="3119"/>
                <w:tab w:val="left" w:pos="4082"/>
              </w:tabs>
              <w:spacing w:before="40" w:after="40"/>
              <w:jc w:val="right"/>
              <w:rPr>
                <w:i/>
                <w:sz w:val="18"/>
                <w:szCs w:val="18"/>
              </w:rPr>
            </w:pPr>
            <w:r w:rsidRPr="004B535A">
              <w:rPr>
                <w:i/>
                <w:sz w:val="18"/>
                <w:szCs w:val="18"/>
              </w:rPr>
              <w:t>2010</w:t>
            </w:r>
          </w:p>
        </w:tc>
        <w:tc>
          <w:tcPr>
            <w:tcW w:w="1134" w:type="dxa"/>
            <w:tcBorders>
              <w:top w:val="single" w:sz="4" w:space="0" w:color="auto"/>
              <w:bottom w:val="single" w:sz="12" w:space="0" w:color="auto"/>
            </w:tcBorders>
            <w:vAlign w:val="bottom"/>
          </w:tcPr>
          <w:p w14:paraId="1364AA12" w14:textId="77777777" w:rsidR="0044658C" w:rsidRPr="004B535A" w:rsidRDefault="0044658C" w:rsidP="00A920B2">
            <w:pPr>
              <w:tabs>
                <w:tab w:val="left" w:pos="624"/>
                <w:tab w:val="left" w:pos="1871"/>
                <w:tab w:val="left" w:pos="2495"/>
                <w:tab w:val="left" w:pos="3119"/>
                <w:tab w:val="left" w:pos="4082"/>
              </w:tabs>
              <w:spacing w:before="40" w:after="40"/>
              <w:jc w:val="right"/>
              <w:rPr>
                <w:i/>
                <w:sz w:val="18"/>
                <w:szCs w:val="18"/>
              </w:rPr>
            </w:pPr>
            <w:proofErr w:type="spellStart"/>
            <w:r w:rsidRPr="004B535A">
              <w:rPr>
                <w:i/>
                <w:sz w:val="18"/>
                <w:szCs w:val="18"/>
              </w:rPr>
              <w:t>Baseline</w:t>
            </w:r>
            <w:r w:rsidRPr="004B535A">
              <w:rPr>
                <w:i/>
                <w:sz w:val="18"/>
                <w:szCs w:val="18"/>
                <w:vertAlign w:val="superscript"/>
              </w:rPr>
              <w:t>a</w:t>
            </w:r>
            <w:proofErr w:type="spellEnd"/>
          </w:p>
        </w:tc>
        <w:tc>
          <w:tcPr>
            <w:tcW w:w="1134" w:type="dxa"/>
            <w:tcBorders>
              <w:top w:val="single" w:sz="4" w:space="0" w:color="auto"/>
              <w:bottom w:val="single" w:sz="12" w:space="0" w:color="auto"/>
            </w:tcBorders>
            <w:vAlign w:val="bottom"/>
          </w:tcPr>
          <w:p w14:paraId="17DD32A8" w14:textId="77777777" w:rsidR="0044658C" w:rsidRPr="004B535A" w:rsidRDefault="0044658C" w:rsidP="00A920B2">
            <w:pPr>
              <w:tabs>
                <w:tab w:val="left" w:pos="624"/>
                <w:tab w:val="left" w:pos="1871"/>
                <w:tab w:val="left" w:pos="2495"/>
                <w:tab w:val="left" w:pos="3119"/>
                <w:tab w:val="left" w:pos="4082"/>
              </w:tabs>
              <w:spacing w:before="40" w:after="40"/>
              <w:jc w:val="right"/>
              <w:rPr>
                <w:i/>
                <w:sz w:val="18"/>
                <w:szCs w:val="18"/>
              </w:rPr>
            </w:pPr>
            <w:r w:rsidRPr="004B535A">
              <w:rPr>
                <w:i/>
                <w:sz w:val="18"/>
                <w:szCs w:val="18"/>
              </w:rPr>
              <w:t>2009</w:t>
            </w:r>
          </w:p>
        </w:tc>
        <w:tc>
          <w:tcPr>
            <w:tcW w:w="1134" w:type="dxa"/>
            <w:tcBorders>
              <w:top w:val="single" w:sz="4" w:space="0" w:color="auto"/>
              <w:bottom w:val="single" w:sz="12" w:space="0" w:color="auto"/>
            </w:tcBorders>
            <w:vAlign w:val="bottom"/>
          </w:tcPr>
          <w:p w14:paraId="1BED20C3" w14:textId="77777777" w:rsidR="0044658C" w:rsidRPr="004B535A" w:rsidRDefault="0044658C" w:rsidP="00A920B2">
            <w:pPr>
              <w:tabs>
                <w:tab w:val="left" w:pos="624"/>
                <w:tab w:val="left" w:pos="1871"/>
                <w:tab w:val="left" w:pos="2495"/>
                <w:tab w:val="left" w:pos="3119"/>
                <w:tab w:val="left" w:pos="4082"/>
              </w:tabs>
              <w:spacing w:before="40" w:after="40"/>
              <w:jc w:val="right"/>
              <w:rPr>
                <w:i/>
                <w:sz w:val="18"/>
                <w:szCs w:val="18"/>
              </w:rPr>
            </w:pPr>
            <w:r w:rsidRPr="004B535A">
              <w:rPr>
                <w:i/>
                <w:sz w:val="18"/>
                <w:szCs w:val="18"/>
              </w:rPr>
              <w:t>2010</w:t>
            </w:r>
          </w:p>
        </w:tc>
        <w:tc>
          <w:tcPr>
            <w:tcW w:w="1559" w:type="dxa"/>
            <w:tcBorders>
              <w:top w:val="single" w:sz="4" w:space="0" w:color="auto"/>
              <w:bottom w:val="single" w:sz="12" w:space="0" w:color="auto"/>
            </w:tcBorders>
            <w:vAlign w:val="bottom"/>
          </w:tcPr>
          <w:p w14:paraId="730EA87C" w14:textId="77777777" w:rsidR="0044658C" w:rsidRPr="004B535A" w:rsidRDefault="0044658C" w:rsidP="00A920B2">
            <w:pPr>
              <w:tabs>
                <w:tab w:val="left" w:pos="624"/>
                <w:tab w:val="left" w:pos="1871"/>
                <w:tab w:val="left" w:pos="2495"/>
                <w:tab w:val="left" w:pos="3119"/>
                <w:tab w:val="left" w:pos="4082"/>
              </w:tabs>
              <w:spacing w:before="40" w:after="40"/>
              <w:jc w:val="right"/>
              <w:rPr>
                <w:i/>
                <w:sz w:val="18"/>
                <w:szCs w:val="18"/>
              </w:rPr>
            </w:pPr>
            <w:proofErr w:type="spellStart"/>
            <w:r w:rsidRPr="004B535A">
              <w:rPr>
                <w:i/>
                <w:sz w:val="18"/>
                <w:szCs w:val="18"/>
              </w:rPr>
              <w:t>Baseline</w:t>
            </w:r>
            <w:r w:rsidRPr="004B535A">
              <w:rPr>
                <w:i/>
                <w:sz w:val="18"/>
                <w:szCs w:val="18"/>
                <w:vertAlign w:val="superscript"/>
              </w:rPr>
              <w:t>a</w:t>
            </w:r>
            <w:proofErr w:type="spellEnd"/>
          </w:p>
        </w:tc>
      </w:tr>
      <w:tr w:rsidR="0044658C" w:rsidRPr="004B535A" w14:paraId="0DB7AA78" w14:textId="77777777" w:rsidTr="003868E4">
        <w:trPr>
          <w:jc w:val="right"/>
        </w:trPr>
        <w:tc>
          <w:tcPr>
            <w:tcW w:w="1134" w:type="dxa"/>
            <w:tcBorders>
              <w:top w:val="single" w:sz="12" w:space="0" w:color="auto"/>
              <w:bottom w:val="single" w:sz="12" w:space="0" w:color="auto"/>
            </w:tcBorders>
            <w:vAlign w:val="bottom"/>
          </w:tcPr>
          <w:p w14:paraId="26B30C83" w14:textId="77777777" w:rsidR="0044658C" w:rsidRPr="004B535A" w:rsidRDefault="0044658C" w:rsidP="00A920B2">
            <w:pPr>
              <w:tabs>
                <w:tab w:val="left" w:pos="624"/>
                <w:tab w:val="left" w:pos="1871"/>
                <w:tab w:val="left" w:pos="2495"/>
                <w:tab w:val="left" w:pos="3119"/>
                <w:tab w:val="left" w:pos="4082"/>
              </w:tabs>
              <w:spacing w:before="40" w:after="40"/>
              <w:rPr>
                <w:sz w:val="18"/>
                <w:szCs w:val="18"/>
              </w:rPr>
            </w:pPr>
          </w:p>
        </w:tc>
        <w:tc>
          <w:tcPr>
            <w:tcW w:w="1134" w:type="dxa"/>
            <w:tcBorders>
              <w:top w:val="single" w:sz="12" w:space="0" w:color="auto"/>
              <w:bottom w:val="single" w:sz="12" w:space="0" w:color="auto"/>
            </w:tcBorders>
            <w:vAlign w:val="bottom"/>
          </w:tcPr>
          <w:p w14:paraId="3DF3CD2A" w14:textId="77777777" w:rsidR="0044658C" w:rsidRPr="004B535A" w:rsidRDefault="0044658C" w:rsidP="00A920B2">
            <w:pPr>
              <w:tabs>
                <w:tab w:val="left" w:pos="624"/>
                <w:tab w:val="left" w:pos="1871"/>
                <w:tab w:val="left" w:pos="2495"/>
                <w:tab w:val="left" w:pos="3119"/>
                <w:tab w:val="left" w:pos="4082"/>
              </w:tabs>
              <w:spacing w:before="40" w:after="40"/>
              <w:jc w:val="right"/>
              <w:rPr>
                <w:color w:val="000000"/>
                <w:sz w:val="18"/>
                <w:szCs w:val="18"/>
              </w:rPr>
            </w:pPr>
            <w:r w:rsidRPr="004B535A">
              <w:rPr>
                <w:color w:val="000000"/>
                <w:sz w:val="18"/>
                <w:szCs w:val="18"/>
              </w:rPr>
              <w:t>194.7</w:t>
            </w:r>
          </w:p>
        </w:tc>
        <w:tc>
          <w:tcPr>
            <w:tcW w:w="1134" w:type="dxa"/>
            <w:tcBorders>
              <w:top w:val="single" w:sz="12" w:space="0" w:color="auto"/>
              <w:bottom w:val="single" w:sz="12" w:space="0" w:color="auto"/>
            </w:tcBorders>
            <w:vAlign w:val="bottom"/>
          </w:tcPr>
          <w:p w14:paraId="4D129A5A" w14:textId="77777777" w:rsidR="0044658C" w:rsidRPr="004B535A" w:rsidRDefault="0044658C" w:rsidP="00A920B2">
            <w:pPr>
              <w:tabs>
                <w:tab w:val="left" w:pos="624"/>
                <w:tab w:val="left" w:pos="1871"/>
                <w:tab w:val="left" w:pos="2495"/>
                <w:tab w:val="left" w:pos="3119"/>
                <w:tab w:val="left" w:pos="4082"/>
              </w:tabs>
              <w:spacing w:before="40" w:after="40"/>
              <w:jc w:val="right"/>
              <w:rPr>
                <w:color w:val="000000"/>
                <w:sz w:val="18"/>
                <w:szCs w:val="18"/>
              </w:rPr>
            </w:pPr>
            <w:r w:rsidRPr="004B535A">
              <w:rPr>
                <w:color w:val="000000"/>
                <w:sz w:val="18"/>
                <w:szCs w:val="18"/>
              </w:rPr>
              <w:t>222.0</w:t>
            </w:r>
          </w:p>
        </w:tc>
        <w:tc>
          <w:tcPr>
            <w:tcW w:w="1134" w:type="dxa"/>
            <w:tcBorders>
              <w:top w:val="single" w:sz="12" w:space="0" w:color="auto"/>
              <w:bottom w:val="single" w:sz="12" w:space="0" w:color="auto"/>
            </w:tcBorders>
            <w:vAlign w:val="bottom"/>
          </w:tcPr>
          <w:p w14:paraId="5DB83D38" w14:textId="77777777" w:rsidR="0044658C" w:rsidRPr="004B535A" w:rsidRDefault="0044658C" w:rsidP="00A920B2">
            <w:pPr>
              <w:tabs>
                <w:tab w:val="left" w:pos="624"/>
                <w:tab w:val="left" w:pos="1871"/>
                <w:tab w:val="left" w:pos="2495"/>
                <w:tab w:val="left" w:pos="3119"/>
                <w:tab w:val="left" w:pos="4082"/>
              </w:tabs>
              <w:spacing w:before="40" w:after="40"/>
              <w:jc w:val="right"/>
              <w:rPr>
                <w:b/>
                <w:bCs/>
                <w:color w:val="000000"/>
                <w:sz w:val="18"/>
                <w:szCs w:val="18"/>
              </w:rPr>
            </w:pPr>
            <w:r w:rsidRPr="004B535A">
              <w:rPr>
                <w:b/>
                <w:bCs/>
                <w:color w:val="000000"/>
                <w:sz w:val="18"/>
                <w:szCs w:val="18"/>
              </w:rPr>
              <w:t>208.4</w:t>
            </w:r>
          </w:p>
        </w:tc>
        <w:tc>
          <w:tcPr>
            <w:tcW w:w="1134" w:type="dxa"/>
            <w:tcBorders>
              <w:top w:val="single" w:sz="12" w:space="0" w:color="auto"/>
              <w:bottom w:val="single" w:sz="12" w:space="0" w:color="auto"/>
            </w:tcBorders>
            <w:vAlign w:val="bottom"/>
          </w:tcPr>
          <w:p w14:paraId="001174F9" w14:textId="77777777" w:rsidR="0044658C" w:rsidRPr="004B535A" w:rsidRDefault="0044658C" w:rsidP="00A920B2">
            <w:pPr>
              <w:tabs>
                <w:tab w:val="left" w:pos="624"/>
                <w:tab w:val="left" w:pos="1871"/>
                <w:tab w:val="left" w:pos="2495"/>
                <w:tab w:val="left" w:pos="3119"/>
                <w:tab w:val="left" w:pos="4082"/>
              </w:tabs>
              <w:spacing w:before="40" w:after="40"/>
              <w:jc w:val="right"/>
              <w:rPr>
                <w:color w:val="000000"/>
                <w:sz w:val="18"/>
                <w:szCs w:val="18"/>
              </w:rPr>
            </w:pPr>
            <w:r w:rsidRPr="004B535A">
              <w:rPr>
                <w:color w:val="000000"/>
                <w:sz w:val="18"/>
                <w:szCs w:val="18"/>
              </w:rPr>
              <w:t>162.98</w:t>
            </w:r>
          </w:p>
        </w:tc>
        <w:tc>
          <w:tcPr>
            <w:tcW w:w="1134" w:type="dxa"/>
            <w:tcBorders>
              <w:top w:val="single" w:sz="12" w:space="0" w:color="auto"/>
              <w:bottom w:val="single" w:sz="12" w:space="0" w:color="auto"/>
            </w:tcBorders>
            <w:vAlign w:val="bottom"/>
          </w:tcPr>
          <w:p w14:paraId="38C12FF3" w14:textId="77777777" w:rsidR="0044658C" w:rsidRPr="004B535A" w:rsidRDefault="0044658C" w:rsidP="00A920B2">
            <w:pPr>
              <w:tabs>
                <w:tab w:val="left" w:pos="624"/>
                <w:tab w:val="left" w:pos="1871"/>
                <w:tab w:val="left" w:pos="2495"/>
                <w:tab w:val="left" w:pos="3119"/>
                <w:tab w:val="left" w:pos="4082"/>
              </w:tabs>
              <w:spacing w:before="40" w:after="40"/>
              <w:jc w:val="right"/>
              <w:rPr>
                <w:color w:val="000000"/>
                <w:sz w:val="18"/>
                <w:szCs w:val="18"/>
              </w:rPr>
            </w:pPr>
            <w:r w:rsidRPr="004B535A">
              <w:rPr>
                <w:color w:val="000000"/>
                <w:sz w:val="18"/>
                <w:szCs w:val="18"/>
              </w:rPr>
              <w:t>160.96</w:t>
            </w:r>
          </w:p>
        </w:tc>
        <w:tc>
          <w:tcPr>
            <w:tcW w:w="1559" w:type="dxa"/>
            <w:tcBorders>
              <w:top w:val="single" w:sz="12" w:space="0" w:color="auto"/>
              <w:bottom w:val="single" w:sz="12" w:space="0" w:color="auto"/>
            </w:tcBorders>
            <w:vAlign w:val="bottom"/>
          </w:tcPr>
          <w:p w14:paraId="66595FA8" w14:textId="77777777" w:rsidR="0044658C" w:rsidRPr="004B535A" w:rsidRDefault="0044658C" w:rsidP="00A920B2">
            <w:pPr>
              <w:tabs>
                <w:tab w:val="left" w:pos="624"/>
                <w:tab w:val="left" w:pos="1871"/>
                <w:tab w:val="left" w:pos="2495"/>
                <w:tab w:val="left" w:pos="3119"/>
                <w:tab w:val="left" w:pos="4082"/>
              </w:tabs>
              <w:spacing w:before="40" w:after="40"/>
              <w:jc w:val="right"/>
              <w:rPr>
                <w:b/>
                <w:bCs/>
                <w:color w:val="000000"/>
                <w:sz w:val="18"/>
                <w:szCs w:val="18"/>
              </w:rPr>
            </w:pPr>
            <w:r w:rsidRPr="004B535A">
              <w:rPr>
                <w:b/>
                <w:bCs/>
                <w:color w:val="000000"/>
                <w:sz w:val="18"/>
                <w:szCs w:val="18"/>
              </w:rPr>
              <w:t>161.97</w:t>
            </w:r>
          </w:p>
        </w:tc>
      </w:tr>
    </w:tbl>
    <w:p w14:paraId="5A13696D" w14:textId="77777777" w:rsidR="0044658C" w:rsidRPr="004B535A" w:rsidRDefault="0044658C" w:rsidP="00853695">
      <w:pPr>
        <w:tabs>
          <w:tab w:val="clear" w:pos="1247"/>
          <w:tab w:val="left" w:pos="624"/>
          <w:tab w:val="left" w:pos="1871"/>
          <w:tab w:val="left" w:pos="2495"/>
          <w:tab w:val="left" w:pos="3119"/>
          <w:tab w:val="left" w:pos="4082"/>
        </w:tabs>
        <w:spacing w:before="20" w:after="160"/>
        <w:ind w:left="1411"/>
        <w:rPr>
          <w:sz w:val="17"/>
          <w:szCs w:val="17"/>
        </w:rPr>
      </w:pPr>
      <w:r w:rsidRPr="004B535A">
        <w:rPr>
          <w:bCs/>
          <w:color w:val="000000"/>
          <w:sz w:val="17"/>
          <w:szCs w:val="17"/>
          <w:vertAlign w:val="superscript"/>
        </w:rPr>
        <w:t>a</w:t>
      </w:r>
      <w:r w:rsidRPr="004B535A">
        <w:rPr>
          <w:bCs/>
          <w:color w:val="000000"/>
          <w:sz w:val="17"/>
          <w:szCs w:val="17"/>
        </w:rPr>
        <w:t xml:space="preserve"> Hydrochlorofluorocarbon baselines established after the Twenty-Third Meeting of the Parties are presented using two decimal places</w:t>
      </w:r>
      <w:r w:rsidR="00446F9E" w:rsidRPr="004B535A">
        <w:rPr>
          <w:bCs/>
          <w:color w:val="000000"/>
          <w:sz w:val="17"/>
          <w:szCs w:val="17"/>
        </w:rPr>
        <w:t>,</w:t>
      </w:r>
      <w:r w:rsidRPr="004B535A">
        <w:rPr>
          <w:bCs/>
          <w:color w:val="000000"/>
          <w:sz w:val="17"/>
          <w:szCs w:val="17"/>
        </w:rPr>
        <w:t xml:space="preserve"> whereas those established before are presented using one decimal place (see decision XXIII/30).</w:t>
      </w:r>
    </w:p>
    <w:p w14:paraId="35C05E67" w14:textId="54417111" w:rsidR="0044658C" w:rsidRPr="004B535A" w:rsidRDefault="00DC2E5E" w:rsidP="00853695">
      <w:pPr>
        <w:pStyle w:val="CH2"/>
        <w:spacing w:before="160"/>
        <w:ind w:left="1253" w:right="288" w:hanging="1253"/>
      </w:pPr>
      <w:r w:rsidRPr="004B535A">
        <w:tab/>
      </w:r>
      <w:r w:rsidR="0060673D" w:rsidRPr="004B535A">
        <w:t>E</w:t>
      </w:r>
      <w:r w:rsidRPr="004B535A">
        <w:t>.</w:t>
      </w:r>
      <w:r w:rsidRPr="004B535A">
        <w:tab/>
      </w:r>
      <w:r w:rsidR="0044658C" w:rsidRPr="004B535A">
        <w:t>Draft decision XXIX</w:t>
      </w:r>
      <w:proofErr w:type="gramStart"/>
      <w:r w:rsidR="0044658C" w:rsidRPr="004B535A">
        <w:t>/[</w:t>
      </w:r>
      <w:proofErr w:type="gramEnd"/>
      <w:r w:rsidR="0044658C" w:rsidRPr="004B535A">
        <w:t xml:space="preserve">…]: Reporting of zero in Article 7 data reporting forms </w:t>
      </w:r>
    </w:p>
    <w:p w14:paraId="2FF26D29" w14:textId="6D9B8B24"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rPr>
          <w:i/>
        </w:rPr>
        <w:t>Recalling</w:t>
      </w:r>
      <w:r w:rsidRPr="004B535A">
        <w:t xml:space="preserve"> decision XXIV/14, in which the Twenty-Fourth Meeting of the Parties recalled the need for consistent reporting of production, imports, exports and destruction of ozone-depleting substances in accordance with Article 7 of the Montreal Protocol on Substances that Deplete the Ozone Layer and noted that the forms for reporting in accordance with Article 7 submitted by parties sometimes contained blank cells, in which no numbers indicating quantities of ozone-depleting substances were entered, and that such blank cells could be intended by a party in a given case to indicate zero controlled substances or, alternatively, could represent non-reporting by that party in respect of those substances</w:t>
      </w:r>
      <w:r w:rsidR="003D25EA" w:rsidRPr="004B535A">
        <w:t>,</w:t>
      </w:r>
      <w:r w:rsidRPr="004B535A">
        <w:t xml:space="preserve"> </w:t>
      </w:r>
    </w:p>
    <w:p w14:paraId="02528C46"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rPr>
          <w:i/>
        </w:rPr>
        <w:t>Recalling</w:t>
      </w:r>
      <w:r w:rsidRPr="004B535A">
        <w:t xml:space="preserve"> </w:t>
      </w:r>
      <w:r w:rsidRPr="004B535A">
        <w:rPr>
          <w:i/>
        </w:rPr>
        <w:t>also</w:t>
      </w:r>
      <w:r w:rsidRPr="004B535A">
        <w:t xml:space="preserve"> that, by decision XXIV/14, the Twenty-Fourth Meeting of the Parties requested the parties, when reporting production, imports, exports or destruction, to enter a number, including zero, where appropriate, in each cell in the data reporting forms that they submitted, rather than leaving the cell blank, and asked the Secretariat to request clarification from any party that submitted a form containing a blank cell,</w:t>
      </w:r>
    </w:p>
    <w:p w14:paraId="33DC0CC2"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1.</w:t>
      </w:r>
      <w:r w:rsidRPr="004B535A">
        <w:tab/>
        <w:t>To note with appreciation that the majority of parties are complying with the request made in decision XXIV/14 to enter a number, including zero, where appropriate, in each cell in the data reporting forms that they submit, rather than leaving the cell blank;</w:t>
      </w:r>
    </w:p>
    <w:p w14:paraId="1BE23237"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2.</w:t>
      </w:r>
      <w:r w:rsidRPr="004B535A">
        <w:tab/>
        <w:t xml:space="preserve">To note, however, that some parties are continuing to submit forms containing blank cells, which requires additional work by the Secretariat to request clarification from the parties and results in delays in compiling information and assessing parties’ compliance with the control measures under the Montreal Protocol on Substances that Deplete the Ozone Layer; </w:t>
      </w:r>
    </w:p>
    <w:p w14:paraId="4FAD3A40"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lastRenderedPageBreak/>
        <w:t>3.</w:t>
      </w:r>
      <w:r w:rsidRPr="004B535A">
        <w:tab/>
        <w:t>To urge the parties, when submitting forms for reporting data in accordance with Article 7, to ensure that all cells in the forms are completed with a number, including zero, where appropriate, rather than leaving the cell blank;</w:t>
      </w:r>
    </w:p>
    <w:p w14:paraId="43A09406" w14:textId="77777777" w:rsidR="0044658C" w:rsidRPr="004B535A" w:rsidRDefault="0044658C" w:rsidP="0044658C">
      <w:pPr>
        <w:tabs>
          <w:tab w:val="clear" w:pos="1814"/>
          <w:tab w:val="clear" w:pos="2381"/>
          <w:tab w:val="clear" w:pos="2948"/>
          <w:tab w:val="clear" w:pos="3515"/>
          <w:tab w:val="left" w:pos="624"/>
          <w:tab w:val="left" w:pos="1871"/>
          <w:tab w:val="left" w:pos="2495"/>
          <w:tab w:val="left" w:pos="3119"/>
        </w:tabs>
        <w:spacing w:after="120"/>
        <w:ind w:left="1247" w:firstLine="624"/>
      </w:pPr>
      <w:r w:rsidRPr="004B535A">
        <w:t>4.</w:t>
      </w:r>
      <w:r w:rsidRPr="004B535A">
        <w:tab/>
        <w:t>To request the Implementation Committee under the Non</w:t>
      </w:r>
      <w:r w:rsidRPr="004B535A">
        <w:noBreakHyphen/>
        <w:t>Compliance Procedure for the Montreal Protocol to review the status of compliance by the parties with paragraph 3 of the present decision at its sixty-first meeting.</w:t>
      </w:r>
    </w:p>
    <w:p w14:paraId="025B7DCE" w14:textId="77777777" w:rsidR="005F7162" w:rsidRPr="004B535A" w:rsidRDefault="005F7162" w:rsidP="00DC2E5E">
      <w:pPr>
        <w:pStyle w:val="Normalpool"/>
        <w:rPr>
          <w:lang w:val="en-GB"/>
        </w:rPr>
      </w:pPr>
    </w:p>
    <w:p w14:paraId="0AF5F03A" w14:textId="77777777" w:rsidR="00BC2D09" w:rsidRPr="004B535A" w:rsidRDefault="00BC2D09" w:rsidP="00DC2E5E">
      <w:pPr>
        <w:pStyle w:val="Normalpool"/>
        <w:rPr>
          <w:highlight w:val="cyan"/>
          <w:lang w:val="en-GB"/>
        </w:rPr>
      </w:pPr>
      <w:r w:rsidRPr="004B535A">
        <w:rPr>
          <w:highlight w:val="cyan"/>
          <w:lang w:val="en-GB"/>
        </w:rPr>
        <w:br w:type="page"/>
      </w:r>
    </w:p>
    <w:p w14:paraId="180D90E1" w14:textId="77777777" w:rsidR="008334E6" w:rsidRPr="004B535A" w:rsidRDefault="008334E6" w:rsidP="008334E6">
      <w:pPr>
        <w:rPr>
          <w:b/>
          <w:bCs/>
          <w:sz w:val="28"/>
          <w:szCs w:val="22"/>
        </w:rPr>
      </w:pPr>
      <w:r w:rsidRPr="004B535A">
        <w:rPr>
          <w:b/>
          <w:bCs/>
          <w:sz w:val="28"/>
          <w:szCs w:val="22"/>
        </w:rPr>
        <w:lastRenderedPageBreak/>
        <w:t>Annex II</w:t>
      </w:r>
    </w:p>
    <w:p w14:paraId="5B7BCDDC" w14:textId="77777777" w:rsidR="008334E6" w:rsidRPr="004B535A" w:rsidRDefault="008334E6" w:rsidP="008334E6">
      <w:pPr>
        <w:spacing w:before="360" w:after="240"/>
        <w:ind w:left="1247"/>
        <w:rPr>
          <w:b/>
          <w:bCs/>
          <w:sz w:val="28"/>
          <w:szCs w:val="26"/>
        </w:rPr>
      </w:pPr>
      <w:r w:rsidRPr="004B535A">
        <w:rPr>
          <w:b/>
          <w:bCs/>
          <w:sz w:val="28"/>
          <w:szCs w:val="26"/>
        </w:rPr>
        <w:t>List of participants</w:t>
      </w:r>
    </w:p>
    <w:p w14:paraId="3795627A" w14:textId="03F6AA33" w:rsidR="009D052D" w:rsidRPr="004B535A" w:rsidRDefault="009D052D" w:rsidP="009D052D">
      <w:pPr>
        <w:pStyle w:val="CH2"/>
        <w:sectPr w:rsidR="009D052D" w:rsidRPr="004B535A" w:rsidSect="00521DA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907" w:right="992" w:bottom="1418" w:left="1418" w:header="539" w:footer="975" w:gutter="0"/>
          <w:cols w:space="539"/>
          <w:titlePg/>
          <w:docGrid w:linePitch="360"/>
        </w:sectPr>
      </w:pPr>
      <w:r w:rsidRPr="004B535A">
        <w:tab/>
      </w:r>
      <w:r w:rsidRPr="004B535A">
        <w:tab/>
        <w:t>Members of the I</w:t>
      </w:r>
      <w:r w:rsidR="00200B02" w:rsidRPr="004B535A">
        <w:t>mplementation</w:t>
      </w:r>
      <w:r w:rsidRPr="004B535A">
        <w:t xml:space="preserve"> Committee</w:t>
      </w:r>
      <w:r w:rsidR="003D25EA" w:rsidRPr="004B535A">
        <w:t xml:space="preserve"> </w:t>
      </w:r>
    </w:p>
    <w:p w14:paraId="78EFB38A" w14:textId="77777777" w:rsidR="009D052D" w:rsidRPr="004B535A" w:rsidRDefault="00200B02" w:rsidP="009373BC">
      <w:pPr>
        <w:pStyle w:val="CH2"/>
        <w:spacing w:before="240"/>
      </w:pPr>
      <w:r w:rsidRPr="004B535A">
        <w:tab/>
      </w:r>
      <w:r w:rsidRPr="004B535A">
        <w:tab/>
        <w:t>Parties</w:t>
      </w:r>
    </w:p>
    <w:p w14:paraId="1EC7B171" w14:textId="77777777" w:rsidR="009D052D" w:rsidRPr="004B535A" w:rsidRDefault="00200B02" w:rsidP="009373BC">
      <w:pPr>
        <w:pStyle w:val="CH3"/>
        <w:rPr>
          <w:b w:val="0"/>
        </w:rPr>
      </w:pPr>
      <w:r w:rsidRPr="004B535A">
        <w:tab/>
      </w:r>
      <w:r w:rsidRPr="004B535A">
        <w:tab/>
        <w:t>Bangladesh</w:t>
      </w:r>
    </w:p>
    <w:p w14:paraId="6DEEFCB6" w14:textId="77777777" w:rsidR="009D052D" w:rsidRPr="004B535A" w:rsidRDefault="009D052D" w:rsidP="009373BC">
      <w:pPr>
        <w:pStyle w:val="Normalpool"/>
        <w:tabs>
          <w:tab w:val="left" w:pos="624"/>
        </w:tabs>
        <w:ind w:left="1247"/>
        <w:rPr>
          <w:color w:val="000000"/>
          <w:lang w:val="en-GB"/>
        </w:rPr>
      </w:pPr>
      <w:r w:rsidRPr="004B535A">
        <w:rPr>
          <w:color w:val="000000"/>
          <w:lang w:val="en-GB"/>
        </w:rPr>
        <w:t xml:space="preserve">Mr. Md. </w:t>
      </w:r>
      <w:proofErr w:type="spellStart"/>
      <w:r w:rsidRPr="004B535A">
        <w:rPr>
          <w:color w:val="000000"/>
          <w:lang w:val="en-GB"/>
        </w:rPr>
        <w:t>Mamunur</w:t>
      </w:r>
      <w:proofErr w:type="spellEnd"/>
      <w:r w:rsidRPr="004B535A">
        <w:rPr>
          <w:color w:val="000000"/>
          <w:lang w:val="en-GB"/>
        </w:rPr>
        <w:t xml:space="preserve"> Rashid</w:t>
      </w:r>
    </w:p>
    <w:p w14:paraId="0461C8F5" w14:textId="77777777" w:rsidR="009D052D" w:rsidRPr="004B535A" w:rsidRDefault="009D052D" w:rsidP="009373BC">
      <w:pPr>
        <w:pStyle w:val="Normalpool"/>
        <w:tabs>
          <w:tab w:val="left" w:pos="624"/>
        </w:tabs>
        <w:ind w:left="1247"/>
        <w:rPr>
          <w:color w:val="000000"/>
          <w:lang w:val="en-GB"/>
        </w:rPr>
      </w:pPr>
      <w:r w:rsidRPr="004B535A">
        <w:rPr>
          <w:color w:val="000000"/>
          <w:lang w:val="en-GB"/>
        </w:rPr>
        <w:t>Deputy Secretary</w:t>
      </w:r>
    </w:p>
    <w:p w14:paraId="366715C7" w14:textId="77777777" w:rsidR="009D052D" w:rsidRPr="004B535A" w:rsidRDefault="009D052D" w:rsidP="009373BC">
      <w:pPr>
        <w:pStyle w:val="Normalpool"/>
        <w:tabs>
          <w:tab w:val="left" w:pos="624"/>
        </w:tabs>
        <w:ind w:left="1247"/>
        <w:rPr>
          <w:rFonts w:eastAsia="MS Mincho"/>
          <w:lang w:val="en-GB"/>
        </w:rPr>
      </w:pPr>
      <w:r w:rsidRPr="004B535A">
        <w:rPr>
          <w:rFonts w:eastAsia="MS Mincho"/>
          <w:lang w:val="en-GB"/>
        </w:rPr>
        <w:t>Ministry of Environment and Forests</w:t>
      </w:r>
    </w:p>
    <w:p w14:paraId="2BBB44AB" w14:textId="77777777" w:rsidR="009D052D" w:rsidRPr="004B535A" w:rsidRDefault="009D052D" w:rsidP="009373BC">
      <w:pPr>
        <w:pStyle w:val="Normalpool"/>
        <w:tabs>
          <w:tab w:val="left" w:pos="624"/>
        </w:tabs>
        <w:ind w:left="1247"/>
        <w:rPr>
          <w:rFonts w:eastAsia="MS Mincho"/>
          <w:lang w:val="en-GB"/>
        </w:rPr>
      </w:pPr>
      <w:r w:rsidRPr="004B535A">
        <w:rPr>
          <w:rFonts w:eastAsia="MS Mincho"/>
          <w:lang w:val="en-GB"/>
        </w:rPr>
        <w:t>Dhaka 1000</w:t>
      </w:r>
    </w:p>
    <w:p w14:paraId="4A4611A3" w14:textId="77777777" w:rsidR="009D052D" w:rsidRPr="004B535A" w:rsidRDefault="009D052D" w:rsidP="009373BC">
      <w:pPr>
        <w:pStyle w:val="Normalpool"/>
        <w:tabs>
          <w:tab w:val="left" w:pos="624"/>
        </w:tabs>
        <w:ind w:left="1247"/>
        <w:rPr>
          <w:rFonts w:eastAsia="MS Mincho"/>
          <w:lang w:val="en-GB"/>
        </w:rPr>
      </w:pPr>
      <w:r w:rsidRPr="004B535A">
        <w:rPr>
          <w:rFonts w:eastAsia="MS Mincho"/>
          <w:lang w:val="en-GB"/>
        </w:rPr>
        <w:t>Bangladesh</w:t>
      </w:r>
    </w:p>
    <w:p w14:paraId="7D1F78EC" w14:textId="77777777" w:rsidR="009D052D" w:rsidRPr="004B535A" w:rsidRDefault="009D052D" w:rsidP="009373BC">
      <w:pPr>
        <w:pStyle w:val="Normalpool"/>
        <w:tabs>
          <w:tab w:val="left" w:pos="624"/>
        </w:tabs>
        <w:ind w:left="1247"/>
        <w:rPr>
          <w:color w:val="000000"/>
          <w:lang w:val="en-GB"/>
        </w:rPr>
      </w:pPr>
      <w:r w:rsidRPr="004B535A">
        <w:rPr>
          <w:color w:val="000000"/>
          <w:lang w:val="en-GB"/>
        </w:rPr>
        <w:t>Tel:</w:t>
      </w:r>
      <w:r w:rsidR="00C635DA" w:rsidRPr="004B535A">
        <w:rPr>
          <w:color w:val="000000"/>
          <w:lang w:val="en-GB"/>
        </w:rPr>
        <w:t xml:space="preserve"> </w:t>
      </w:r>
      <w:r w:rsidRPr="004B535A">
        <w:rPr>
          <w:color w:val="000000"/>
          <w:lang w:val="en-GB"/>
        </w:rPr>
        <w:t>+88 02 9549 072</w:t>
      </w:r>
    </w:p>
    <w:p w14:paraId="3B6EE65A" w14:textId="77777777" w:rsidR="009D052D" w:rsidRPr="004B535A" w:rsidRDefault="009D052D" w:rsidP="009373BC">
      <w:pPr>
        <w:pStyle w:val="Normalpool"/>
        <w:tabs>
          <w:tab w:val="left" w:pos="624"/>
        </w:tabs>
        <w:ind w:left="1247"/>
        <w:rPr>
          <w:color w:val="000000"/>
          <w:lang w:val="en-GB"/>
        </w:rPr>
      </w:pPr>
      <w:r w:rsidRPr="004B535A">
        <w:rPr>
          <w:color w:val="000000"/>
          <w:lang w:val="en-GB"/>
        </w:rPr>
        <w:t>Cell:</w:t>
      </w:r>
      <w:r w:rsidR="00C635DA" w:rsidRPr="004B535A">
        <w:rPr>
          <w:color w:val="000000"/>
          <w:lang w:val="en-GB"/>
        </w:rPr>
        <w:t xml:space="preserve"> </w:t>
      </w:r>
      <w:r w:rsidRPr="004B535A">
        <w:rPr>
          <w:color w:val="000000"/>
          <w:lang w:val="en-GB"/>
        </w:rPr>
        <w:t>+880 171 207 5302</w:t>
      </w:r>
    </w:p>
    <w:p w14:paraId="2887E4D6" w14:textId="77777777" w:rsidR="009D052D" w:rsidRPr="004B535A" w:rsidRDefault="009D052D" w:rsidP="009373BC">
      <w:pPr>
        <w:pStyle w:val="Normalpool"/>
        <w:tabs>
          <w:tab w:val="left" w:pos="624"/>
        </w:tabs>
        <w:ind w:left="1247"/>
        <w:rPr>
          <w:color w:val="000000"/>
          <w:lang w:val="en-GB"/>
        </w:rPr>
      </w:pPr>
      <w:r w:rsidRPr="004B535A">
        <w:rPr>
          <w:color w:val="000000"/>
          <w:lang w:val="en-GB"/>
        </w:rPr>
        <w:t>Email:</w:t>
      </w:r>
      <w:r w:rsidR="00C635DA" w:rsidRPr="004B535A">
        <w:rPr>
          <w:color w:val="000000"/>
          <w:lang w:val="en-GB"/>
        </w:rPr>
        <w:t xml:space="preserve"> </w:t>
      </w:r>
      <w:r w:rsidRPr="004B535A">
        <w:rPr>
          <w:color w:val="000000"/>
          <w:lang w:val="en-GB"/>
        </w:rPr>
        <w:t>mamun15053@gmail.com</w:t>
      </w:r>
    </w:p>
    <w:p w14:paraId="0062ACEE" w14:textId="0335C87C" w:rsidR="009D052D" w:rsidRPr="004B535A" w:rsidRDefault="00580221" w:rsidP="000F0691">
      <w:pPr>
        <w:pStyle w:val="Normalpool"/>
        <w:tabs>
          <w:tab w:val="left" w:pos="624"/>
        </w:tabs>
        <w:spacing w:before="120"/>
        <w:ind w:left="1247"/>
        <w:rPr>
          <w:lang w:val="en-GB"/>
        </w:rPr>
      </w:pPr>
      <w:r w:rsidRPr="004B535A">
        <w:rPr>
          <w:lang w:val="en-GB"/>
        </w:rPr>
        <w:t>M</w:t>
      </w:r>
      <w:r w:rsidR="009D052D" w:rsidRPr="004B535A">
        <w:rPr>
          <w:lang w:val="en-GB"/>
        </w:rPr>
        <w:t xml:space="preserve">r. </w:t>
      </w:r>
      <w:proofErr w:type="spellStart"/>
      <w:r w:rsidR="009D052D" w:rsidRPr="004B535A">
        <w:rPr>
          <w:lang w:val="en-GB"/>
        </w:rPr>
        <w:t>Satyendra</w:t>
      </w:r>
      <w:proofErr w:type="spellEnd"/>
      <w:r w:rsidR="009D052D" w:rsidRPr="004B535A">
        <w:rPr>
          <w:lang w:val="en-GB"/>
        </w:rPr>
        <w:t xml:space="preserve"> Kumar </w:t>
      </w:r>
      <w:proofErr w:type="spellStart"/>
      <w:r w:rsidR="009D052D" w:rsidRPr="004B535A">
        <w:rPr>
          <w:lang w:val="en-GB"/>
        </w:rPr>
        <w:t>Purkayastha</w:t>
      </w:r>
      <w:proofErr w:type="spellEnd"/>
    </w:p>
    <w:p w14:paraId="6490C900" w14:textId="77777777" w:rsidR="009D052D" w:rsidRPr="004B535A" w:rsidRDefault="009D052D" w:rsidP="009373BC">
      <w:pPr>
        <w:pStyle w:val="Normalpool"/>
        <w:tabs>
          <w:tab w:val="left" w:pos="624"/>
        </w:tabs>
        <w:ind w:left="1247"/>
        <w:rPr>
          <w:lang w:val="en-GB"/>
        </w:rPr>
      </w:pPr>
      <w:r w:rsidRPr="004B535A">
        <w:rPr>
          <w:lang w:val="en-GB"/>
        </w:rPr>
        <w:t>Senior Officer, Ozone Cell</w:t>
      </w:r>
    </w:p>
    <w:p w14:paraId="217BFB17" w14:textId="77777777" w:rsidR="009D052D" w:rsidRPr="004B535A" w:rsidRDefault="009D052D" w:rsidP="009373BC">
      <w:pPr>
        <w:pStyle w:val="Normalpool"/>
        <w:tabs>
          <w:tab w:val="left" w:pos="624"/>
        </w:tabs>
        <w:ind w:left="1247"/>
        <w:rPr>
          <w:lang w:val="en-GB"/>
        </w:rPr>
      </w:pPr>
      <w:r w:rsidRPr="004B535A">
        <w:rPr>
          <w:lang w:val="en-GB"/>
        </w:rPr>
        <w:t>Department of Environment</w:t>
      </w:r>
    </w:p>
    <w:p w14:paraId="2C5C6D69" w14:textId="77777777" w:rsidR="009D052D" w:rsidRPr="004B535A" w:rsidRDefault="009D052D" w:rsidP="009373BC">
      <w:pPr>
        <w:pStyle w:val="Normalpool"/>
        <w:tabs>
          <w:tab w:val="left" w:pos="624"/>
        </w:tabs>
        <w:ind w:left="1247"/>
        <w:rPr>
          <w:lang w:val="en-GB"/>
        </w:rPr>
      </w:pPr>
      <w:r w:rsidRPr="004B535A">
        <w:rPr>
          <w:lang w:val="en-GB"/>
        </w:rPr>
        <w:t>Ministry of Environment and Forests</w:t>
      </w:r>
    </w:p>
    <w:p w14:paraId="70DE16A1" w14:textId="77777777" w:rsidR="009D052D" w:rsidRPr="004B535A" w:rsidRDefault="009D052D" w:rsidP="009373BC">
      <w:pPr>
        <w:pStyle w:val="Normalpool"/>
        <w:tabs>
          <w:tab w:val="left" w:pos="624"/>
        </w:tabs>
        <w:ind w:left="1247"/>
        <w:rPr>
          <w:lang w:val="en-GB"/>
        </w:rPr>
      </w:pPr>
      <w:proofErr w:type="spellStart"/>
      <w:r w:rsidRPr="004B535A">
        <w:rPr>
          <w:lang w:val="en-GB"/>
        </w:rPr>
        <w:t>Paribesh</w:t>
      </w:r>
      <w:proofErr w:type="spellEnd"/>
      <w:r w:rsidRPr="004B535A">
        <w:rPr>
          <w:lang w:val="en-GB"/>
        </w:rPr>
        <w:t xml:space="preserve"> </w:t>
      </w:r>
      <w:proofErr w:type="spellStart"/>
      <w:r w:rsidRPr="004B535A">
        <w:rPr>
          <w:lang w:val="en-GB"/>
        </w:rPr>
        <w:t>Bhaban</w:t>
      </w:r>
      <w:proofErr w:type="spellEnd"/>
    </w:p>
    <w:p w14:paraId="13171541" w14:textId="77777777" w:rsidR="009D052D" w:rsidRPr="004B535A" w:rsidRDefault="009D052D" w:rsidP="009373BC">
      <w:pPr>
        <w:pStyle w:val="Normalpool"/>
        <w:tabs>
          <w:tab w:val="left" w:pos="624"/>
        </w:tabs>
        <w:ind w:left="1247"/>
        <w:rPr>
          <w:lang w:val="en-GB"/>
        </w:rPr>
      </w:pPr>
      <w:r w:rsidRPr="004B535A">
        <w:rPr>
          <w:lang w:val="en-GB"/>
        </w:rPr>
        <w:t xml:space="preserve">E-16, </w:t>
      </w:r>
      <w:proofErr w:type="spellStart"/>
      <w:r w:rsidRPr="004B535A">
        <w:rPr>
          <w:lang w:val="en-GB"/>
        </w:rPr>
        <w:t>Agargaon</w:t>
      </w:r>
      <w:proofErr w:type="spellEnd"/>
      <w:r w:rsidRPr="004B535A">
        <w:rPr>
          <w:lang w:val="en-GB"/>
        </w:rPr>
        <w:t>, Sher-e-Bangla Nagar</w:t>
      </w:r>
    </w:p>
    <w:p w14:paraId="77970E57" w14:textId="77777777" w:rsidR="009D052D" w:rsidRPr="004B535A" w:rsidRDefault="009D052D" w:rsidP="009373BC">
      <w:pPr>
        <w:pStyle w:val="Normalpool"/>
        <w:tabs>
          <w:tab w:val="left" w:pos="624"/>
        </w:tabs>
        <w:ind w:left="1247"/>
        <w:rPr>
          <w:lang w:val="en-GB"/>
        </w:rPr>
      </w:pPr>
      <w:r w:rsidRPr="004B535A">
        <w:rPr>
          <w:lang w:val="en-GB"/>
        </w:rPr>
        <w:t>Dhaka-1207</w:t>
      </w:r>
    </w:p>
    <w:p w14:paraId="790E147E" w14:textId="77777777" w:rsidR="009D052D" w:rsidRPr="004B535A" w:rsidRDefault="009D052D" w:rsidP="009373BC">
      <w:pPr>
        <w:pStyle w:val="Normalpool"/>
        <w:tabs>
          <w:tab w:val="left" w:pos="624"/>
        </w:tabs>
        <w:ind w:left="1247"/>
        <w:rPr>
          <w:lang w:val="en-GB"/>
        </w:rPr>
      </w:pPr>
      <w:r w:rsidRPr="004B535A">
        <w:rPr>
          <w:lang w:val="en-GB"/>
        </w:rPr>
        <w:t>Bangladesh</w:t>
      </w:r>
    </w:p>
    <w:p w14:paraId="2C350D67"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+880 2 818 1801</w:t>
      </w:r>
    </w:p>
    <w:p w14:paraId="0A4FE3FD" w14:textId="77777777" w:rsidR="009D052D" w:rsidRPr="004B535A" w:rsidRDefault="009D052D" w:rsidP="009373BC">
      <w:pPr>
        <w:pStyle w:val="Normalpool"/>
        <w:tabs>
          <w:tab w:val="left" w:pos="624"/>
        </w:tabs>
        <w:ind w:left="1247"/>
        <w:rPr>
          <w:lang w:val="en-GB"/>
        </w:rPr>
      </w:pPr>
      <w:r w:rsidRPr="004B535A">
        <w:rPr>
          <w:lang w:val="en-GB"/>
        </w:rPr>
        <w:t>Cell: +880 171 301 3310</w:t>
      </w:r>
    </w:p>
    <w:p w14:paraId="35EA23E6"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skpurkayastha@yahoo.com</w:t>
      </w:r>
    </w:p>
    <w:p w14:paraId="726FF0DD" w14:textId="77777777" w:rsidR="009D052D" w:rsidRPr="004B535A" w:rsidRDefault="00200B02" w:rsidP="009373BC">
      <w:pPr>
        <w:pStyle w:val="CH3"/>
        <w:spacing w:before="120" w:after="40"/>
        <w:rPr>
          <w:b w:val="0"/>
        </w:rPr>
      </w:pPr>
      <w:r w:rsidRPr="004B535A">
        <w:tab/>
      </w:r>
      <w:r w:rsidRPr="004B535A">
        <w:tab/>
      </w:r>
      <w:r w:rsidR="009D052D" w:rsidRPr="004B535A">
        <w:t>C</w:t>
      </w:r>
      <w:r w:rsidRPr="004B535A">
        <w:t>anada</w:t>
      </w:r>
    </w:p>
    <w:p w14:paraId="4B7844F9" w14:textId="0E5A7BFA" w:rsidR="009D052D" w:rsidRPr="004B535A" w:rsidRDefault="009D052D" w:rsidP="009373BC">
      <w:pPr>
        <w:pStyle w:val="Normalpool"/>
        <w:tabs>
          <w:tab w:val="left" w:pos="624"/>
        </w:tabs>
        <w:ind w:left="1247"/>
        <w:rPr>
          <w:lang w:val="en-GB"/>
        </w:rPr>
      </w:pPr>
      <w:r w:rsidRPr="004B535A">
        <w:rPr>
          <w:bCs/>
          <w:lang w:val="en-GB"/>
        </w:rPr>
        <w:t xml:space="preserve">Ms. Nancy Seymour, </w:t>
      </w:r>
      <w:r w:rsidRPr="004B535A">
        <w:rPr>
          <w:lang w:val="en-GB"/>
        </w:rPr>
        <w:br/>
        <w:t>Head, Ozone Protection Programs</w:t>
      </w:r>
      <w:r w:rsidRPr="004B535A">
        <w:rPr>
          <w:lang w:val="en-GB"/>
        </w:rPr>
        <w:br/>
        <w:t xml:space="preserve">Chemical Production Division </w:t>
      </w:r>
      <w:r w:rsidRPr="004B535A">
        <w:rPr>
          <w:lang w:val="en-GB"/>
        </w:rPr>
        <w:br/>
        <w:t xml:space="preserve">Environmental Protection Branch </w:t>
      </w:r>
      <w:r w:rsidRPr="004B535A">
        <w:rPr>
          <w:lang w:val="en-GB"/>
        </w:rPr>
        <w:br/>
        <w:t xml:space="preserve">Environment and Climate Change Canada </w:t>
      </w:r>
      <w:r w:rsidRPr="004B535A">
        <w:rPr>
          <w:lang w:val="en-GB"/>
        </w:rPr>
        <w:br/>
        <w:t>351 St. Joseph Blvd., 11</w:t>
      </w:r>
      <w:r w:rsidRPr="004B535A">
        <w:rPr>
          <w:vertAlign w:val="superscript"/>
          <w:lang w:val="en-GB"/>
        </w:rPr>
        <w:t>th</w:t>
      </w:r>
      <w:r w:rsidRPr="004B535A">
        <w:rPr>
          <w:lang w:val="en-GB"/>
        </w:rPr>
        <w:t xml:space="preserve"> Floor</w:t>
      </w:r>
    </w:p>
    <w:p w14:paraId="5FFAD381" w14:textId="77777777" w:rsidR="009D052D" w:rsidRPr="004B535A" w:rsidRDefault="009D052D" w:rsidP="009373BC">
      <w:pPr>
        <w:pStyle w:val="Normalpool"/>
        <w:tabs>
          <w:tab w:val="left" w:pos="624"/>
        </w:tabs>
        <w:ind w:left="1247"/>
        <w:rPr>
          <w:lang w:val="en-GB"/>
        </w:rPr>
      </w:pPr>
      <w:r w:rsidRPr="004B535A">
        <w:rPr>
          <w:lang w:val="en-GB"/>
        </w:rPr>
        <w:t>Gatineau, Quebec K1A 0H3</w:t>
      </w:r>
    </w:p>
    <w:p w14:paraId="3490EDE8" w14:textId="77777777" w:rsidR="009D052D" w:rsidRPr="004B535A" w:rsidRDefault="009D052D" w:rsidP="009373BC">
      <w:pPr>
        <w:pStyle w:val="Normalpool"/>
        <w:tabs>
          <w:tab w:val="left" w:pos="624"/>
        </w:tabs>
        <w:ind w:left="1247"/>
        <w:rPr>
          <w:lang w:val="en-GB"/>
        </w:rPr>
      </w:pPr>
      <w:r w:rsidRPr="004B535A">
        <w:rPr>
          <w:lang w:val="en-GB"/>
        </w:rPr>
        <w:t xml:space="preserve">Canada </w:t>
      </w:r>
      <w:r w:rsidRPr="004B535A">
        <w:rPr>
          <w:lang w:val="en-GB"/>
        </w:rPr>
        <w:br/>
        <w:t>Tel:</w:t>
      </w:r>
      <w:r w:rsidR="00C635DA" w:rsidRPr="004B535A">
        <w:rPr>
          <w:lang w:val="en-GB"/>
        </w:rPr>
        <w:t xml:space="preserve"> </w:t>
      </w:r>
      <w:r w:rsidRPr="004B535A">
        <w:rPr>
          <w:lang w:val="en-GB"/>
        </w:rPr>
        <w:t>+1 819 938 4236</w:t>
      </w:r>
    </w:p>
    <w:p w14:paraId="3703A24B" w14:textId="77777777" w:rsidR="009D052D" w:rsidRPr="004B535A" w:rsidRDefault="009D052D" w:rsidP="009373BC">
      <w:pPr>
        <w:pStyle w:val="Normalpool"/>
        <w:tabs>
          <w:tab w:val="left" w:pos="624"/>
        </w:tabs>
        <w:ind w:left="1247"/>
        <w:rPr>
          <w:lang w:val="en-GB"/>
        </w:rPr>
      </w:pPr>
      <w:r w:rsidRPr="004B535A">
        <w:rPr>
          <w:lang w:val="en-GB"/>
        </w:rPr>
        <w:t>Fax:</w:t>
      </w:r>
      <w:r w:rsidR="00C635DA" w:rsidRPr="004B535A">
        <w:rPr>
          <w:lang w:val="en-GB"/>
        </w:rPr>
        <w:t xml:space="preserve"> </w:t>
      </w:r>
      <w:r w:rsidRPr="004B535A">
        <w:rPr>
          <w:lang w:val="en-GB"/>
        </w:rPr>
        <w:t>+1 819 938 4218</w:t>
      </w:r>
    </w:p>
    <w:p w14:paraId="2175D5E3"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nancy.seymour@canada.ca</w:t>
      </w:r>
    </w:p>
    <w:p w14:paraId="409B399C" w14:textId="77777777" w:rsidR="009D052D" w:rsidRPr="004B535A" w:rsidRDefault="00C635DA" w:rsidP="009373BC">
      <w:pPr>
        <w:pStyle w:val="CH3"/>
        <w:spacing w:before="120" w:after="40"/>
      </w:pPr>
      <w:r w:rsidRPr="004B535A">
        <w:tab/>
      </w:r>
      <w:r w:rsidRPr="004B535A">
        <w:tab/>
      </w:r>
      <w:r w:rsidR="009D052D" w:rsidRPr="004B535A">
        <w:t>G</w:t>
      </w:r>
      <w:r w:rsidRPr="004B535A">
        <w:t>eorgia</w:t>
      </w:r>
    </w:p>
    <w:p w14:paraId="1DFDEED7" w14:textId="77777777" w:rsidR="009D052D" w:rsidRPr="004B535A" w:rsidRDefault="009D052D" w:rsidP="009373BC">
      <w:pPr>
        <w:pStyle w:val="Normalpool"/>
        <w:tabs>
          <w:tab w:val="left" w:pos="624"/>
        </w:tabs>
        <w:ind w:left="1247"/>
        <w:rPr>
          <w:lang w:val="en-GB"/>
        </w:rPr>
      </w:pPr>
      <w:r w:rsidRPr="004B535A">
        <w:rPr>
          <w:lang w:val="en-GB"/>
        </w:rPr>
        <w:t xml:space="preserve">Mr. Noe </w:t>
      </w:r>
      <w:proofErr w:type="spellStart"/>
      <w:r w:rsidRPr="004B535A">
        <w:rPr>
          <w:lang w:val="en-GB"/>
        </w:rPr>
        <w:t>Megrelishvili</w:t>
      </w:r>
      <w:proofErr w:type="spellEnd"/>
    </w:p>
    <w:p w14:paraId="31C0676D" w14:textId="77777777" w:rsidR="009D052D" w:rsidRPr="004B535A" w:rsidRDefault="009D052D" w:rsidP="009373BC">
      <w:pPr>
        <w:pStyle w:val="Normalpool"/>
        <w:tabs>
          <w:tab w:val="left" w:pos="624"/>
        </w:tabs>
        <w:ind w:left="1247"/>
        <w:rPr>
          <w:lang w:val="en-GB"/>
        </w:rPr>
      </w:pPr>
      <w:r w:rsidRPr="004B535A">
        <w:rPr>
          <w:lang w:val="en-GB"/>
        </w:rPr>
        <w:t>National Ozone Focal Point &amp; Chief Specialist</w:t>
      </w:r>
      <w:r w:rsidR="003458D1" w:rsidRPr="004B535A">
        <w:rPr>
          <w:lang w:val="en-GB"/>
        </w:rPr>
        <w:t xml:space="preserve">, </w:t>
      </w:r>
    </w:p>
    <w:p w14:paraId="3D4C98B7" w14:textId="77777777" w:rsidR="009D052D" w:rsidRPr="004B535A" w:rsidRDefault="009D052D" w:rsidP="009373BC">
      <w:pPr>
        <w:pStyle w:val="Normalpool"/>
        <w:tabs>
          <w:tab w:val="left" w:pos="624"/>
        </w:tabs>
        <w:ind w:left="1247"/>
        <w:rPr>
          <w:lang w:val="en-GB"/>
        </w:rPr>
      </w:pPr>
      <w:r w:rsidRPr="004B535A">
        <w:rPr>
          <w:lang w:val="en-GB"/>
        </w:rPr>
        <w:t>Ambient Air Division</w:t>
      </w:r>
    </w:p>
    <w:p w14:paraId="3E8B6F56" w14:textId="77777777" w:rsidR="009D052D" w:rsidRPr="004B535A" w:rsidRDefault="009D052D" w:rsidP="009373BC">
      <w:pPr>
        <w:pStyle w:val="Normalpool"/>
        <w:tabs>
          <w:tab w:val="left" w:pos="624"/>
        </w:tabs>
        <w:ind w:left="1247"/>
        <w:rPr>
          <w:lang w:val="en-GB"/>
        </w:rPr>
      </w:pPr>
      <w:r w:rsidRPr="004B535A">
        <w:rPr>
          <w:lang w:val="en-GB"/>
        </w:rPr>
        <w:t>Integrated Management Department</w:t>
      </w:r>
    </w:p>
    <w:p w14:paraId="063AFB54" w14:textId="77777777" w:rsidR="009D052D" w:rsidRPr="004B535A" w:rsidRDefault="009D052D" w:rsidP="009373BC">
      <w:pPr>
        <w:pStyle w:val="Normalpool"/>
        <w:tabs>
          <w:tab w:val="left" w:pos="624"/>
        </w:tabs>
        <w:ind w:left="1247"/>
        <w:rPr>
          <w:lang w:val="en-GB"/>
        </w:rPr>
      </w:pPr>
      <w:r w:rsidRPr="004B535A">
        <w:rPr>
          <w:lang w:val="en-GB"/>
        </w:rPr>
        <w:t>Ministry of Environment and Natural Resources Protection</w:t>
      </w:r>
    </w:p>
    <w:p w14:paraId="1FC88B20" w14:textId="77777777" w:rsidR="009D052D" w:rsidRPr="004B535A" w:rsidRDefault="009D052D" w:rsidP="009373BC">
      <w:pPr>
        <w:pStyle w:val="Normalpool"/>
        <w:tabs>
          <w:tab w:val="left" w:pos="624"/>
        </w:tabs>
        <w:ind w:left="1247"/>
        <w:rPr>
          <w:lang w:val="en-GB"/>
        </w:rPr>
      </w:pPr>
      <w:r w:rsidRPr="004B535A">
        <w:rPr>
          <w:lang w:val="en-GB"/>
        </w:rPr>
        <w:t xml:space="preserve">6 </w:t>
      </w:r>
      <w:proofErr w:type="spellStart"/>
      <w:r w:rsidRPr="004B535A">
        <w:rPr>
          <w:lang w:val="en-GB"/>
        </w:rPr>
        <w:t>Gulua</w:t>
      </w:r>
      <w:proofErr w:type="spellEnd"/>
      <w:r w:rsidRPr="004B535A">
        <w:rPr>
          <w:lang w:val="en-GB"/>
        </w:rPr>
        <w:t xml:space="preserve"> Str. </w:t>
      </w:r>
    </w:p>
    <w:p w14:paraId="6B8E1AA5" w14:textId="77777777" w:rsidR="009D052D" w:rsidRPr="004B535A" w:rsidRDefault="009D052D" w:rsidP="009373BC">
      <w:pPr>
        <w:pStyle w:val="Normalpool"/>
        <w:tabs>
          <w:tab w:val="left" w:pos="624"/>
        </w:tabs>
        <w:ind w:left="1247"/>
        <w:rPr>
          <w:lang w:val="en-GB"/>
        </w:rPr>
      </w:pPr>
      <w:r w:rsidRPr="004B535A">
        <w:rPr>
          <w:lang w:val="en-GB"/>
        </w:rPr>
        <w:t>Tbilisi 0114</w:t>
      </w:r>
    </w:p>
    <w:p w14:paraId="45A12BD8" w14:textId="77777777" w:rsidR="009D052D" w:rsidRPr="004B535A" w:rsidRDefault="009D052D" w:rsidP="009373BC">
      <w:pPr>
        <w:pStyle w:val="Normalpool"/>
        <w:tabs>
          <w:tab w:val="left" w:pos="624"/>
        </w:tabs>
        <w:ind w:left="1247"/>
        <w:rPr>
          <w:lang w:val="en-GB"/>
        </w:rPr>
      </w:pPr>
      <w:r w:rsidRPr="004B535A">
        <w:rPr>
          <w:lang w:val="en-GB"/>
        </w:rPr>
        <w:t>Georgia</w:t>
      </w:r>
    </w:p>
    <w:p w14:paraId="531BD9B4"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+995 32 272 7228</w:t>
      </w:r>
    </w:p>
    <w:p w14:paraId="6E7BBF3B" w14:textId="77777777" w:rsidR="009D052D" w:rsidRPr="004B535A" w:rsidRDefault="009D052D" w:rsidP="009373BC">
      <w:pPr>
        <w:pStyle w:val="Normalpool"/>
        <w:tabs>
          <w:tab w:val="left" w:pos="624"/>
        </w:tabs>
        <w:ind w:left="1247"/>
        <w:rPr>
          <w:lang w:val="en-GB"/>
        </w:rPr>
      </w:pPr>
      <w:r w:rsidRPr="004B535A">
        <w:rPr>
          <w:lang w:val="en-GB"/>
        </w:rPr>
        <w:t>Cell:</w:t>
      </w:r>
      <w:r w:rsidR="00C635DA" w:rsidRPr="004B535A">
        <w:rPr>
          <w:lang w:val="en-GB"/>
        </w:rPr>
        <w:t xml:space="preserve"> </w:t>
      </w:r>
      <w:r w:rsidRPr="004B535A">
        <w:rPr>
          <w:lang w:val="en-GB"/>
        </w:rPr>
        <w:t>+995 5951 19735</w:t>
      </w:r>
    </w:p>
    <w:p w14:paraId="1C642968"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n.megrelishvili@moe.gov.ge</w:t>
      </w:r>
    </w:p>
    <w:p w14:paraId="49952EB5" w14:textId="77777777" w:rsidR="009D052D" w:rsidRPr="004B535A" w:rsidRDefault="00C635DA" w:rsidP="009373BC">
      <w:pPr>
        <w:pStyle w:val="CH3"/>
        <w:spacing w:before="120" w:after="40"/>
        <w:rPr>
          <w:sz w:val="22"/>
          <w:szCs w:val="22"/>
        </w:rPr>
      </w:pPr>
      <w:r w:rsidRPr="004B535A">
        <w:tab/>
      </w:r>
      <w:r w:rsidRPr="004B535A">
        <w:tab/>
      </w:r>
      <w:r w:rsidR="009D052D" w:rsidRPr="004B535A">
        <w:t>H</w:t>
      </w:r>
      <w:r w:rsidRPr="004B535A">
        <w:t>aiti</w:t>
      </w:r>
    </w:p>
    <w:p w14:paraId="7B2DAADF" w14:textId="4052CCC9" w:rsidR="009D052D" w:rsidRPr="004B535A" w:rsidRDefault="00B96722" w:rsidP="009373BC">
      <w:pPr>
        <w:pStyle w:val="Normalpool"/>
        <w:keepNext/>
        <w:keepLines/>
        <w:tabs>
          <w:tab w:val="left" w:pos="624"/>
        </w:tabs>
        <w:ind w:left="1247"/>
        <w:rPr>
          <w:bCs/>
          <w:lang w:val="en-GB"/>
        </w:rPr>
      </w:pPr>
      <w:r w:rsidRPr="004B535A">
        <w:rPr>
          <w:bCs/>
          <w:lang w:val="en-GB"/>
        </w:rPr>
        <w:t>Mr</w:t>
      </w:r>
      <w:r w:rsidR="009D052D" w:rsidRPr="004B535A">
        <w:rPr>
          <w:bCs/>
          <w:lang w:val="en-GB"/>
        </w:rPr>
        <w:t>. Fritz Nau</w:t>
      </w:r>
    </w:p>
    <w:p w14:paraId="2201140A" w14:textId="77777777" w:rsidR="009D052D" w:rsidRPr="004B535A" w:rsidRDefault="009D052D" w:rsidP="009373BC">
      <w:pPr>
        <w:pStyle w:val="Normalpool"/>
        <w:keepNext/>
        <w:keepLines/>
        <w:tabs>
          <w:tab w:val="left" w:pos="624"/>
        </w:tabs>
        <w:ind w:left="1247"/>
        <w:rPr>
          <w:bCs/>
          <w:lang w:val="en-GB"/>
        </w:rPr>
      </w:pPr>
      <w:r w:rsidRPr="004B535A">
        <w:rPr>
          <w:bCs/>
          <w:lang w:val="en-GB"/>
        </w:rPr>
        <w:t xml:space="preserve">Point Focal </w:t>
      </w:r>
      <w:proofErr w:type="spellStart"/>
      <w:r w:rsidRPr="004B535A">
        <w:rPr>
          <w:bCs/>
          <w:lang w:val="en-GB"/>
        </w:rPr>
        <w:t>Opẻrationnel</w:t>
      </w:r>
      <w:proofErr w:type="spellEnd"/>
    </w:p>
    <w:p w14:paraId="1E6A942F" w14:textId="77777777" w:rsidR="009D052D" w:rsidRPr="004B535A" w:rsidRDefault="009D052D" w:rsidP="009373BC">
      <w:pPr>
        <w:pStyle w:val="Normalpool"/>
        <w:tabs>
          <w:tab w:val="left" w:pos="624"/>
        </w:tabs>
        <w:ind w:left="1247"/>
        <w:rPr>
          <w:bCs/>
          <w:lang w:val="en-GB"/>
        </w:rPr>
      </w:pPr>
      <w:proofErr w:type="spellStart"/>
      <w:r w:rsidRPr="004B535A">
        <w:rPr>
          <w:bCs/>
          <w:lang w:val="en-GB"/>
        </w:rPr>
        <w:t>Coordonnateur</w:t>
      </w:r>
      <w:proofErr w:type="spellEnd"/>
      <w:r w:rsidRPr="004B535A">
        <w:rPr>
          <w:bCs/>
          <w:lang w:val="en-GB"/>
        </w:rPr>
        <w:t xml:space="preserve"> Bureau National Ozone</w:t>
      </w:r>
    </w:p>
    <w:p w14:paraId="79C38CA9" w14:textId="77777777" w:rsidR="009D052D" w:rsidRPr="004B535A" w:rsidRDefault="009D052D" w:rsidP="009373BC">
      <w:pPr>
        <w:pStyle w:val="Normalpool"/>
        <w:tabs>
          <w:tab w:val="left" w:pos="624"/>
        </w:tabs>
        <w:ind w:left="1247"/>
        <w:rPr>
          <w:bCs/>
          <w:lang w:val="en-GB"/>
        </w:rPr>
      </w:pPr>
      <w:proofErr w:type="spellStart"/>
      <w:r w:rsidRPr="004B535A">
        <w:rPr>
          <w:bCs/>
          <w:lang w:val="en-GB"/>
        </w:rPr>
        <w:t>Ministềre</w:t>
      </w:r>
      <w:proofErr w:type="spellEnd"/>
      <w:r w:rsidRPr="004B535A">
        <w:rPr>
          <w:bCs/>
          <w:lang w:val="en-GB"/>
        </w:rPr>
        <w:t xml:space="preserve"> de </w:t>
      </w:r>
      <w:proofErr w:type="spellStart"/>
      <w:r w:rsidRPr="004B535A">
        <w:rPr>
          <w:bCs/>
          <w:lang w:val="en-GB"/>
        </w:rPr>
        <w:t>l’Environnement</w:t>
      </w:r>
      <w:proofErr w:type="spellEnd"/>
    </w:p>
    <w:p w14:paraId="5DF83B6F" w14:textId="77777777" w:rsidR="009D052D" w:rsidRPr="004B535A" w:rsidRDefault="009D052D" w:rsidP="009373BC">
      <w:pPr>
        <w:pStyle w:val="Normalpool"/>
        <w:tabs>
          <w:tab w:val="left" w:pos="624"/>
        </w:tabs>
        <w:ind w:left="1247"/>
        <w:rPr>
          <w:bCs/>
          <w:lang w:val="en-GB"/>
        </w:rPr>
      </w:pPr>
      <w:r w:rsidRPr="004B535A">
        <w:rPr>
          <w:bCs/>
          <w:lang w:val="en-GB"/>
        </w:rPr>
        <w:t xml:space="preserve">11 Rue 4, </w:t>
      </w:r>
      <w:proofErr w:type="spellStart"/>
      <w:r w:rsidRPr="004B535A">
        <w:rPr>
          <w:bCs/>
          <w:lang w:val="en-GB"/>
        </w:rPr>
        <w:t>Pacot</w:t>
      </w:r>
      <w:proofErr w:type="spellEnd"/>
    </w:p>
    <w:p w14:paraId="170CFDE6" w14:textId="77777777" w:rsidR="009D052D" w:rsidRPr="004B535A" w:rsidRDefault="009D052D" w:rsidP="009373BC">
      <w:pPr>
        <w:pStyle w:val="Normalpool"/>
        <w:tabs>
          <w:tab w:val="left" w:pos="624"/>
        </w:tabs>
        <w:ind w:left="1247"/>
        <w:rPr>
          <w:bCs/>
          <w:lang w:val="en-GB"/>
        </w:rPr>
      </w:pPr>
      <w:r w:rsidRPr="004B535A">
        <w:rPr>
          <w:bCs/>
          <w:lang w:val="en-GB"/>
        </w:rPr>
        <w:t>Port-au-Prince</w:t>
      </w:r>
    </w:p>
    <w:p w14:paraId="68751B99" w14:textId="77777777" w:rsidR="009D052D" w:rsidRPr="004B535A" w:rsidRDefault="009D052D" w:rsidP="009373BC">
      <w:pPr>
        <w:pStyle w:val="Normalpool"/>
        <w:tabs>
          <w:tab w:val="left" w:pos="624"/>
        </w:tabs>
        <w:ind w:left="1247"/>
        <w:rPr>
          <w:bCs/>
          <w:lang w:val="en-GB"/>
        </w:rPr>
      </w:pPr>
      <w:r w:rsidRPr="004B535A">
        <w:rPr>
          <w:bCs/>
          <w:lang w:val="en-GB"/>
        </w:rPr>
        <w:t>Haiti</w:t>
      </w:r>
    </w:p>
    <w:p w14:paraId="6FB09B83" w14:textId="77777777" w:rsidR="009D052D" w:rsidRPr="004B535A" w:rsidRDefault="009D052D" w:rsidP="009373BC">
      <w:pPr>
        <w:pStyle w:val="Normalpool"/>
        <w:tabs>
          <w:tab w:val="left" w:pos="624"/>
        </w:tabs>
        <w:ind w:left="1247"/>
        <w:rPr>
          <w:bCs/>
          <w:lang w:val="en-GB"/>
        </w:rPr>
      </w:pPr>
      <w:r w:rsidRPr="004B535A">
        <w:rPr>
          <w:bCs/>
          <w:lang w:val="en-GB"/>
        </w:rPr>
        <w:t>Tel:</w:t>
      </w:r>
      <w:r w:rsidR="00C635DA" w:rsidRPr="004B535A">
        <w:rPr>
          <w:bCs/>
          <w:lang w:val="en-GB"/>
        </w:rPr>
        <w:t xml:space="preserve"> </w:t>
      </w:r>
      <w:r w:rsidRPr="004B535A">
        <w:rPr>
          <w:bCs/>
          <w:lang w:val="en-GB"/>
        </w:rPr>
        <w:t>+509 3832 4074</w:t>
      </w:r>
    </w:p>
    <w:p w14:paraId="654AF61C" w14:textId="77777777" w:rsidR="009D052D" w:rsidRPr="004B535A" w:rsidRDefault="009D052D" w:rsidP="009373BC">
      <w:pPr>
        <w:pStyle w:val="Normalpool"/>
        <w:tabs>
          <w:tab w:val="left" w:pos="624"/>
        </w:tabs>
        <w:ind w:left="1247"/>
        <w:rPr>
          <w:lang w:val="en-GB"/>
        </w:rPr>
      </w:pPr>
      <w:r w:rsidRPr="004B535A">
        <w:rPr>
          <w:bCs/>
          <w:lang w:val="en-GB"/>
        </w:rPr>
        <w:t>Email:</w:t>
      </w:r>
      <w:r w:rsidR="00C635DA" w:rsidRPr="004B535A">
        <w:rPr>
          <w:bCs/>
          <w:lang w:val="en-GB"/>
        </w:rPr>
        <w:t xml:space="preserve"> </w:t>
      </w:r>
      <w:hyperlink r:id="rId17" w:history="1">
        <w:r w:rsidRPr="004B535A">
          <w:rPr>
            <w:rStyle w:val="Hyperlink"/>
            <w:bCs/>
            <w:color w:val="000000"/>
            <w:lang w:val="en-GB"/>
          </w:rPr>
          <w:t>fritznau@yahoo.fr</w:t>
        </w:r>
      </w:hyperlink>
      <w:r w:rsidRPr="004B535A">
        <w:rPr>
          <w:bCs/>
          <w:lang w:val="en-GB"/>
        </w:rPr>
        <w:t xml:space="preserve"> / fritznau@gmail.com</w:t>
      </w:r>
    </w:p>
    <w:p w14:paraId="07D08464" w14:textId="77777777" w:rsidR="009D052D" w:rsidRPr="004B535A" w:rsidRDefault="00C635DA" w:rsidP="009373BC">
      <w:pPr>
        <w:pStyle w:val="CH3"/>
        <w:spacing w:before="120" w:after="40"/>
        <w:rPr>
          <w:b w:val="0"/>
          <w:sz w:val="22"/>
          <w:szCs w:val="22"/>
        </w:rPr>
      </w:pPr>
      <w:r w:rsidRPr="004B535A">
        <w:tab/>
      </w:r>
      <w:r w:rsidRPr="004B535A">
        <w:tab/>
      </w:r>
      <w:r w:rsidR="009D052D" w:rsidRPr="004B535A">
        <w:t>J</w:t>
      </w:r>
      <w:r w:rsidRPr="004B535A">
        <w:t>ordan</w:t>
      </w:r>
    </w:p>
    <w:p w14:paraId="6573993D" w14:textId="4386FFE1" w:rsidR="009D052D" w:rsidRPr="004B535A" w:rsidRDefault="00B96722" w:rsidP="009373BC">
      <w:pPr>
        <w:pStyle w:val="Normalpool"/>
        <w:tabs>
          <w:tab w:val="left" w:pos="624"/>
        </w:tabs>
        <w:ind w:left="1247"/>
        <w:rPr>
          <w:lang w:val="en-GB"/>
        </w:rPr>
      </w:pPr>
      <w:r w:rsidRPr="004B535A">
        <w:rPr>
          <w:lang w:val="en-GB"/>
        </w:rPr>
        <w:t>Mr</w:t>
      </w:r>
      <w:r w:rsidR="009D052D" w:rsidRPr="004B535A">
        <w:rPr>
          <w:lang w:val="en-GB"/>
        </w:rPr>
        <w:t xml:space="preserve">. Emad </w:t>
      </w:r>
      <w:proofErr w:type="spellStart"/>
      <w:r w:rsidR="009D052D" w:rsidRPr="004B535A">
        <w:rPr>
          <w:lang w:val="en-GB"/>
        </w:rPr>
        <w:t>Fattouh</w:t>
      </w:r>
      <w:proofErr w:type="spellEnd"/>
    </w:p>
    <w:p w14:paraId="1ECA99BF" w14:textId="77777777" w:rsidR="009D052D" w:rsidRPr="004B535A" w:rsidRDefault="009D052D" w:rsidP="009373BC">
      <w:pPr>
        <w:pStyle w:val="Normalpool"/>
        <w:tabs>
          <w:tab w:val="left" w:pos="624"/>
        </w:tabs>
        <w:ind w:left="1247"/>
        <w:rPr>
          <w:lang w:val="en-GB"/>
        </w:rPr>
      </w:pPr>
      <w:r w:rsidRPr="004B535A">
        <w:rPr>
          <w:lang w:val="en-GB"/>
        </w:rPr>
        <w:t>Ozone Officer</w:t>
      </w:r>
    </w:p>
    <w:p w14:paraId="5D78ED08" w14:textId="77777777" w:rsidR="009D052D" w:rsidRPr="004B535A" w:rsidRDefault="009D052D" w:rsidP="009373BC">
      <w:pPr>
        <w:pStyle w:val="Normalpool"/>
        <w:tabs>
          <w:tab w:val="left" w:pos="624"/>
        </w:tabs>
        <w:ind w:left="1247"/>
        <w:rPr>
          <w:lang w:val="en-GB"/>
        </w:rPr>
      </w:pPr>
      <w:r w:rsidRPr="004B535A">
        <w:rPr>
          <w:lang w:val="en-GB"/>
        </w:rPr>
        <w:t>Ozone Unit</w:t>
      </w:r>
    </w:p>
    <w:p w14:paraId="032A320A" w14:textId="77777777" w:rsidR="009D052D" w:rsidRPr="004B535A" w:rsidRDefault="009D052D" w:rsidP="009373BC">
      <w:pPr>
        <w:pStyle w:val="Normalpool"/>
        <w:tabs>
          <w:tab w:val="left" w:pos="624"/>
        </w:tabs>
        <w:ind w:left="1247"/>
        <w:rPr>
          <w:lang w:val="en-GB"/>
        </w:rPr>
      </w:pPr>
      <w:r w:rsidRPr="004B535A">
        <w:rPr>
          <w:lang w:val="en-GB"/>
        </w:rPr>
        <w:t>Ministry of Environment</w:t>
      </w:r>
    </w:p>
    <w:p w14:paraId="04CE4CDA" w14:textId="77777777" w:rsidR="009D052D" w:rsidRPr="004B535A" w:rsidRDefault="009D052D" w:rsidP="009373BC">
      <w:pPr>
        <w:pStyle w:val="Normalpool"/>
        <w:tabs>
          <w:tab w:val="left" w:pos="624"/>
        </w:tabs>
        <w:ind w:left="1247"/>
        <w:rPr>
          <w:lang w:val="en-GB"/>
        </w:rPr>
      </w:pPr>
      <w:r w:rsidRPr="004B535A">
        <w:rPr>
          <w:lang w:val="en-GB"/>
        </w:rPr>
        <w:t>P.O. Box 1408</w:t>
      </w:r>
    </w:p>
    <w:p w14:paraId="796708E8" w14:textId="77777777" w:rsidR="009D052D" w:rsidRPr="004B535A" w:rsidRDefault="009D052D" w:rsidP="009373BC">
      <w:pPr>
        <w:pStyle w:val="Normalpool"/>
        <w:tabs>
          <w:tab w:val="left" w:pos="624"/>
        </w:tabs>
        <w:ind w:left="1247"/>
        <w:rPr>
          <w:lang w:val="en-GB"/>
        </w:rPr>
      </w:pPr>
      <w:r w:rsidRPr="004B535A">
        <w:rPr>
          <w:lang w:val="en-GB"/>
        </w:rPr>
        <w:t>11941 Amman</w:t>
      </w:r>
    </w:p>
    <w:p w14:paraId="00CDA895" w14:textId="77777777" w:rsidR="009D052D" w:rsidRPr="004B535A" w:rsidRDefault="009D052D" w:rsidP="009373BC">
      <w:pPr>
        <w:pStyle w:val="Normalpool"/>
        <w:tabs>
          <w:tab w:val="left" w:pos="624"/>
        </w:tabs>
        <w:ind w:left="1247"/>
        <w:rPr>
          <w:lang w:val="en-GB"/>
        </w:rPr>
      </w:pPr>
      <w:r w:rsidRPr="004B535A">
        <w:rPr>
          <w:lang w:val="en-GB"/>
        </w:rPr>
        <w:t>Jordan</w:t>
      </w:r>
    </w:p>
    <w:p w14:paraId="6CC90D81"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+962 795558538</w:t>
      </w:r>
    </w:p>
    <w:p w14:paraId="7818029A"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emaddn@yahoo.com</w:t>
      </w:r>
    </w:p>
    <w:p w14:paraId="4C28B32C" w14:textId="77777777" w:rsidR="009D052D" w:rsidRPr="004B535A" w:rsidRDefault="00C635DA" w:rsidP="009373BC">
      <w:pPr>
        <w:pStyle w:val="CH3"/>
        <w:spacing w:before="120" w:after="40"/>
      </w:pPr>
      <w:r w:rsidRPr="004B535A">
        <w:tab/>
      </w:r>
      <w:r w:rsidRPr="004B535A">
        <w:tab/>
      </w:r>
      <w:r w:rsidR="009D052D" w:rsidRPr="004B535A">
        <w:t>K</w:t>
      </w:r>
      <w:r w:rsidRPr="004B535A">
        <w:t>enya</w:t>
      </w:r>
    </w:p>
    <w:p w14:paraId="506E881C" w14:textId="79107845" w:rsidR="009D052D" w:rsidRPr="004B535A" w:rsidRDefault="009D052D" w:rsidP="009373BC">
      <w:pPr>
        <w:pStyle w:val="Normalpool"/>
        <w:tabs>
          <w:tab w:val="left" w:pos="624"/>
        </w:tabs>
        <w:ind w:left="1247"/>
        <w:rPr>
          <w:bCs/>
          <w:lang w:val="en-GB"/>
        </w:rPr>
      </w:pPr>
      <w:r w:rsidRPr="004B535A">
        <w:rPr>
          <w:bCs/>
          <w:lang w:val="en-GB"/>
        </w:rPr>
        <w:t xml:space="preserve">Mr. Leonard </w:t>
      </w:r>
      <w:proofErr w:type="spellStart"/>
      <w:r w:rsidRPr="004B535A">
        <w:rPr>
          <w:bCs/>
          <w:lang w:val="en-GB"/>
        </w:rPr>
        <w:t>Marindany</w:t>
      </w:r>
      <w:proofErr w:type="spellEnd"/>
      <w:r w:rsidRPr="004B535A">
        <w:rPr>
          <w:bCs/>
          <w:lang w:val="en-GB"/>
        </w:rPr>
        <w:t xml:space="preserve"> </w:t>
      </w:r>
      <w:proofErr w:type="spellStart"/>
      <w:r w:rsidRPr="004B535A">
        <w:rPr>
          <w:bCs/>
          <w:lang w:val="en-GB"/>
        </w:rPr>
        <w:t>Kirui</w:t>
      </w:r>
      <w:proofErr w:type="spellEnd"/>
      <w:r w:rsidRPr="004B535A">
        <w:rPr>
          <w:bCs/>
          <w:lang w:val="en-GB"/>
        </w:rPr>
        <w:t xml:space="preserve"> </w:t>
      </w:r>
      <w:r w:rsidR="004B535A">
        <w:rPr>
          <w:bCs/>
          <w:lang w:val="en-GB"/>
        </w:rPr>
        <w:br/>
      </w:r>
      <w:r w:rsidRPr="004B535A">
        <w:rPr>
          <w:bCs/>
          <w:lang w:val="en-GB"/>
        </w:rPr>
        <w:t>(Vice-President)</w:t>
      </w:r>
    </w:p>
    <w:p w14:paraId="3B686DF1" w14:textId="77777777" w:rsidR="009D052D" w:rsidRPr="004B535A" w:rsidRDefault="009D052D" w:rsidP="009373BC">
      <w:pPr>
        <w:pStyle w:val="Normalpool"/>
        <w:tabs>
          <w:tab w:val="left" w:pos="624"/>
        </w:tabs>
        <w:ind w:left="1247"/>
        <w:rPr>
          <w:bCs/>
          <w:lang w:val="en-GB"/>
        </w:rPr>
      </w:pPr>
      <w:r w:rsidRPr="004B535A">
        <w:rPr>
          <w:bCs/>
          <w:lang w:val="en-GB"/>
        </w:rPr>
        <w:t>Co-ordinator, NOU</w:t>
      </w:r>
    </w:p>
    <w:p w14:paraId="304E933D" w14:textId="77777777" w:rsidR="009D052D" w:rsidRPr="004B535A" w:rsidRDefault="009D052D" w:rsidP="009373BC">
      <w:pPr>
        <w:pStyle w:val="Normalpool"/>
        <w:tabs>
          <w:tab w:val="left" w:pos="624"/>
        </w:tabs>
        <w:ind w:left="1247"/>
        <w:rPr>
          <w:bCs/>
          <w:lang w:val="en-GB"/>
        </w:rPr>
      </w:pPr>
      <w:r w:rsidRPr="004B535A">
        <w:rPr>
          <w:bCs/>
          <w:lang w:val="en-GB"/>
        </w:rPr>
        <w:t>National Ozone Office</w:t>
      </w:r>
    </w:p>
    <w:p w14:paraId="51735916" w14:textId="77777777" w:rsidR="009D052D" w:rsidRPr="004B535A" w:rsidRDefault="009D052D" w:rsidP="009373BC">
      <w:pPr>
        <w:pStyle w:val="Normalpool"/>
        <w:tabs>
          <w:tab w:val="left" w:pos="624"/>
        </w:tabs>
        <w:ind w:left="1247"/>
        <w:rPr>
          <w:bCs/>
          <w:lang w:val="en-GB"/>
        </w:rPr>
      </w:pPr>
      <w:r w:rsidRPr="004B535A">
        <w:rPr>
          <w:bCs/>
          <w:lang w:val="en-GB"/>
        </w:rPr>
        <w:t>Ministry of Environment and Natural Resources</w:t>
      </w:r>
    </w:p>
    <w:p w14:paraId="512D773C" w14:textId="77777777" w:rsidR="009D052D" w:rsidRPr="004B535A" w:rsidRDefault="009D052D" w:rsidP="009373BC">
      <w:pPr>
        <w:pStyle w:val="Normalpool"/>
        <w:tabs>
          <w:tab w:val="left" w:pos="624"/>
        </w:tabs>
        <w:ind w:left="1247"/>
        <w:rPr>
          <w:bCs/>
          <w:lang w:val="en-GB"/>
        </w:rPr>
      </w:pPr>
      <w:r w:rsidRPr="004B535A">
        <w:rPr>
          <w:bCs/>
          <w:lang w:val="en-GB"/>
        </w:rPr>
        <w:t>P.O. Box 30126-00100</w:t>
      </w:r>
    </w:p>
    <w:p w14:paraId="58441542" w14:textId="77777777" w:rsidR="009D052D" w:rsidRPr="004B535A" w:rsidRDefault="009D052D" w:rsidP="009373BC">
      <w:pPr>
        <w:pStyle w:val="Normalpool"/>
        <w:tabs>
          <w:tab w:val="left" w:pos="624"/>
        </w:tabs>
        <w:ind w:left="1247"/>
        <w:rPr>
          <w:bCs/>
          <w:lang w:val="en-GB"/>
        </w:rPr>
      </w:pPr>
      <w:r w:rsidRPr="004B535A">
        <w:rPr>
          <w:bCs/>
          <w:lang w:val="en-GB"/>
        </w:rPr>
        <w:t>Nairobi, Kenya</w:t>
      </w:r>
    </w:p>
    <w:p w14:paraId="46F0645C" w14:textId="77777777" w:rsidR="009D052D" w:rsidRPr="004B535A" w:rsidRDefault="009D052D" w:rsidP="009373BC">
      <w:pPr>
        <w:pStyle w:val="Normalpool"/>
        <w:tabs>
          <w:tab w:val="left" w:pos="624"/>
        </w:tabs>
        <w:ind w:left="1247"/>
        <w:rPr>
          <w:bCs/>
          <w:lang w:val="en-GB"/>
        </w:rPr>
      </w:pPr>
      <w:r w:rsidRPr="004B535A">
        <w:rPr>
          <w:bCs/>
          <w:lang w:val="en-GB"/>
        </w:rPr>
        <w:t>Tel:</w:t>
      </w:r>
      <w:r w:rsidR="00C635DA" w:rsidRPr="004B535A">
        <w:rPr>
          <w:bCs/>
          <w:lang w:val="en-GB"/>
        </w:rPr>
        <w:t xml:space="preserve"> </w:t>
      </w:r>
      <w:r w:rsidRPr="004B535A">
        <w:rPr>
          <w:bCs/>
          <w:lang w:val="en-GB"/>
        </w:rPr>
        <w:t>+254 20 273 0808</w:t>
      </w:r>
    </w:p>
    <w:p w14:paraId="0F470008" w14:textId="77777777" w:rsidR="009D052D" w:rsidRPr="004B535A" w:rsidRDefault="009D052D" w:rsidP="009373BC">
      <w:pPr>
        <w:pStyle w:val="Normalpool"/>
        <w:tabs>
          <w:tab w:val="left" w:pos="624"/>
        </w:tabs>
        <w:ind w:left="1247"/>
        <w:rPr>
          <w:bCs/>
          <w:lang w:val="en-GB"/>
        </w:rPr>
      </w:pPr>
      <w:r w:rsidRPr="004B535A">
        <w:rPr>
          <w:bCs/>
          <w:lang w:val="en-GB"/>
        </w:rPr>
        <w:t>Cell:</w:t>
      </w:r>
      <w:r w:rsidR="00C635DA" w:rsidRPr="004B535A">
        <w:rPr>
          <w:bCs/>
          <w:lang w:val="en-GB"/>
        </w:rPr>
        <w:t xml:space="preserve"> </w:t>
      </w:r>
      <w:r w:rsidRPr="004B535A">
        <w:rPr>
          <w:bCs/>
          <w:lang w:val="en-GB"/>
        </w:rPr>
        <w:t>+254 722 847 342</w:t>
      </w:r>
    </w:p>
    <w:p w14:paraId="31D8E7E2" w14:textId="77777777" w:rsidR="009D052D" w:rsidRPr="004B535A" w:rsidRDefault="009D052D" w:rsidP="009373BC">
      <w:pPr>
        <w:pStyle w:val="Normalpool"/>
        <w:tabs>
          <w:tab w:val="left" w:pos="624"/>
        </w:tabs>
        <w:ind w:left="1247"/>
        <w:rPr>
          <w:bCs/>
          <w:lang w:val="en-GB"/>
        </w:rPr>
      </w:pPr>
      <w:r w:rsidRPr="004B535A">
        <w:rPr>
          <w:bCs/>
          <w:lang w:val="en-GB"/>
        </w:rPr>
        <w:t>Email:</w:t>
      </w:r>
      <w:r w:rsidR="00C635DA" w:rsidRPr="004B535A">
        <w:rPr>
          <w:bCs/>
          <w:lang w:val="en-GB"/>
        </w:rPr>
        <w:t xml:space="preserve"> </w:t>
      </w:r>
      <w:r w:rsidRPr="004B535A">
        <w:rPr>
          <w:bCs/>
          <w:lang w:val="en-GB"/>
        </w:rPr>
        <w:t>marindanykirui@yahoo.com</w:t>
      </w:r>
    </w:p>
    <w:p w14:paraId="69448CAF" w14:textId="77777777" w:rsidR="009D052D" w:rsidRPr="004B535A" w:rsidRDefault="00C635DA" w:rsidP="009373BC">
      <w:pPr>
        <w:pStyle w:val="CH3"/>
        <w:spacing w:before="120" w:after="40"/>
      </w:pPr>
      <w:r w:rsidRPr="004B535A">
        <w:tab/>
      </w:r>
      <w:r w:rsidRPr="004B535A">
        <w:tab/>
      </w:r>
      <w:r w:rsidR="009D052D" w:rsidRPr="004B535A">
        <w:t>P</w:t>
      </w:r>
      <w:r w:rsidRPr="004B535A">
        <w:t>araguay</w:t>
      </w:r>
    </w:p>
    <w:p w14:paraId="05D60FA3" w14:textId="2D1331CE" w:rsidR="003458D1" w:rsidRPr="004B535A" w:rsidRDefault="0083249B" w:rsidP="009373BC">
      <w:pPr>
        <w:pStyle w:val="Normalpool"/>
        <w:tabs>
          <w:tab w:val="left" w:pos="624"/>
        </w:tabs>
        <w:ind w:left="1247"/>
        <w:rPr>
          <w:noProof/>
          <w:lang w:val="en-GB"/>
        </w:rPr>
      </w:pPr>
      <w:r w:rsidRPr="004B535A">
        <w:rPr>
          <w:noProof/>
          <w:lang w:val="en-GB"/>
        </w:rPr>
        <w:t>Mr</w:t>
      </w:r>
      <w:r w:rsidR="009D052D" w:rsidRPr="004B535A">
        <w:rPr>
          <w:noProof/>
          <w:lang w:val="en-GB"/>
        </w:rPr>
        <w:t>.</w:t>
      </w:r>
      <w:r w:rsidR="009D052D" w:rsidRPr="004B535A">
        <w:rPr>
          <w:lang w:val="en-GB"/>
        </w:rPr>
        <w:t xml:space="preserve"> </w:t>
      </w:r>
      <w:r w:rsidR="009D052D" w:rsidRPr="004B535A">
        <w:rPr>
          <w:noProof/>
          <w:lang w:val="en-GB"/>
        </w:rPr>
        <w:t>Ulises</w:t>
      </w:r>
      <w:r w:rsidR="009D052D" w:rsidRPr="004B535A">
        <w:rPr>
          <w:lang w:val="en-GB"/>
        </w:rPr>
        <w:t xml:space="preserve"> </w:t>
      </w:r>
      <w:r w:rsidR="009D052D" w:rsidRPr="004B535A">
        <w:rPr>
          <w:noProof/>
          <w:lang w:val="en-GB"/>
        </w:rPr>
        <w:t>Lovera</w:t>
      </w:r>
    </w:p>
    <w:p w14:paraId="00228F93" w14:textId="77777777" w:rsidR="009D052D" w:rsidRPr="004B535A" w:rsidRDefault="009D052D" w:rsidP="009373BC">
      <w:pPr>
        <w:pStyle w:val="Normalpool"/>
        <w:tabs>
          <w:tab w:val="left" w:pos="624"/>
        </w:tabs>
        <w:ind w:left="1247"/>
        <w:rPr>
          <w:lang w:val="en-GB"/>
        </w:rPr>
      </w:pPr>
      <w:r w:rsidRPr="004B535A">
        <w:rPr>
          <w:noProof/>
          <w:lang w:val="en-GB"/>
        </w:rPr>
        <w:t>Punto Focal del Protocolo de Montreal</w:t>
      </w:r>
    </w:p>
    <w:p w14:paraId="48EAA616" w14:textId="77777777" w:rsidR="009D052D" w:rsidRPr="004B535A" w:rsidRDefault="009D052D" w:rsidP="009373BC">
      <w:pPr>
        <w:pStyle w:val="Normalpool"/>
        <w:tabs>
          <w:tab w:val="left" w:pos="624"/>
        </w:tabs>
        <w:ind w:left="1247"/>
        <w:rPr>
          <w:lang w:val="en-GB"/>
        </w:rPr>
      </w:pPr>
      <w:r w:rsidRPr="004B535A">
        <w:rPr>
          <w:noProof/>
          <w:lang w:val="en-GB"/>
        </w:rPr>
        <w:t>Dirección General del Aire</w:t>
      </w:r>
    </w:p>
    <w:p w14:paraId="6CF26FDC" w14:textId="77777777" w:rsidR="009D052D" w:rsidRPr="004B535A" w:rsidRDefault="009D052D" w:rsidP="009373BC">
      <w:pPr>
        <w:pStyle w:val="Normalpool"/>
        <w:tabs>
          <w:tab w:val="left" w:pos="624"/>
        </w:tabs>
        <w:ind w:left="1247"/>
        <w:rPr>
          <w:lang w:val="en-GB"/>
        </w:rPr>
      </w:pPr>
      <w:r w:rsidRPr="004B535A">
        <w:rPr>
          <w:noProof/>
          <w:lang w:val="en-GB"/>
        </w:rPr>
        <w:t>Secretaría del Ambiente SEAM</w:t>
      </w:r>
    </w:p>
    <w:p w14:paraId="2BBA394B" w14:textId="77777777" w:rsidR="009D052D" w:rsidRPr="004B535A" w:rsidRDefault="009D052D" w:rsidP="009373BC">
      <w:pPr>
        <w:pStyle w:val="Normalpool"/>
        <w:tabs>
          <w:tab w:val="left" w:pos="624"/>
        </w:tabs>
        <w:ind w:left="1247"/>
        <w:rPr>
          <w:lang w:val="en-GB"/>
        </w:rPr>
      </w:pPr>
      <w:r w:rsidRPr="004B535A">
        <w:rPr>
          <w:noProof/>
          <w:lang w:val="en-GB"/>
        </w:rPr>
        <w:t>Avendia Madame Lynch No. 3500</w:t>
      </w:r>
    </w:p>
    <w:p w14:paraId="2234BB27" w14:textId="77777777" w:rsidR="009D052D" w:rsidRPr="004B535A" w:rsidRDefault="009D052D" w:rsidP="009373BC">
      <w:pPr>
        <w:pStyle w:val="Normalpool"/>
        <w:tabs>
          <w:tab w:val="left" w:pos="624"/>
        </w:tabs>
        <w:ind w:left="1247"/>
        <w:rPr>
          <w:lang w:val="en-GB"/>
        </w:rPr>
      </w:pPr>
      <w:r w:rsidRPr="004B535A">
        <w:rPr>
          <w:noProof/>
          <w:lang w:val="en-GB"/>
        </w:rPr>
        <w:t>Asunción</w:t>
      </w:r>
    </w:p>
    <w:p w14:paraId="5BFC96E4" w14:textId="77777777" w:rsidR="009D052D" w:rsidRPr="004B535A" w:rsidRDefault="009D052D" w:rsidP="009373BC">
      <w:pPr>
        <w:pStyle w:val="Normalpool"/>
        <w:tabs>
          <w:tab w:val="left" w:pos="624"/>
        </w:tabs>
        <w:ind w:left="1247"/>
        <w:rPr>
          <w:lang w:val="en-GB"/>
        </w:rPr>
      </w:pPr>
      <w:r w:rsidRPr="004B535A">
        <w:rPr>
          <w:noProof/>
          <w:lang w:val="en-GB"/>
        </w:rPr>
        <w:t>Paraguay</w:t>
      </w:r>
    </w:p>
    <w:p w14:paraId="04358CDD"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+595 212 379 000 Ext. 294</w:t>
      </w:r>
    </w:p>
    <w:p w14:paraId="15699A35" w14:textId="77777777" w:rsidR="009D052D" w:rsidRPr="004B535A" w:rsidRDefault="009D052D" w:rsidP="009373BC">
      <w:pPr>
        <w:pStyle w:val="Normalpool"/>
        <w:tabs>
          <w:tab w:val="left" w:pos="624"/>
        </w:tabs>
        <w:ind w:left="1247"/>
        <w:rPr>
          <w:lang w:val="en-GB"/>
        </w:rPr>
      </w:pPr>
      <w:r w:rsidRPr="004B535A">
        <w:rPr>
          <w:lang w:val="en-GB"/>
        </w:rPr>
        <w:t>Cell:</w:t>
      </w:r>
      <w:r w:rsidR="00C635DA" w:rsidRPr="004B535A">
        <w:rPr>
          <w:lang w:val="en-GB"/>
        </w:rPr>
        <w:t xml:space="preserve"> </w:t>
      </w:r>
      <w:r w:rsidRPr="004B535A">
        <w:rPr>
          <w:lang w:val="en-GB"/>
        </w:rPr>
        <w:t>+595 971702494</w:t>
      </w:r>
    </w:p>
    <w:p w14:paraId="0F4DA545" w14:textId="77777777" w:rsidR="009D052D" w:rsidRPr="004B535A" w:rsidRDefault="009D052D" w:rsidP="009373BC">
      <w:pPr>
        <w:pStyle w:val="Normalpool"/>
        <w:tabs>
          <w:tab w:val="left" w:pos="624"/>
        </w:tabs>
        <w:ind w:left="1247"/>
        <w:rPr>
          <w:lang w:val="en-GB"/>
        </w:rPr>
      </w:pPr>
      <w:r w:rsidRPr="004B535A">
        <w:rPr>
          <w:lang w:val="en-GB"/>
        </w:rPr>
        <w:t xml:space="preserve">Email: </w:t>
      </w:r>
      <w:r w:rsidRPr="004B535A">
        <w:rPr>
          <w:noProof/>
          <w:lang w:val="en-GB"/>
        </w:rPr>
        <w:t>ulovera@seam.gov.py, uliseslovera@hotmail.com</w:t>
      </w:r>
    </w:p>
    <w:p w14:paraId="30C9FC84" w14:textId="77777777" w:rsidR="009D052D" w:rsidRPr="004B535A" w:rsidRDefault="00C635DA" w:rsidP="009373BC">
      <w:pPr>
        <w:pStyle w:val="CH3"/>
        <w:spacing w:before="120" w:after="40"/>
        <w:rPr>
          <w:b w:val="0"/>
          <w:sz w:val="22"/>
          <w:szCs w:val="22"/>
        </w:rPr>
      </w:pPr>
      <w:r w:rsidRPr="004B535A">
        <w:lastRenderedPageBreak/>
        <w:tab/>
      </w:r>
      <w:r w:rsidRPr="004B535A">
        <w:tab/>
      </w:r>
      <w:r w:rsidR="009D052D" w:rsidRPr="004B535A">
        <w:t>R</w:t>
      </w:r>
      <w:r w:rsidRPr="004B535A">
        <w:t>omania</w:t>
      </w:r>
    </w:p>
    <w:p w14:paraId="4FE9337C" w14:textId="77777777" w:rsidR="009D052D" w:rsidRPr="004B535A" w:rsidRDefault="009D052D" w:rsidP="009373BC">
      <w:pPr>
        <w:pStyle w:val="Normalpool"/>
        <w:keepNext/>
        <w:keepLines/>
        <w:tabs>
          <w:tab w:val="left" w:pos="624"/>
        </w:tabs>
        <w:ind w:left="1247"/>
        <w:rPr>
          <w:bCs/>
          <w:color w:val="000000"/>
          <w:lang w:val="en-GB"/>
        </w:rPr>
      </w:pPr>
      <w:r w:rsidRPr="004B535A">
        <w:rPr>
          <w:bCs/>
          <w:color w:val="000000"/>
          <w:lang w:val="en-GB"/>
        </w:rPr>
        <w:t xml:space="preserve">Ms. Claudia </w:t>
      </w:r>
      <w:proofErr w:type="spellStart"/>
      <w:r w:rsidRPr="004B535A">
        <w:rPr>
          <w:bCs/>
          <w:color w:val="000000"/>
          <w:lang w:val="en-GB"/>
        </w:rPr>
        <w:t>Sorina</w:t>
      </w:r>
      <w:proofErr w:type="spellEnd"/>
      <w:r w:rsidRPr="004B535A">
        <w:rPr>
          <w:bCs/>
          <w:color w:val="000000"/>
          <w:lang w:val="en-GB"/>
        </w:rPr>
        <w:t xml:space="preserve"> </w:t>
      </w:r>
      <w:proofErr w:type="spellStart"/>
      <w:r w:rsidRPr="004B535A">
        <w:rPr>
          <w:bCs/>
          <w:color w:val="000000"/>
          <w:lang w:val="en-GB"/>
        </w:rPr>
        <w:t>Dumitru</w:t>
      </w:r>
      <w:proofErr w:type="spellEnd"/>
    </w:p>
    <w:p w14:paraId="40690C97" w14:textId="77777777" w:rsidR="009D052D" w:rsidRPr="004B535A" w:rsidRDefault="009D052D" w:rsidP="009373BC">
      <w:pPr>
        <w:pStyle w:val="Normalpool"/>
        <w:keepNext/>
        <w:keepLines/>
        <w:tabs>
          <w:tab w:val="left" w:pos="624"/>
        </w:tabs>
        <w:ind w:left="1247"/>
        <w:rPr>
          <w:bCs/>
          <w:color w:val="000000"/>
          <w:lang w:val="en-GB"/>
        </w:rPr>
      </w:pPr>
      <w:r w:rsidRPr="004B535A">
        <w:rPr>
          <w:bCs/>
          <w:color w:val="000000"/>
          <w:lang w:val="en-GB"/>
        </w:rPr>
        <w:t>Head of Unit</w:t>
      </w:r>
    </w:p>
    <w:p w14:paraId="1914CFF4" w14:textId="77777777" w:rsidR="009D052D" w:rsidRPr="004B535A" w:rsidRDefault="009D052D" w:rsidP="009373BC">
      <w:pPr>
        <w:pStyle w:val="Normalpool"/>
        <w:keepNext/>
        <w:keepLines/>
        <w:tabs>
          <w:tab w:val="left" w:pos="624"/>
        </w:tabs>
        <w:ind w:left="1247"/>
        <w:rPr>
          <w:bCs/>
          <w:color w:val="000000"/>
          <w:lang w:val="en-GB"/>
        </w:rPr>
      </w:pPr>
      <w:r w:rsidRPr="004B535A">
        <w:rPr>
          <w:bCs/>
          <w:color w:val="000000"/>
          <w:lang w:val="en-GB"/>
        </w:rPr>
        <w:t>National Ozone Unit, Hazardous</w:t>
      </w:r>
      <w:r w:rsidR="00C635DA" w:rsidRPr="004B535A">
        <w:rPr>
          <w:bCs/>
          <w:color w:val="000000"/>
          <w:lang w:val="en-GB"/>
        </w:rPr>
        <w:t xml:space="preserve"> </w:t>
      </w:r>
      <w:r w:rsidRPr="004B535A">
        <w:rPr>
          <w:bCs/>
          <w:color w:val="000000"/>
          <w:lang w:val="en-GB"/>
        </w:rPr>
        <w:t>Chemicals and Contaminated Sites</w:t>
      </w:r>
    </w:p>
    <w:p w14:paraId="4E7A87FA" w14:textId="77777777" w:rsidR="009D052D" w:rsidRPr="004B535A" w:rsidRDefault="009D052D" w:rsidP="009373BC">
      <w:pPr>
        <w:pStyle w:val="Normalpool"/>
        <w:keepNext/>
        <w:keepLines/>
        <w:tabs>
          <w:tab w:val="left" w:pos="624"/>
        </w:tabs>
        <w:ind w:left="1247"/>
        <w:rPr>
          <w:bCs/>
          <w:color w:val="000000"/>
          <w:lang w:val="en-GB"/>
        </w:rPr>
      </w:pPr>
      <w:r w:rsidRPr="004B535A">
        <w:rPr>
          <w:bCs/>
          <w:color w:val="000000"/>
          <w:lang w:val="en-GB"/>
        </w:rPr>
        <w:t>Ministry of Environment</w:t>
      </w:r>
    </w:p>
    <w:p w14:paraId="4DBF4E79" w14:textId="77777777" w:rsidR="009D052D" w:rsidRPr="004B535A" w:rsidRDefault="009D052D" w:rsidP="009373BC">
      <w:pPr>
        <w:pStyle w:val="Normalpool"/>
        <w:keepNext/>
        <w:keepLines/>
        <w:tabs>
          <w:tab w:val="left" w:pos="624"/>
        </w:tabs>
        <w:ind w:left="1247"/>
        <w:rPr>
          <w:bCs/>
          <w:color w:val="000000"/>
          <w:lang w:val="en-GB"/>
        </w:rPr>
      </w:pPr>
      <w:proofErr w:type="spellStart"/>
      <w:r w:rsidRPr="004B535A">
        <w:rPr>
          <w:bCs/>
          <w:color w:val="000000"/>
          <w:lang w:val="en-GB"/>
        </w:rPr>
        <w:t>Libertatii</w:t>
      </w:r>
      <w:proofErr w:type="spellEnd"/>
      <w:r w:rsidRPr="004B535A">
        <w:rPr>
          <w:bCs/>
          <w:color w:val="000000"/>
          <w:lang w:val="en-GB"/>
        </w:rPr>
        <w:t xml:space="preserve"> </w:t>
      </w:r>
      <w:proofErr w:type="spellStart"/>
      <w:r w:rsidRPr="004B535A">
        <w:rPr>
          <w:bCs/>
          <w:color w:val="000000"/>
          <w:lang w:val="en-GB"/>
        </w:rPr>
        <w:t>Blv</w:t>
      </w:r>
      <w:proofErr w:type="spellEnd"/>
      <w:r w:rsidRPr="004B535A">
        <w:rPr>
          <w:bCs/>
          <w:color w:val="000000"/>
          <w:lang w:val="en-GB"/>
        </w:rPr>
        <w:t>. No. 12 District 5</w:t>
      </w:r>
    </w:p>
    <w:p w14:paraId="3F324AD4" w14:textId="77777777" w:rsidR="009D052D" w:rsidRPr="004B535A" w:rsidRDefault="009D052D" w:rsidP="009373BC">
      <w:pPr>
        <w:pStyle w:val="Normalpool"/>
        <w:tabs>
          <w:tab w:val="left" w:pos="624"/>
        </w:tabs>
        <w:ind w:left="1247"/>
        <w:rPr>
          <w:bCs/>
          <w:color w:val="000000"/>
          <w:lang w:val="en-GB"/>
        </w:rPr>
      </w:pPr>
      <w:r w:rsidRPr="004B535A">
        <w:rPr>
          <w:bCs/>
          <w:color w:val="000000"/>
          <w:lang w:val="en-GB"/>
        </w:rPr>
        <w:t>Bucharest 7000</w:t>
      </w:r>
    </w:p>
    <w:p w14:paraId="076D7CD0" w14:textId="77777777" w:rsidR="009D052D" w:rsidRPr="004B535A" w:rsidRDefault="009D052D" w:rsidP="009373BC">
      <w:pPr>
        <w:pStyle w:val="Normalpool"/>
        <w:tabs>
          <w:tab w:val="left" w:pos="624"/>
        </w:tabs>
        <w:ind w:left="1247"/>
        <w:rPr>
          <w:bCs/>
          <w:color w:val="000000"/>
          <w:lang w:val="en-GB"/>
        </w:rPr>
      </w:pPr>
      <w:r w:rsidRPr="004B535A">
        <w:rPr>
          <w:bCs/>
          <w:color w:val="000000"/>
          <w:lang w:val="en-GB"/>
        </w:rPr>
        <w:t>Romania</w:t>
      </w:r>
    </w:p>
    <w:p w14:paraId="0E59EA38" w14:textId="77777777" w:rsidR="009D052D" w:rsidRPr="004B535A" w:rsidRDefault="009D052D" w:rsidP="009373BC">
      <w:pPr>
        <w:pStyle w:val="Normalpool"/>
        <w:tabs>
          <w:tab w:val="left" w:pos="624"/>
        </w:tabs>
        <w:ind w:left="1247"/>
        <w:rPr>
          <w:bCs/>
          <w:color w:val="000000"/>
          <w:lang w:val="en-GB"/>
        </w:rPr>
      </w:pPr>
      <w:r w:rsidRPr="004B535A">
        <w:rPr>
          <w:bCs/>
          <w:color w:val="000000"/>
          <w:lang w:val="en-GB"/>
        </w:rPr>
        <w:t>Tel:</w:t>
      </w:r>
      <w:r w:rsidR="00C635DA" w:rsidRPr="004B535A">
        <w:rPr>
          <w:bCs/>
          <w:color w:val="000000"/>
          <w:lang w:val="en-GB"/>
        </w:rPr>
        <w:t xml:space="preserve"> </w:t>
      </w:r>
      <w:r w:rsidRPr="004B535A">
        <w:rPr>
          <w:bCs/>
          <w:color w:val="000000"/>
          <w:lang w:val="en-GB"/>
        </w:rPr>
        <w:t>+402 1408 9582</w:t>
      </w:r>
    </w:p>
    <w:p w14:paraId="2A7B11BB" w14:textId="77777777" w:rsidR="009D052D" w:rsidRPr="004B535A" w:rsidRDefault="009D052D" w:rsidP="009373BC">
      <w:pPr>
        <w:pStyle w:val="Normalpool"/>
        <w:tabs>
          <w:tab w:val="left" w:pos="624"/>
        </w:tabs>
        <w:ind w:left="1247"/>
        <w:rPr>
          <w:bCs/>
          <w:color w:val="000000"/>
          <w:lang w:val="en-GB"/>
        </w:rPr>
      </w:pPr>
      <w:r w:rsidRPr="004B535A">
        <w:rPr>
          <w:bCs/>
          <w:color w:val="000000"/>
          <w:lang w:val="en-GB"/>
        </w:rPr>
        <w:t>Cell:</w:t>
      </w:r>
      <w:r w:rsidR="00C635DA" w:rsidRPr="004B535A">
        <w:rPr>
          <w:bCs/>
          <w:color w:val="000000"/>
          <w:lang w:val="en-GB"/>
        </w:rPr>
        <w:t xml:space="preserve"> </w:t>
      </w:r>
      <w:r w:rsidRPr="004B535A">
        <w:rPr>
          <w:bCs/>
          <w:color w:val="000000"/>
          <w:lang w:val="en-GB"/>
        </w:rPr>
        <w:t>+407 2439 0063</w:t>
      </w:r>
    </w:p>
    <w:p w14:paraId="4E63ECED" w14:textId="77777777" w:rsidR="009D052D" w:rsidRPr="004B535A" w:rsidRDefault="009D052D" w:rsidP="009373BC">
      <w:pPr>
        <w:pStyle w:val="Normalpool"/>
        <w:tabs>
          <w:tab w:val="left" w:pos="624"/>
        </w:tabs>
        <w:ind w:left="1247"/>
        <w:rPr>
          <w:lang w:val="en-GB"/>
        </w:rPr>
      </w:pPr>
      <w:r w:rsidRPr="004B535A">
        <w:rPr>
          <w:bCs/>
          <w:color w:val="000000"/>
          <w:lang w:val="en-GB"/>
        </w:rPr>
        <w:t>Email:</w:t>
      </w:r>
      <w:r w:rsidR="00C635DA" w:rsidRPr="004B535A">
        <w:rPr>
          <w:bCs/>
          <w:color w:val="000000"/>
          <w:lang w:val="en-GB"/>
        </w:rPr>
        <w:t xml:space="preserve"> </w:t>
      </w:r>
      <w:r w:rsidRPr="004B535A">
        <w:rPr>
          <w:bCs/>
          <w:color w:val="000000"/>
          <w:lang w:val="en-GB"/>
        </w:rPr>
        <w:t>claudia.dumitru@mmediu.ro</w:t>
      </w:r>
    </w:p>
    <w:p w14:paraId="6A853090" w14:textId="77777777" w:rsidR="009D052D" w:rsidRPr="004B535A" w:rsidRDefault="00C635DA" w:rsidP="009373BC">
      <w:pPr>
        <w:pStyle w:val="CH3"/>
        <w:spacing w:before="120" w:after="40"/>
        <w:rPr>
          <w:b w:val="0"/>
          <w:sz w:val="22"/>
          <w:szCs w:val="22"/>
        </w:rPr>
      </w:pPr>
      <w:r w:rsidRPr="004B535A">
        <w:tab/>
      </w:r>
      <w:r w:rsidRPr="004B535A">
        <w:tab/>
      </w:r>
      <w:r w:rsidR="00533E0C" w:rsidRPr="004B535A">
        <w:t>United Kingdom of Great Britain and Northern Ireland</w:t>
      </w:r>
    </w:p>
    <w:p w14:paraId="12A4F6CE" w14:textId="77777777" w:rsidR="009D052D" w:rsidRPr="004B535A" w:rsidRDefault="009D052D" w:rsidP="009373BC">
      <w:pPr>
        <w:pStyle w:val="Normalpool"/>
        <w:tabs>
          <w:tab w:val="left" w:pos="624"/>
        </w:tabs>
        <w:ind w:left="1247"/>
        <w:rPr>
          <w:lang w:val="en-GB"/>
        </w:rPr>
      </w:pPr>
      <w:r w:rsidRPr="004B535A">
        <w:rPr>
          <w:lang w:val="en-GB"/>
        </w:rPr>
        <w:t xml:space="preserve">Mr. Brian </w:t>
      </w:r>
      <w:proofErr w:type="spellStart"/>
      <w:r w:rsidRPr="004B535A">
        <w:rPr>
          <w:lang w:val="en-GB"/>
        </w:rPr>
        <w:t>Ruddie</w:t>
      </w:r>
      <w:proofErr w:type="spellEnd"/>
      <w:r w:rsidRPr="004B535A">
        <w:rPr>
          <w:lang w:val="en-GB"/>
        </w:rPr>
        <w:t xml:space="preserve"> (President)</w:t>
      </w:r>
    </w:p>
    <w:p w14:paraId="5D9D054A" w14:textId="77777777" w:rsidR="009D052D" w:rsidRPr="004B535A" w:rsidRDefault="009D052D" w:rsidP="009373BC">
      <w:pPr>
        <w:pStyle w:val="Normalpool"/>
        <w:tabs>
          <w:tab w:val="left" w:pos="624"/>
        </w:tabs>
        <w:ind w:left="1247"/>
        <w:rPr>
          <w:lang w:val="en-GB"/>
        </w:rPr>
      </w:pPr>
      <w:r w:rsidRPr="004B535A">
        <w:rPr>
          <w:lang w:val="en-GB"/>
        </w:rPr>
        <w:t>Senior Lawyer, International</w:t>
      </w:r>
    </w:p>
    <w:p w14:paraId="6BE0DA85" w14:textId="77777777" w:rsidR="00F90225" w:rsidRPr="004B535A" w:rsidRDefault="009D052D" w:rsidP="009373BC">
      <w:pPr>
        <w:pStyle w:val="Normalpool"/>
        <w:tabs>
          <w:tab w:val="left" w:pos="624"/>
        </w:tabs>
        <w:ind w:left="1247"/>
        <w:rPr>
          <w:lang w:val="en-GB"/>
        </w:rPr>
      </w:pPr>
      <w:r w:rsidRPr="004B535A">
        <w:rPr>
          <w:lang w:val="en-GB"/>
        </w:rPr>
        <w:t xml:space="preserve">EU Exit and Trade, </w:t>
      </w:r>
    </w:p>
    <w:p w14:paraId="2C2C1D13" w14:textId="77777777" w:rsidR="009D052D" w:rsidRPr="004B535A" w:rsidRDefault="009D052D" w:rsidP="009373BC">
      <w:pPr>
        <w:pStyle w:val="Normalpool"/>
        <w:tabs>
          <w:tab w:val="left" w:pos="624"/>
        </w:tabs>
        <w:ind w:left="1247"/>
        <w:rPr>
          <w:lang w:val="en-GB"/>
        </w:rPr>
      </w:pPr>
      <w:r w:rsidRPr="004B535A">
        <w:rPr>
          <w:lang w:val="en-GB"/>
        </w:rPr>
        <w:t>DEFRA Legal Advisers</w:t>
      </w:r>
    </w:p>
    <w:p w14:paraId="33642603" w14:textId="77777777" w:rsidR="009D052D" w:rsidRPr="004B535A" w:rsidRDefault="009D052D" w:rsidP="009373BC">
      <w:pPr>
        <w:pStyle w:val="Normalpool"/>
        <w:tabs>
          <w:tab w:val="left" w:pos="624"/>
        </w:tabs>
        <w:ind w:left="1247"/>
        <w:rPr>
          <w:lang w:val="en-GB"/>
        </w:rPr>
      </w:pPr>
      <w:r w:rsidRPr="004B535A">
        <w:rPr>
          <w:lang w:val="en-GB"/>
        </w:rPr>
        <w:t>Government Legal Department</w:t>
      </w:r>
    </w:p>
    <w:p w14:paraId="24131F34" w14:textId="77777777" w:rsidR="00F90225" w:rsidRPr="004B535A" w:rsidRDefault="009D052D" w:rsidP="009373BC">
      <w:pPr>
        <w:pStyle w:val="Normalpool"/>
        <w:tabs>
          <w:tab w:val="left" w:pos="624"/>
        </w:tabs>
        <w:ind w:left="1247"/>
        <w:rPr>
          <w:lang w:val="en-GB"/>
        </w:rPr>
      </w:pPr>
      <w:r w:rsidRPr="004B535A">
        <w:rPr>
          <w:lang w:val="en-GB"/>
        </w:rPr>
        <w:t xml:space="preserve">Area 8E, 9 Millbank, </w:t>
      </w:r>
    </w:p>
    <w:p w14:paraId="0CA0C6C4" w14:textId="77777777" w:rsidR="009D052D" w:rsidRPr="004B535A" w:rsidRDefault="009D052D" w:rsidP="009373BC">
      <w:pPr>
        <w:pStyle w:val="Normalpool"/>
        <w:tabs>
          <w:tab w:val="left" w:pos="624"/>
        </w:tabs>
        <w:ind w:left="1247"/>
        <w:rPr>
          <w:lang w:val="en-GB"/>
        </w:rPr>
      </w:pPr>
      <w:r w:rsidRPr="004B535A">
        <w:rPr>
          <w:lang w:val="en-GB"/>
        </w:rPr>
        <w:t>c/o Nobel House</w:t>
      </w:r>
    </w:p>
    <w:p w14:paraId="0EF5FB83" w14:textId="77777777" w:rsidR="009D052D" w:rsidRPr="004B535A" w:rsidRDefault="009D052D" w:rsidP="009373BC">
      <w:pPr>
        <w:pStyle w:val="Normalpool"/>
        <w:tabs>
          <w:tab w:val="left" w:pos="624"/>
        </w:tabs>
        <w:ind w:left="1247"/>
        <w:rPr>
          <w:lang w:val="en-GB"/>
        </w:rPr>
      </w:pPr>
      <w:r w:rsidRPr="004B535A">
        <w:rPr>
          <w:lang w:val="en-GB"/>
        </w:rPr>
        <w:t xml:space="preserve">17 Smith Square </w:t>
      </w:r>
    </w:p>
    <w:p w14:paraId="0DBE8DCF" w14:textId="77777777" w:rsidR="009D052D" w:rsidRPr="004B535A" w:rsidRDefault="009D052D" w:rsidP="009373BC">
      <w:pPr>
        <w:pStyle w:val="Normalpool"/>
        <w:tabs>
          <w:tab w:val="left" w:pos="624"/>
        </w:tabs>
        <w:ind w:left="1247"/>
        <w:rPr>
          <w:lang w:val="en-GB"/>
        </w:rPr>
      </w:pPr>
      <w:r w:rsidRPr="004B535A">
        <w:rPr>
          <w:lang w:val="en-GB"/>
        </w:rPr>
        <w:t>London SW1P 3JR</w:t>
      </w:r>
    </w:p>
    <w:p w14:paraId="62530109" w14:textId="77777777" w:rsidR="009D052D" w:rsidRPr="004B535A" w:rsidRDefault="009D052D" w:rsidP="009373BC">
      <w:pPr>
        <w:pStyle w:val="Normalpool"/>
        <w:tabs>
          <w:tab w:val="left" w:pos="624"/>
        </w:tabs>
        <w:ind w:left="1247"/>
        <w:rPr>
          <w:lang w:val="en-GB"/>
        </w:rPr>
      </w:pPr>
      <w:r w:rsidRPr="004B535A">
        <w:rPr>
          <w:lang w:val="en-GB"/>
        </w:rPr>
        <w:t>United Kingdom</w:t>
      </w:r>
    </w:p>
    <w:p w14:paraId="255B9102"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+44 20 802 64330</w:t>
      </w:r>
    </w:p>
    <w:p w14:paraId="44D6D24B" w14:textId="77777777" w:rsidR="009D052D" w:rsidRPr="004B535A" w:rsidRDefault="009D052D" w:rsidP="009373BC">
      <w:pPr>
        <w:pStyle w:val="Normalpool"/>
        <w:tabs>
          <w:tab w:val="left" w:pos="624"/>
        </w:tabs>
        <w:ind w:left="1247"/>
        <w:rPr>
          <w:lang w:val="en-GB"/>
        </w:rPr>
      </w:pPr>
      <w:r w:rsidRPr="004B535A">
        <w:rPr>
          <w:lang w:val="en-GB"/>
        </w:rPr>
        <w:t>Cell:</w:t>
      </w:r>
      <w:r w:rsidR="00C635DA" w:rsidRPr="004B535A">
        <w:rPr>
          <w:lang w:val="en-GB"/>
        </w:rPr>
        <w:t xml:space="preserve"> </w:t>
      </w:r>
      <w:r w:rsidRPr="004B535A">
        <w:rPr>
          <w:lang w:val="en-GB"/>
        </w:rPr>
        <w:t>+44 7770 701663</w:t>
      </w:r>
    </w:p>
    <w:p w14:paraId="004E558D"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brian.ruddie@defra.gsi.gov.uk</w:t>
      </w:r>
    </w:p>
    <w:p w14:paraId="5834AE94" w14:textId="77777777" w:rsidR="009D052D" w:rsidRPr="004B535A" w:rsidRDefault="00C635DA" w:rsidP="009373BC">
      <w:pPr>
        <w:pStyle w:val="CH2"/>
        <w:spacing w:before="240"/>
        <w:rPr>
          <w:sz w:val="22"/>
          <w:szCs w:val="22"/>
        </w:rPr>
      </w:pPr>
      <w:r w:rsidRPr="004B535A">
        <w:tab/>
      </w:r>
      <w:r w:rsidRPr="004B535A">
        <w:tab/>
      </w:r>
      <w:r w:rsidR="009D052D" w:rsidRPr="004B535A">
        <w:t>I</w:t>
      </w:r>
      <w:r w:rsidR="00533E0C" w:rsidRPr="004B535A">
        <w:t>mplementing agencies</w:t>
      </w:r>
    </w:p>
    <w:p w14:paraId="781A51FC" w14:textId="77777777" w:rsidR="009D052D" w:rsidRPr="004B535A" w:rsidRDefault="00C635DA" w:rsidP="009373BC">
      <w:pPr>
        <w:pStyle w:val="CH3"/>
        <w:spacing w:before="120" w:after="40"/>
        <w:rPr>
          <w:b w:val="0"/>
          <w:sz w:val="22"/>
          <w:szCs w:val="22"/>
        </w:rPr>
      </w:pPr>
      <w:r w:rsidRPr="004B535A">
        <w:tab/>
      </w:r>
      <w:r w:rsidRPr="004B535A">
        <w:tab/>
      </w:r>
      <w:r w:rsidR="00533E0C" w:rsidRPr="004B535A">
        <w:t>Multilateral Fund Secretariat</w:t>
      </w:r>
    </w:p>
    <w:p w14:paraId="24C82031" w14:textId="77777777" w:rsidR="009D052D" w:rsidRPr="004B535A" w:rsidRDefault="009D052D" w:rsidP="009373BC">
      <w:pPr>
        <w:pStyle w:val="Normalpool"/>
        <w:tabs>
          <w:tab w:val="left" w:pos="624"/>
        </w:tabs>
        <w:ind w:left="1247"/>
        <w:rPr>
          <w:lang w:val="en-GB"/>
        </w:rPr>
      </w:pPr>
      <w:r w:rsidRPr="004B535A">
        <w:rPr>
          <w:lang w:val="en-GB"/>
        </w:rPr>
        <w:t xml:space="preserve">Mr. Eduardo </w:t>
      </w:r>
      <w:proofErr w:type="spellStart"/>
      <w:r w:rsidRPr="004B535A">
        <w:rPr>
          <w:lang w:val="en-GB"/>
        </w:rPr>
        <w:t>Ganem</w:t>
      </w:r>
      <w:proofErr w:type="spellEnd"/>
      <w:r w:rsidRPr="004B535A">
        <w:rPr>
          <w:lang w:val="en-GB"/>
        </w:rPr>
        <w:t xml:space="preserve"> </w:t>
      </w:r>
      <w:r w:rsidRPr="004B535A">
        <w:rPr>
          <w:lang w:val="en-GB"/>
        </w:rPr>
        <w:br/>
        <w:t xml:space="preserve">Chief Officer </w:t>
      </w:r>
    </w:p>
    <w:p w14:paraId="2C87C427" w14:textId="77777777" w:rsidR="009D052D" w:rsidRPr="004B535A" w:rsidRDefault="009D052D" w:rsidP="009373BC">
      <w:pPr>
        <w:pStyle w:val="Normalpool"/>
        <w:tabs>
          <w:tab w:val="left" w:pos="624"/>
        </w:tabs>
        <w:ind w:left="1247"/>
        <w:rPr>
          <w:lang w:val="en-GB"/>
        </w:rPr>
      </w:pPr>
      <w:r w:rsidRPr="004B535A">
        <w:rPr>
          <w:lang w:val="en-GB"/>
        </w:rPr>
        <w:t>Multilateral Fund for the Implementation of the Montreal Protocol</w:t>
      </w:r>
      <w:r w:rsidRPr="004B535A">
        <w:rPr>
          <w:lang w:val="en-GB"/>
        </w:rPr>
        <w:br/>
        <w:t xml:space="preserve">1000 de la </w:t>
      </w:r>
      <w:proofErr w:type="spellStart"/>
      <w:r w:rsidRPr="004B535A">
        <w:rPr>
          <w:lang w:val="en-GB"/>
        </w:rPr>
        <w:t>Gauchetiere</w:t>
      </w:r>
      <w:proofErr w:type="spellEnd"/>
      <w:r w:rsidRPr="004B535A">
        <w:rPr>
          <w:lang w:val="en-GB"/>
        </w:rPr>
        <w:t xml:space="preserve"> Street West</w:t>
      </w:r>
    </w:p>
    <w:p w14:paraId="6F7CE987" w14:textId="77777777" w:rsidR="009D052D" w:rsidRPr="004B535A" w:rsidRDefault="009D052D" w:rsidP="009373BC">
      <w:pPr>
        <w:pStyle w:val="Normalpool"/>
        <w:tabs>
          <w:tab w:val="left" w:pos="624"/>
        </w:tabs>
        <w:ind w:left="1247"/>
        <w:rPr>
          <w:lang w:val="en-GB"/>
        </w:rPr>
      </w:pPr>
      <w:r w:rsidRPr="004B535A">
        <w:rPr>
          <w:lang w:val="en-GB"/>
        </w:rPr>
        <w:t>Suite 4100</w:t>
      </w:r>
    </w:p>
    <w:p w14:paraId="2617C652" w14:textId="77777777" w:rsidR="009D052D" w:rsidRPr="004B535A" w:rsidRDefault="009D052D" w:rsidP="009373BC">
      <w:pPr>
        <w:pStyle w:val="Normalpool"/>
        <w:tabs>
          <w:tab w:val="left" w:pos="624"/>
        </w:tabs>
        <w:ind w:left="1247"/>
        <w:rPr>
          <w:lang w:val="en-GB"/>
        </w:rPr>
      </w:pPr>
      <w:r w:rsidRPr="004B535A">
        <w:rPr>
          <w:lang w:val="en-GB"/>
        </w:rPr>
        <w:t xml:space="preserve">Montreal, Quebec H3B 4W5 </w:t>
      </w:r>
    </w:p>
    <w:p w14:paraId="79200F61" w14:textId="77777777" w:rsidR="009D052D" w:rsidRPr="004B535A" w:rsidRDefault="009D052D" w:rsidP="009373BC">
      <w:pPr>
        <w:pStyle w:val="Normalpool"/>
        <w:tabs>
          <w:tab w:val="left" w:pos="624"/>
        </w:tabs>
        <w:ind w:left="1247"/>
        <w:rPr>
          <w:lang w:val="en-GB"/>
        </w:rPr>
      </w:pPr>
      <w:r w:rsidRPr="004B535A">
        <w:rPr>
          <w:lang w:val="en-GB"/>
        </w:rPr>
        <w:t xml:space="preserve">Canada </w:t>
      </w:r>
      <w:r w:rsidRPr="004B535A">
        <w:rPr>
          <w:lang w:val="en-GB"/>
        </w:rPr>
        <w:br/>
        <w:t>Tel:</w:t>
      </w:r>
      <w:r w:rsidR="00C635DA" w:rsidRPr="004B535A">
        <w:rPr>
          <w:lang w:val="en-GB"/>
        </w:rPr>
        <w:t xml:space="preserve"> </w:t>
      </w:r>
      <w:r w:rsidRPr="004B535A">
        <w:rPr>
          <w:lang w:val="en-GB"/>
        </w:rPr>
        <w:t>+1 514 282 7860</w:t>
      </w:r>
    </w:p>
    <w:p w14:paraId="5DFAE30A" w14:textId="77777777" w:rsidR="009D052D" w:rsidRPr="004B535A" w:rsidRDefault="009D052D" w:rsidP="009373BC">
      <w:pPr>
        <w:pStyle w:val="Normalpool"/>
        <w:tabs>
          <w:tab w:val="left" w:pos="624"/>
        </w:tabs>
        <w:ind w:left="1247"/>
        <w:rPr>
          <w:lang w:val="en-GB"/>
        </w:rPr>
      </w:pPr>
      <w:r w:rsidRPr="004B535A">
        <w:rPr>
          <w:lang w:val="en-GB"/>
        </w:rPr>
        <w:t>Fax:</w:t>
      </w:r>
      <w:r w:rsidR="00C635DA" w:rsidRPr="004B535A">
        <w:rPr>
          <w:lang w:val="en-GB"/>
        </w:rPr>
        <w:t xml:space="preserve"> </w:t>
      </w:r>
      <w:r w:rsidRPr="004B535A">
        <w:rPr>
          <w:lang w:val="en-GB"/>
        </w:rPr>
        <w:t>+1 514 282 0068</w:t>
      </w:r>
    </w:p>
    <w:p w14:paraId="7CE4D890" w14:textId="77777777" w:rsidR="009D052D" w:rsidRPr="004B535A" w:rsidRDefault="009D052D" w:rsidP="009373BC">
      <w:pPr>
        <w:pStyle w:val="Normalpool"/>
        <w:tabs>
          <w:tab w:val="left" w:pos="624"/>
        </w:tabs>
        <w:ind w:left="1247"/>
        <w:rPr>
          <w:rFonts w:eastAsia="@MS Mincho"/>
          <w:lang w:val="en-GB" w:eastAsia="ar-SA"/>
        </w:rPr>
      </w:pPr>
      <w:r w:rsidRPr="004B535A">
        <w:rPr>
          <w:lang w:val="en-GB"/>
        </w:rPr>
        <w:t>E-mail:</w:t>
      </w:r>
      <w:r w:rsidR="00C635DA" w:rsidRPr="004B535A">
        <w:rPr>
          <w:lang w:val="en-GB"/>
        </w:rPr>
        <w:t xml:space="preserve"> </w:t>
      </w:r>
      <w:r w:rsidRPr="004B535A">
        <w:rPr>
          <w:lang w:val="en-GB"/>
        </w:rPr>
        <w:t>eganem@unmfs.org</w:t>
      </w:r>
    </w:p>
    <w:p w14:paraId="7254F5A9" w14:textId="77777777" w:rsidR="009D052D" w:rsidRPr="004B535A" w:rsidRDefault="009D052D" w:rsidP="009373BC">
      <w:pPr>
        <w:pStyle w:val="Normalpool"/>
        <w:tabs>
          <w:tab w:val="left" w:pos="624"/>
        </w:tabs>
        <w:spacing w:before="120"/>
        <w:ind w:left="1247"/>
        <w:rPr>
          <w:lang w:val="en-GB"/>
        </w:rPr>
      </w:pPr>
      <w:r w:rsidRPr="004B535A">
        <w:rPr>
          <w:lang w:val="en-GB"/>
        </w:rPr>
        <w:t xml:space="preserve">Mr. Munyaradzi </w:t>
      </w:r>
      <w:proofErr w:type="spellStart"/>
      <w:r w:rsidRPr="004B535A">
        <w:rPr>
          <w:lang w:val="en-GB"/>
        </w:rPr>
        <w:t>Chenje</w:t>
      </w:r>
      <w:proofErr w:type="spellEnd"/>
    </w:p>
    <w:p w14:paraId="40613D38" w14:textId="77777777" w:rsidR="009D052D" w:rsidRPr="004B535A" w:rsidRDefault="009D052D" w:rsidP="009373BC">
      <w:pPr>
        <w:pStyle w:val="Normalpool"/>
        <w:tabs>
          <w:tab w:val="left" w:pos="624"/>
        </w:tabs>
        <w:ind w:left="1247"/>
        <w:rPr>
          <w:lang w:val="en-GB"/>
        </w:rPr>
      </w:pPr>
      <w:r w:rsidRPr="004B535A">
        <w:rPr>
          <w:lang w:val="en-GB"/>
        </w:rPr>
        <w:t xml:space="preserve">Deputy Chief Officer </w:t>
      </w:r>
    </w:p>
    <w:p w14:paraId="6D766BAD" w14:textId="77777777" w:rsidR="009D052D" w:rsidRPr="004B535A" w:rsidRDefault="009D052D" w:rsidP="009373BC">
      <w:pPr>
        <w:pStyle w:val="Normalpool"/>
        <w:tabs>
          <w:tab w:val="left" w:pos="624"/>
        </w:tabs>
        <w:ind w:left="1247"/>
        <w:rPr>
          <w:lang w:val="en-GB"/>
        </w:rPr>
      </w:pPr>
      <w:r w:rsidRPr="004B535A">
        <w:rPr>
          <w:lang w:val="en-GB"/>
        </w:rPr>
        <w:t>Multilateral Fund for the Implementation of the Montreal Protocol</w:t>
      </w:r>
      <w:r w:rsidRPr="004B535A">
        <w:rPr>
          <w:lang w:val="en-GB"/>
        </w:rPr>
        <w:br/>
        <w:t xml:space="preserve">1000 de la </w:t>
      </w:r>
      <w:proofErr w:type="spellStart"/>
      <w:r w:rsidRPr="004B535A">
        <w:rPr>
          <w:lang w:val="en-GB"/>
        </w:rPr>
        <w:t>Gauchetiere</w:t>
      </w:r>
      <w:proofErr w:type="spellEnd"/>
      <w:r w:rsidRPr="004B535A">
        <w:rPr>
          <w:lang w:val="en-GB"/>
        </w:rPr>
        <w:t xml:space="preserve"> Street West</w:t>
      </w:r>
    </w:p>
    <w:p w14:paraId="730DBFFC" w14:textId="77777777" w:rsidR="009D052D" w:rsidRPr="004B535A" w:rsidRDefault="009D052D" w:rsidP="009373BC">
      <w:pPr>
        <w:pStyle w:val="Normalpool"/>
        <w:tabs>
          <w:tab w:val="left" w:pos="624"/>
        </w:tabs>
        <w:ind w:left="1247"/>
        <w:rPr>
          <w:lang w:val="en-GB"/>
        </w:rPr>
      </w:pPr>
      <w:r w:rsidRPr="004B535A">
        <w:rPr>
          <w:lang w:val="en-GB"/>
        </w:rPr>
        <w:t>Suite 4100</w:t>
      </w:r>
    </w:p>
    <w:p w14:paraId="718B155D" w14:textId="77777777" w:rsidR="009D052D" w:rsidRPr="004B535A" w:rsidRDefault="009D052D" w:rsidP="009373BC">
      <w:pPr>
        <w:pStyle w:val="Normalpool"/>
        <w:tabs>
          <w:tab w:val="left" w:pos="624"/>
        </w:tabs>
        <w:ind w:left="1247"/>
        <w:rPr>
          <w:lang w:val="en-GB"/>
        </w:rPr>
      </w:pPr>
      <w:r w:rsidRPr="004B535A">
        <w:rPr>
          <w:lang w:val="en-GB"/>
        </w:rPr>
        <w:t xml:space="preserve">Montreal, Quebec H3B 4W5 </w:t>
      </w:r>
    </w:p>
    <w:p w14:paraId="7FBF837F" w14:textId="77777777" w:rsidR="009D052D" w:rsidRPr="004B535A" w:rsidRDefault="009D052D" w:rsidP="009373BC">
      <w:pPr>
        <w:pStyle w:val="Normalpool"/>
        <w:tabs>
          <w:tab w:val="left" w:pos="624"/>
        </w:tabs>
        <w:ind w:left="1247"/>
        <w:rPr>
          <w:lang w:val="en-GB"/>
        </w:rPr>
      </w:pPr>
      <w:r w:rsidRPr="004B535A">
        <w:rPr>
          <w:lang w:val="en-GB"/>
        </w:rPr>
        <w:t xml:space="preserve">Canada </w:t>
      </w:r>
      <w:r w:rsidRPr="004B535A">
        <w:rPr>
          <w:lang w:val="en-GB"/>
        </w:rPr>
        <w:br/>
        <w:t>Tel:</w:t>
      </w:r>
      <w:r w:rsidR="00C635DA" w:rsidRPr="004B535A">
        <w:rPr>
          <w:lang w:val="en-GB"/>
        </w:rPr>
        <w:t xml:space="preserve"> </w:t>
      </w:r>
      <w:r w:rsidRPr="004B535A">
        <w:rPr>
          <w:lang w:val="en-GB"/>
        </w:rPr>
        <w:t>+1 514 282 1122</w:t>
      </w:r>
    </w:p>
    <w:p w14:paraId="7124A2EF" w14:textId="77777777" w:rsidR="009D052D" w:rsidRPr="004B535A" w:rsidRDefault="009D052D" w:rsidP="009373BC">
      <w:pPr>
        <w:pStyle w:val="Normalpool"/>
        <w:tabs>
          <w:tab w:val="left" w:pos="624"/>
        </w:tabs>
        <w:ind w:left="1247"/>
        <w:rPr>
          <w:lang w:val="en-GB"/>
        </w:rPr>
      </w:pPr>
      <w:r w:rsidRPr="004B535A">
        <w:rPr>
          <w:lang w:val="en-GB"/>
        </w:rPr>
        <w:t>Fax:</w:t>
      </w:r>
      <w:r w:rsidR="00C635DA" w:rsidRPr="004B535A">
        <w:rPr>
          <w:lang w:val="en-GB"/>
        </w:rPr>
        <w:t xml:space="preserve"> </w:t>
      </w:r>
      <w:r w:rsidRPr="004B535A">
        <w:rPr>
          <w:lang w:val="en-GB"/>
        </w:rPr>
        <w:t>+1 514 282 0068</w:t>
      </w:r>
    </w:p>
    <w:p w14:paraId="258B9826"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mchenje@unmfs.org</w:t>
      </w:r>
    </w:p>
    <w:p w14:paraId="77589DE0" w14:textId="77777777" w:rsidR="009D052D" w:rsidRPr="004B535A" w:rsidRDefault="00C635DA" w:rsidP="00C20833">
      <w:pPr>
        <w:pStyle w:val="CH3"/>
        <w:spacing w:before="120" w:after="40"/>
        <w:rPr>
          <w:sz w:val="22"/>
          <w:szCs w:val="22"/>
        </w:rPr>
      </w:pPr>
      <w:r w:rsidRPr="004B535A">
        <w:tab/>
      </w:r>
      <w:r w:rsidRPr="004B535A">
        <w:tab/>
      </w:r>
      <w:proofErr w:type="spellStart"/>
      <w:r w:rsidR="00533E0C" w:rsidRPr="004B535A">
        <w:t>Ozonaction</w:t>
      </w:r>
      <w:proofErr w:type="spellEnd"/>
      <w:r w:rsidR="00533E0C" w:rsidRPr="004B535A">
        <w:t xml:space="preserve"> Branch</w:t>
      </w:r>
      <w:r w:rsidR="00F90225" w:rsidRPr="004B535A">
        <w:t xml:space="preserve">, </w:t>
      </w:r>
      <w:r w:rsidR="003458D1" w:rsidRPr="004B535A">
        <w:t xml:space="preserve">United Nations </w:t>
      </w:r>
      <w:r w:rsidR="00533E0C" w:rsidRPr="004B535A">
        <w:t>Environment</w:t>
      </w:r>
      <w:r w:rsidR="003458D1" w:rsidRPr="004B535A">
        <w:t xml:space="preserve"> Programme</w:t>
      </w:r>
    </w:p>
    <w:p w14:paraId="1DADA3CC" w14:textId="77777777" w:rsidR="009D052D" w:rsidRPr="004B535A" w:rsidRDefault="009D052D" w:rsidP="009373BC">
      <w:pPr>
        <w:pStyle w:val="Normalpool"/>
        <w:keepNext/>
        <w:keepLines/>
        <w:tabs>
          <w:tab w:val="left" w:pos="624"/>
        </w:tabs>
        <w:ind w:left="1247"/>
        <w:rPr>
          <w:sz w:val="22"/>
          <w:szCs w:val="22"/>
          <w:lang w:val="en-GB"/>
        </w:rPr>
      </w:pPr>
      <w:r w:rsidRPr="004B535A">
        <w:rPr>
          <w:sz w:val="22"/>
          <w:szCs w:val="22"/>
          <w:lang w:val="en-GB"/>
        </w:rPr>
        <w:t xml:space="preserve">Mr. James S. </w:t>
      </w:r>
      <w:proofErr w:type="spellStart"/>
      <w:r w:rsidRPr="004B535A">
        <w:rPr>
          <w:sz w:val="22"/>
          <w:szCs w:val="22"/>
          <w:lang w:val="en-GB"/>
        </w:rPr>
        <w:t>Curlin</w:t>
      </w:r>
      <w:proofErr w:type="spellEnd"/>
      <w:r w:rsidRPr="004B535A">
        <w:rPr>
          <w:sz w:val="22"/>
          <w:szCs w:val="22"/>
          <w:lang w:val="en-GB"/>
        </w:rPr>
        <w:t xml:space="preserve"> </w:t>
      </w:r>
    </w:p>
    <w:p w14:paraId="297181AF" w14:textId="77777777" w:rsidR="009D052D" w:rsidRPr="004B535A" w:rsidRDefault="009D052D" w:rsidP="009373BC">
      <w:pPr>
        <w:pStyle w:val="Normalpool"/>
        <w:keepNext/>
        <w:keepLines/>
        <w:tabs>
          <w:tab w:val="left" w:pos="624"/>
        </w:tabs>
        <w:ind w:left="1247"/>
        <w:rPr>
          <w:sz w:val="22"/>
          <w:szCs w:val="22"/>
          <w:lang w:val="en-GB"/>
        </w:rPr>
      </w:pPr>
      <w:r w:rsidRPr="004B535A">
        <w:rPr>
          <w:sz w:val="22"/>
          <w:szCs w:val="22"/>
          <w:lang w:val="en-GB"/>
        </w:rPr>
        <w:t>Senior Programme Officer</w:t>
      </w:r>
    </w:p>
    <w:p w14:paraId="0288CF60" w14:textId="77777777" w:rsidR="009D052D" w:rsidRPr="004B535A" w:rsidRDefault="009D052D" w:rsidP="009373BC">
      <w:pPr>
        <w:pStyle w:val="Normalpool"/>
        <w:keepNext/>
        <w:keepLines/>
        <w:tabs>
          <w:tab w:val="left" w:pos="624"/>
        </w:tabs>
        <w:ind w:left="1247"/>
        <w:rPr>
          <w:lang w:val="en-GB"/>
        </w:rPr>
      </w:pPr>
      <w:r w:rsidRPr="004B535A">
        <w:rPr>
          <w:lang w:val="en-GB"/>
        </w:rPr>
        <w:t>Network and Policy Manager</w:t>
      </w:r>
    </w:p>
    <w:p w14:paraId="55883D36" w14:textId="77777777" w:rsidR="009D052D" w:rsidRPr="004B535A" w:rsidRDefault="009D052D" w:rsidP="009373BC">
      <w:pPr>
        <w:pStyle w:val="Normalpool"/>
        <w:keepNext/>
        <w:keepLines/>
        <w:tabs>
          <w:tab w:val="left" w:pos="624"/>
        </w:tabs>
        <w:ind w:left="1247"/>
        <w:rPr>
          <w:lang w:val="en-GB"/>
        </w:rPr>
      </w:pPr>
      <w:proofErr w:type="spellStart"/>
      <w:r w:rsidRPr="004B535A">
        <w:rPr>
          <w:lang w:val="en-GB"/>
        </w:rPr>
        <w:t>OzonAction</w:t>
      </w:r>
      <w:proofErr w:type="spellEnd"/>
      <w:r w:rsidRPr="004B535A">
        <w:rPr>
          <w:lang w:val="en-GB"/>
        </w:rPr>
        <w:t xml:space="preserve"> Branch</w:t>
      </w:r>
      <w:r w:rsidR="00F90225" w:rsidRPr="004B535A">
        <w:rPr>
          <w:lang w:val="en-GB"/>
        </w:rPr>
        <w:t xml:space="preserve">, United Nations Environment Programme </w:t>
      </w:r>
    </w:p>
    <w:p w14:paraId="66A12851" w14:textId="77777777" w:rsidR="009D052D" w:rsidRPr="004B535A" w:rsidRDefault="00F90225" w:rsidP="009373BC">
      <w:pPr>
        <w:pStyle w:val="Normalpool"/>
        <w:keepNext/>
        <w:keepLines/>
        <w:tabs>
          <w:tab w:val="left" w:pos="624"/>
        </w:tabs>
        <w:ind w:left="1247"/>
        <w:rPr>
          <w:lang w:val="en-GB"/>
        </w:rPr>
      </w:pPr>
      <w:r w:rsidRPr="004B535A">
        <w:rPr>
          <w:lang w:val="en-GB"/>
        </w:rPr>
        <w:t xml:space="preserve">75015 </w:t>
      </w:r>
      <w:r w:rsidR="009D052D" w:rsidRPr="004B535A">
        <w:rPr>
          <w:lang w:val="en-GB"/>
        </w:rPr>
        <w:t xml:space="preserve">Paris </w:t>
      </w:r>
    </w:p>
    <w:p w14:paraId="4F94AB41" w14:textId="77777777" w:rsidR="009D052D" w:rsidRPr="004B535A" w:rsidRDefault="009D052D" w:rsidP="009373BC">
      <w:pPr>
        <w:pStyle w:val="Normalpool"/>
        <w:tabs>
          <w:tab w:val="left" w:pos="624"/>
        </w:tabs>
        <w:ind w:left="1247"/>
        <w:rPr>
          <w:lang w:val="en-GB"/>
        </w:rPr>
      </w:pPr>
      <w:r w:rsidRPr="004B535A">
        <w:rPr>
          <w:lang w:val="en-GB"/>
        </w:rPr>
        <w:t xml:space="preserve">France </w:t>
      </w:r>
    </w:p>
    <w:p w14:paraId="157AB1CF" w14:textId="77777777" w:rsidR="009D052D" w:rsidRPr="004B535A" w:rsidRDefault="009D052D" w:rsidP="009373BC">
      <w:pPr>
        <w:pStyle w:val="Normalpool"/>
        <w:tabs>
          <w:tab w:val="left" w:pos="624"/>
        </w:tabs>
        <w:ind w:left="1247"/>
        <w:rPr>
          <w:lang w:val="en-GB"/>
        </w:rPr>
      </w:pPr>
      <w:proofErr w:type="gramStart"/>
      <w:r w:rsidRPr="004B535A">
        <w:rPr>
          <w:lang w:val="en-GB"/>
        </w:rPr>
        <w:t>Tel :</w:t>
      </w:r>
      <w:proofErr w:type="gramEnd"/>
      <w:r w:rsidR="00C635DA" w:rsidRPr="004B535A">
        <w:rPr>
          <w:lang w:val="en-GB"/>
        </w:rPr>
        <w:t xml:space="preserve"> </w:t>
      </w:r>
      <w:r w:rsidRPr="004B535A">
        <w:rPr>
          <w:lang w:val="en-GB"/>
        </w:rPr>
        <w:t>+33 1 4437 1455</w:t>
      </w:r>
    </w:p>
    <w:p w14:paraId="1F0419D5"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jim.curlin</w:t>
      </w:r>
      <w:r w:rsidRPr="004B535A">
        <w:rPr>
          <w:lang w:val="en-GB" w:eastAsia="x-none"/>
        </w:rPr>
        <w:t>@unep.org</w:t>
      </w:r>
    </w:p>
    <w:p w14:paraId="7B5FCCBA" w14:textId="77777777" w:rsidR="009D052D" w:rsidRPr="004B535A" w:rsidRDefault="00C635DA" w:rsidP="009373BC">
      <w:pPr>
        <w:pStyle w:val="CH3"/>
        <w:spacing w:before="120" w:after="40"/>
        <w:rPr>
          <w:b w:val="0"/>
          <w:sz w:val="22"/>
          <w:szCs w:val="22"/>
        </w:rPr>
      </w:pPr>
      <w:r w:rsidRPr="004B535A">
        <w:tab/>
      </w:r>
      <w:r w:rsidRPr="004B535A">
        <w:tab/>
      </w:r>
      <w:r w:rsidR="00533E0C" w:rsidRPr="004B535A">
        <w:t>United Nations Development Programme</w:t>
      </w:r>
    </w:p>
    <w:p w14:paraId="253DFF4C" w14:textId="77777777" w:rsidR="009D052D" w:rsidRPr="004B535A" w:rsidRDefault="009D052D" w:rsidP="009373BC">
      <w:pPr>
        <w:pStyle w:val="Normalpool"/>
        <w:tabs>
          <w:tab w:val="left" w:pos="624"/>
        </w:tabs>
        <w:ind w:left="1247"/>
        <w:rPr>
          <w:lang w:val="en-GB"/>
        </w:rPr>
      </w:pPr>
      <w:r w:rsidRPr="004B535A">
        <w:rPr>
          <w:lang w:val="en-GB"/>
        </w:rPr>
        <w:t xml:space="preserve">Mr. Maksim </w:t>
      </w:r>
      <w:proofErr w:type="spellStart"/>
      <w:r w:rsidRPr="004B535A">
        <w:rPr>
          <w:lang w:val="en-GB"/>
        </w:rPr>
        <w:t>Surkov</w:t>
      </w:r>
      <w:proofErr w:type="spellEnd"/>
    </w:p>
    <w:p w14:paraId="5677C6AC" w14:textId="77777777" w:rsidR="009D052D" w:rsidRPr="004B535A" w:rsidRDefault="009D052D" w:rsidP="009373BC">
      <w:pPr>
        <w:pStyle w:val="Normalpool"/>
        <w:tabs>
          <w:tab w:val="left" w:pos="624"/>
        </w:tabs>
        <w:ind w:left="1247"/>
        <w:rPr>
          <w:lang w:val="en-GB"/>
        </w:rPr>
      </w:pPr>
      <w:r w:rsidRPr="004B535A">
        <w:rPr>
          <w:lang w:val="en-GB"/>
        </w:rPr>
        <w:t>Regional Coordinator (Europe/CIS Arab States and Africa)</w:t>
      </w:r>
    </w:p>
    <w:p w14:paraId="4C0D99F0" w14:textId="77777777" w:rsidR="009D052D" w:rsidRPr="004B535A" w:rsidRDefault="009D052D" w:rsidP="009373BC">
      <w:pPr>
        <w:pStyle w:val="Normalpool"/>
        <w:tabs>
          <w:tab w:val="left" w:pos="624"/>
        </w:tabs>
        <w:ind w:left="1247"/>
        <w:rPr>
          <w:lang w:val="en-GB"/>
        </w:rPr>
      </w:pPr>
      <w:r w:rsidRPr="004B535A">
        <w:rPr>
          <w:lang w:val="en-GB"/>
        </w:rPr>
        <w:t>Montreal Protocol Unit/Chemicals</w:t>
      </w:r>
    </w:p>
    <w:p w14:paraId="40D763C7" w14:textId="77777777" w:rsidR="009D052D" w:rsidRPr="004B535A" w:rsidRDefault="009D052D" w:rsidP="009373BC">
      <w:pPr>
        <w:pStyle w:val="Normalpool"/>
        <w:tabs>
          <w:tab w:val="left" w:pos="624"/>
        </w:tabs>
        <w:ind w:left="1247"/>
        <w:rPr>
          <w:bCs/>
          <w:color w:val="000000"/>
          <w:lang w:val="en-GB"/>
        </w:rPr>
      </w:pPr>
      <w:r w:rsidRPr="004B535A">
        <w:rPr>
          <w:bCs/>
          <w:color w:val="000000"/>
          <w:lang w:val="en-GB"/>
        </w:rPr>
        <w:t xml:space="preserve">United Nations Development Programme </w:t>
      </w:r>
    </w:p>
    <w:p w14:paraId="221BB019" w14:textId="77777777" w:rsidR="009D052D" w:rsidRPr="004B535A" w:rsidRDefault="009D052D" w:rsidP="009373BC">
      <w:pPr>
        <w:pStyle w:val="Normalpool"/>
        <w:tabs>
          <w:tab w:val="left" w:pos="624"/>
        </w:tabs>
        <w:ind w:left="1247"/>
        <w:rPr>
          <w:lang w:val="en-GB"/>
        </w:rPr>
      </w:pPr>
      <w:r w:rsidRPr="004B535A">
        <w:rPr>
          <w:lang w:val="en-GB"/>
        </w:rPr>
        <w:t>Istanbul 34381</w:t>
      </w:r>
    </w:p>
    <w:p w14:paraId="1B3F6AA7" w14:textId="77777777" w:rsidR="009D052D" w:rsidRPr="004B535A" w:rsidRDefault="009D052D" w:rsidP="009373BC">
      <w:pPr>
        <w:pStyle w:val="Normalpool"/>
        <w:tabs>
          <w:tab w:val="left" w:pos="624"/>
        </w:tabs>
        <w:ind w:left="1247"/>
        <w:rPr>
          <w:lang w:val="en-GB"/>
        </w:rPr>
      </w:pPr>
      <w:r w:rsidRPr="004B535A">
        <w:rPr>
          <w:lang w:val="en-GB"/>
        </w:rPr>
        <w:t>Turkey</w:t>
      </w:r>
    </w:p>
    <w:p w14:paraId="6AEB4BA7"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+908 5029 82613</w:t>
      </w:r>
    </w:p>
    <w:p w14:paraId="5FC22E57"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maksim.surkov@undp.org</w:t>
      </w:r>
    </w:p>
    <w:p w14:paraId="3778B65E" w14:textId="77777777" w:rsidR="009D052D" w:rsidRPr="004B535A" w:rsidRDefault="00C635DA" w:rsidP="009373BC">
      <w:pPr>
        <w:pStyle w:val="CH3"/>
        <w:spacing w:before="120" w:after="40"/>
      </w:pPr>
      <w:r w:rsidRPr="004B535A">
        <w:tab/>
      </w:r>
      <w:r w:rsidRPr="004B535A">
        <w:tab/>
      </w:r>
      <w:r w:rsidR="00533E0C" w:rsidRPr="004B535A">
        <w:t>United Nations Industrial Development Organization</w:t>
      </w:r>
    </w:p>
    <w:p w14:paraId="2CF90A2B" w14:textId="77777777" w:rsidR="009D052D" w:rsidRPr="004B535A" w:rsidRDefault="009D052D" w:rsidP="009373BC">
      <w:pPr>
        <w:pStyle w:val="Normalpool"/>
        <w:tabs>
          <w:tab w:val="left" w:pos="624"/>
        </w:tabs>
        <w:ind w:left="1247"/>
        <w:rPr>
          <w:lang w:val="en-GB"/>
        </w:rPr>
      </w:pPr>
      <w:r w:rsidRPr="004B535A">
        <w:rPr>
          <w:lang w:val="en-GB"/>
        </w:rPr>
        <w:t xml:space="preserve">Mr. </w:t>
      </w:r>
      <w:proofErr w:type="spellStart"/>
      <w:r w:rsidRPr="004B535A">
        <w:rPr>
          <w:lang w:val="en-GB"/>
        </w:rPr>
        <w:t>Yury</w:t>
      </w:r>
      <w:proofErr w:type="spellEnd"/>
      <w:r w:rsidR="00C635DA" w:rsidRPr="004B535A">
        <w:rPr>
          <w:lang w:val="en-GB"/>
        </w:rPr>
        <w:t xml:space="preserve"> </w:t>
      </w:r>
      <w:r w:rsidRPr="004B535A">
        <w:rPr>
          <w:lang w:val="en-GB"/>
        </w:rPr>
        <w:t>Sorokin</w:t>
      </w:r>
    </w:p>
    <w:p w14:paraId="6907DB2D" w14:textId="77777777" w:rsidR="009D052D" w:rsidRPr="004B535A" w:rsidRDefault="009D052D" w:rsidP="009373BC">
      <w:pPr>
        <w:pStyle w:val="Normalpool"/>
        <w:tabs>
          <w:tab w:val="left" w:pos="624"/>
        </w:tabs>
        <w:ind w:left="1247"/>
        <w:rPr>
          <w:lang w:val="en-GB"/>
        </w:rPr>
      </w:pPr>
      <w:r w:rsidRPr="004B535A">
        <w:rPr>
          <w:lang w:val="en-GB"/>
        </w:rPr>
        <w:t>Industrial Development Officer</w:t>
      </w:r>
    </w:p>
    <w:p w14:paraId="6D703918" w14:textId="77777777" w:rsidR="009D052D" w:rsidRPr="004B535A" w:rsidRDefault="009D052D" w:rsidP="009373BC">
      <w:pPr>
        <w:pStyle w:val="Normalpool"/>
        <w:tabs>
          <w:tab w:val="left" w:pos="624"/>
        </w:tabs>
        <w:ind w:left="1247"/>
        <w:rPr>
          <w:lang w:val="en-GB"/>
        </w:rPr>
      </w:pPr>
      <w:r w:rsidRPr="004B535A">
        <w:rPr>
          <w:lang w:val="en-GB"/>
        </w:rPr>
        <w:t>Environment Branch</w:t>
      </w:r>
    </w:p>
    <w:p w14:paraId="054B2F34" w14:textId="77777777" w:rsidR="009D052D" w:rsidRPr="004B535A" w:rsidRDefault="009D052D" w:rsidP="009373BC">
      <w:pPr>
        <w:pStyle w:val="Normalpool"/>
        <w:tabs>
          <w:tab w:val="left" w:pos="624"/>
        </w:tabs>
        <w:ind w:left="1247"/>
        <w:rPr>
          <w:lang w:val="en-GB"/>
        </w:rPr>
      </w:pPr>
      <w:r w:rsidRPr="004B535A">
        <w:rPr>
          <w:lang w:val="en-GB"/>
        </w:rPr>
        <w:t xml:space="preserve">United Nations Industrial Development Organization </w:t>
      </w:r>
    </w:p>
    <w:p w14:paraId="305E9D82" w14:textId="77777777" w:rsidR="009D052D" w:rsidRPr="004B535A" w:rsidRDefault="009D052D" w:rsidP="009373BC">
      <w:pPr>
        <w:pStyle w:val="Normalpool"/>
        <w:tabs>
          <w:tab w:val="left" w:pos="624"/>
        </w:tabs>
        <w:ind w:left="1247"/>
        <w:rPr>
          <w:lang w:val="en-GB"/>
        </w:rPr>
      </w:pPr>
      <w:r w:rsidRPr="004B535A">
        <w:rPr>
          <w:lang w:val="en-GB"/>
        </w:rPr>
        <w:t>Vienna International Centre</w:t>
      </w:r>
    </w:p>
    <w:p w14:paraId="38CD3FDF" w14:textId="77777777" w:rsidR="009D052D" w:rsidRPr="004B535A" w:rsidRDefault="009D052D" w:rsidP="009373BC">
      <w:pPr>
        <w:pStyle w:val="Normalpool"/>
        <w:tabs>
          <w:tab w:val="left" w:pos="624"/>
        </w:tabs>
        <w:ind w:left="1247"/>
        <w:rPr>
          <w:lang w:val="en-GB"/>
        </w:rPr>
      </w:pPr>
      <w:r w:rsidRPr="004B535A">
        <w:rPr>
          <w:lang w:val="en-GB"/>
        </w:rPr>
        <w:t xml:space="preserve">P.O. Box 300-1400 </w:t>
      </w:r>
    </w:p>
    <w:p w14:paraId="351817F8" w14:textId="77777777" w:rsidR="009D052D" w:rsidRPr="004B535A" w:rsidRDefault="009D052D" w:rsidP="009373BC">
      <w:pPr>
        <w:pStyle w:val="Normalpool"/>
        <w:tabs>
          <w:tab w:val="left" w:pos="624"/>
        </w:tabs>
        <w:ind w:left="1247"/>
        <w:rPr>
          <w:lang w:val="en-GB"/>
        </w:rPr>
      </w:pPr>
      <w:r w:rsidRPr="004B535A">
        <w:rPr>
          <w:lang w:val="en-GB"/>
        </w:rPr>
        <w:t>Vienna</w:t>
      </w:r>
    </w:p>
    <w:p w14:paraId="785C4348" w14:textId="77777777" w:rsidR="009D052D" w:rsidRPr="004B535A" w:rsidRDefault="009D052D" w:rsidP="009373BC">
      <w:pPr>
        <w:pStyle w:val="Normalpool"/>
        <w:tabs>
          <w:tab w:val="left" w:pos="624"/>
        </w:tabs>
        <w:ind w:left="1247"/>
        <w:rPr>
          <w:lang w:val="en-GB"/>
        </w:rPr>
      </w:pPr>
      <w:r w:rsidRPr="004B535A">
        <w:rPr>
          <w:lang w:val="en-GB"/>
        </w:rPr>
        <w:t>Austria</w:t>
      </w:r>
    </w:p>
    <w:p w14:paraId="068E1839"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+43 1 26026 3624</w:t>
      </w:r>
    </w:p>
    <w:p w14:paraId="1443E7F3"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y.sorokin</w:t>
      </w:r>
      <w:r w:rsidR="00C635DA" w:rsidRPr="004B535A">
        <w:rPr>
          <w:lang w:val="en-GB"/>
        </w:rPr>
        <w:t>@unido.org</w:t>
      </w:r>
    </w:p>
    <w:p w14:paraId="0C261352" w14:textId="77777777" w:rsidR="009D052D" w:rsidRPr="004B535A" w:rsidRDefault="00C635DA" w:rsidP="009373BC">
      <w:pPr>
        <w:pStyle w:val="CH3"/>
        <w:spacing w:before="120" w:after="40"/>
        <w:rPr>
          <w:b w:val="0"/>
          <w:sz w:val="22"/>
          <w:szCs w:val="22"/>
        </w:rPr>
      </w:pPr>
      <w:r w:rsidRPr="004B535A">
        <w:tab/>
      </w:r>
      <w:r w:rsidRPr="004B535A">
        <w:tab/>
      </w:r>
      <w:r w:rsidR="00533E0C" w:rsidRPr="004B535A">
        <w:t>World Bank</w:t>
      </w:r>
    </w:p>
    <w:p w14:paraId="2BBFF38D" w14:textId="77777777" w:rsidR="009D052D" w:rsidRPr="004B535A" w:rsidRDefault="009D052D" w:rsidP="009373BC">
      <w:pPr>
        <w:pStyle w:val="Normalpool"/>
        <w:tabs>
          <w:tab w:val="left" w:pos="624"/>
        </w:tabs>
        <w:ind w:left="1247"/>
        <w:rPr>
          <w:lang w:val="en-GB"/>
        </w:rPr>
      </w:pPr>
      <w:r w:rsidRPr="004B535A">
        <w:rPr>
          <w:lang w:val="en-GB"/>
        </w:rPr>
        <w:t xml:space="preserve">Mr. </w:t>
      </w:r>
      <w:proofErr w:type="spellStart"/>
      <w:r w:rsidRPr="004B535A">
        <w:rPr>
          <w:lang w:val="en-GB"/>
        </w:rPr>
        <w:t>Thanavat</w:t>
      </w:r>
      <w:proofErr w:type="spellEnd"/>
      <w:r w:rsidRPr="004B535A">
        <w:rPr>
          <w:lang w:val="en-GB"/>
        </w:rPr>
        <w:t xml:space="preserve"> </w:t>
      </w:r>
      <w:proofErr w:type="spellStart"/>
      <w:r w:rsidRPr="004B535A">
        <w:rPr>
          <w:lang w:val="en-GB"/>
        </w:rPr>
        <w:t>Junchaya</w:t>
      </w:r>
      <w:proofErr w:type="spellEnd"/>
    </w:p>
    <w:p w14:paraId="7DEF3BFD" w14:textId="77777777" w:rsidR="009D052D" w:rsidRPr="004B535A" w:rsidRDefault="009D052D" w:rsidP="009373BC">
      <w:pPr>
        <w:pStyle w:val="Normalpool"/>
        <w:tabs>
          <w:tab w:val="left" w:pos="624"/>
        </w:tabs>
        <w:ind w:left="1247"/>
        <w:rPr>
          <w:lang w:val="en-GB"/>
        </w:rPr>
      </w:pPr>
      <w:r w:rsidRPr="004B535A">
        <w:rPr>
          <w:lang w:val="en-GB"/>
        </w:rPr>
        <w:t>Senior Environmental Engineer</w:t>
      </w:r>
    </w:p>
    <w:p w14:paraId="5DDD5BF5" w14:textId="77777777" w:rsidR="009D052D" w:rsidRPr="004B535A" w:rsidRDefault="009D052D" w:rsidP="009373BC">
      <w:pPr>
        <w:pStyle w:val="Normalpool"/>
        <w:tabs>
          <w:tab w:val="left" w:pos="624"/>
        </w:tabs>
        <w:ind w:left="1247"/>
        <w:rPr>
          <w:lang w:val="en-GB"/>
        </w:rPr>
      </w:pPr>
      <w:r w:rsidRPr="004B535A">
        <w:rPr>
          <w:lang w:val="en-GB"/>
        </w:rPr>
        <w:t>Climate Change Group</w:t>
      </w:r>
    </w:p>
    <w:p w14:paraId="101DBA5F" w14:textId="77777777" w:rsidR="009D052D" w:rsidRPr="004B535A" w:rsidRDefault="009D052D" w:rsidP="009373BC">
      <w:pPr>
        <w:pStyle w:val="Normalpool"/>
        <w:tabs>
          <w:tab w:val="left" w:pos="624"/>
        </w:tabs>
        <w:ind w:left="1247"/>
        <w:rPr>
          <w:lang w:val="en-GB"/>
        </w:rPr>
      </w:pPr>
      <w:r w:rsidRPr="004B535A">
        <w:rPr>
          <w:lang w:val="en-GB"/>
        </w:rPr>
        <w:t>World Bank</w:t>
      </w:r>
    </w:p>
    <w:p w14:paraId="5F83855C" w14:textId="77777777" w:rsidR="009D052D" w:rsidRPr="004B535A" w:rsidRDefault="009D052D" w:rsidP="009373BC">
      <w:pPr>
        <w:pStyle w:val="Normalpool"/>
        <w:tabs>
          <w:tab w:val="left" w:pos="624"/>
        </w:tabs>
        <w:ind w:left="1247"/>
        <w:rPr>
          <w:lang w:val="en-GB"/>
        </w:rPr>
      </w:pPr>
      <w:r w:rsidRPr="004B535A">
        <w:rPr>
          <w:lang w:val="en-GB"/>
        </w:rPr>
        <w:t>1818 H. Street Ave.</w:t>
      </w:r>
    </w:p>
    <w:p w14:paraId="539FF2C3" w14:textId="77777777" w:rsidR="009D052D" w:rsidRPr="004B535A" w:rsidRDefault="009D052D" w:rsidP="009373BC">
      <w:pPr>
        <w:pStyle w:val="Normalpool"/>
        <w:tabs>
          <w:tab w:val="left" w:pos="624"/>
        </w:tabs>
        <w:ind w:left="1247"/>
        <w:rPr>
          <w:lang w:val="en-GB"/>
        </w:rPr>
      </w:pPr>
      <w:r w:rsidRPr="004B535A">
        <w:rPr>
          <w:lang w:val="en-GB"/>
        </w:rPr>
        <w:t xml:space="preserve">Washington, DC 20433 </w:t>
      </w:r>
    </w:p>
    <w:p w14:paraId="3A310299" w14:textId="77777777" w:rsidR="009D052D" w:rsidRPr="004B535A" w:rsidRDefault="009D052D" w:rsidP="009373BC">
      <w:pPr>
        <w:pStyle w:val="Normalpool"/>
        <w:tabs>
          <w:tab w:val="left" w:pos="624"/>
        </w:tabs>
        <w:ind w:left="1247"/>
        <w:rPr>
          <w:lang w:val="en-GB"/>
        </w:rPr>
      </w:pPr>
      <w:r w:rsidRPr="004B535A">
        <w:rPr>
          <w:lang w:val="en-GB"/>
        </w:rPr>
        <w:t>U</w:t>
      </w:r>
      <w:r w:rsidR="00F90225" w:rsidRPr="004B535A">
        <w:rPr>
          <w:lang w:val="en-GB"/>
        </w:rPr>
        <w:t>nited States of America</w:t>
      </w:r>
    </w:p>
    <w:p w14:paraId="053D86AC"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 xml:space="preserve">+1 202 473 3841 </w:t>
      </w:r>
    </w:p>
    <w:p w14:paraId="246414DB"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tjunchaya@worldbank.org</w:t>
      </w:r>
    </w:p>
    <w:p w14:paraId="2E80DB05" w14:textId="77777777" w:rsidR="009D052D" w:rsidRPr="004B535A" w:rsidRDefault="00C635DA" w:rsidP="00C20833">
      <w:pPr>
        <w:pStyle w:val="CH3"/>
        <w:spacing w:before="80" w:after="40"/>
        <w:rPr>
          <w:b w:val="0"/>
          <w:sz w:val="22"/>
          <w:szCs w:val="22"/>
        </w:rPr>
      </w:pPr>
      <w:r w:rsidRPr="004B535A">
        <w:tab/>
      </w:r>
      <w:r w:rsidRPr="004B535A">
        <w:tab/>
      </w:r>
      <w:r w:rsidR="00533E0C" w:rsidRPr="004B535A">
        <w:t xml:space="preserve">Chair, Executive Committee of </w:t>
      </w:r>
      <w:r w:rsidR="00CC3292" w:rsidRPr="004B535A">
        <w:t>the Multilateral Fund Secretariat</w:t>
      </w:r>
      <w:r w:rsidR="00CC3292" w:rsidRPr="004B535A" w:rsidDel="00CC3292">
        <w:t xml:space="preserve"> </w:t>
      </w:r>
    </w:p>
    <w:p w14:paraId="205F10E8" w14:textId="77777777" w:rsidR="009D052D" w:rsidRPr="004B535A" w:rsidRDefault="009D052D" w:rsidP="009373BC">
      <w:pPr>
        <w:pStyle w:val="Normalpool"/>
        <w:tabs>
          <w:tab w:val="left" w:pos="624"/>
        </w:tabs>
        <w:ind w:left="1247"/>
        <w:rPr>
          <w:lang w:val="en-GB"/>
        </w:rPr>
      </w:pPr>
      <w:r w:rsidRPr="004B535A">
        <w:rPr>
          <w:bCs/>
          <w:lang w:val="en-GB"/>
        </w:rPr>
        <w:t xml:space="preserve">Mr. Paul </w:t>
      </w:r>
      <w:proofErr w:type="spellStart"/>
      <w:r w:rsidRPr="004B535A">
        <w:rPr>
          <w:bCs/>
          <w:lang w:val="en-GB"/>
        </w:rPr>
        <w:t>Krajnik</w:t>
      </w:r>
      <w:proofErr w:type="spellEnd"/>
      <w:r w:rsidRPr="004B535A">
        <w:rPr>
          <w:lang w:val="en-GB"/>
        </w:rPr>
        <w:br/>
        <w:t>Deputy Head of Division</w:t>
      </w:r>
      <w:r w:rsidRPr="004B535A">
        <w:rPr>
          <w:lang w:val="en-GB"/>
        </w:rPr>
        <w:br/>
        <w:t>Waste Management, Chemicals Policy and Green Technology</w:t>
      </w:r>
      <w:r w:rsidRPr="004B535A">
        <w:rPr>
          <w:lang w:val="en-GB"/>
        </w:rPr>
        <w:br/>
        <w:t>Ministry of Agriculture, Forestry, Environment and Water Management</w:t>
      </w:r>
      <w:r w:rsidRPr="004B535A">
        <w:rPr>
          <w:lang w:val="en-GB"/>
        </w:rPr>
        <w:br/>
      </w:r>
      <w:proofErr w:type="spellStart"/>
      <w:r w:rsidRPr="004B535A">
        <w:rPr>
          <w:lang w:val="en-GB"/>
        </w:rPr>
        <w:t>Stubenbastei</w:t>
      </w:r>
      <w:proofErr w:type="spellEnd"/>
      <w:r w:rsidRPr="004B535A">
        <w:rPr>
          <w:lang w:val="en-GB"/>
        </w:rPr>
        <w:t xml:space="preserve"> 5</w:t>
      </w:r>
      <w:r w:rsidRPr="004B535A">
        <w:rPr>
          <w:lang w:val="en-GB"/>
        </w:rPr>
        <w:br/>
        <w:t>Vienna A-1010</w:t>
      </w:r>
      <w:r w:rsidRPr="004B535A">
        <w:rPr>
          <w:lang w:val="en-GB"/>
        </w:rPr>
        <w:br/>
        <w:t>Austria</w:t>
      </w:r>
      <w:r w:rsidRPr="004B535A">
        <w:rPr>
          <w:lang w:val="en-GB"/>
        </w:rPr>
        <w:br/>
        <w:t>Tel:</w:t>
      </w:r>
      <w:r w:rsidR="00C635DA" w:rsidRPr="004B535A">
        <w:rPr>
          <w:lang w:val="en-GB"/>
        </w:rPr>
        <w:t xml:space="preserve"> </w:t>
      </w:r>
      <w:r w:rsidRPr="004B535A">
        <w:rPr>
          <w:lang w:val="en-GB"/>
        </w:rPr>
        <w:t>+43 1 71100 612346</w:t>
      </w:r>
    </w:p>
    <w:p w14:paraId="7A184FB2" w14:textId="77777777" w:rsidR="009D052D" w:rsidRPr="004B535A" w:rsidRDefault="009D052D" w:rsidP="009373BC">
      <w:pPr>
        <w:pStyle w:val="Normalpool"/>
        <w:tabs>
          <w:tab w:val="left" w:pos="624"/>
        </w:tabs>
        <w:ind w:left="1247"/>
        <w:rPr>
          <w:lang w:val="en-GB"/>
        </w:rPr>
      </w:pPr>
      <w:r w:rsidRPr="004B535A">
        <w:rPr>
          <w:lang w:val="en-GB"/>
        </w:rPr>
        <w:t>Cell:</w:t>
      </w:r>
      <w:r w:rsidR="00C635DA" w:rsidRPr="004B535A">
        <w:rPr>
          <w:lang w:val="en-GB"/>
        </w:rPr>
        <w:t xml:space="preserve"> </w:t>
      </w:r>
      <w:r w:rsidRPr="004B535A">
        <w:rPr>
          <w:lang w:val="en-GB"/>
        </w:rPr>
        <w:t>+ 43 6641 210784</w:t>
      </w:r>
    </w:p>
    <w:p w14:paraId="11B66171"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paul.krajnik@bmlfuw.gv.at</w:t>
      </w:r>
    </w:p>
    <w:p w14:paraId="1CC4F69B" w14:textId="77777777" w:rsidR="009D052D" w:rsidRPr="004B535A" w:rsidRDefault="00C635DA" w:rsidP="009373BC">
      <w:pPr>
        <w:pStyle w:val="CH3"/>
        <w:spacing w:before="120" w:after="40"/>
        <w:rPr>
          <w:b w:val="0"/>
          <w:sz w:val="22"/>
          <w:szCs w:val="22"/>
        </w:rPr>
      </w:pPr>
      <w:r w:rsidRPr="004B535A">
        <w:lastRenderedPageBreak/>
        <w:tab/>
      </w:r>
      <w:r w:rsidRPr="004B535A">
        <w:tab/>
      </w:r>
      <w:r w:rsidR="00533E0C" w:rsidRPr="004B535A">
        <w:t xml:space="preserve">Vice-Chair, Executive Committee of </w:t>
      </w:r>
      <w:r w:rsidR="00CC3292" w:rsidRPr="004B535A">
        <w:t>the Multilateral Fund Secretariat</w:t>
      </w:r>
    </w:p>
    <w:p w14:paraId="4B3567E2" w14:textId="77777777" w:rsidR="009D052D" w:rsidRPr="004B535A" w:rsidRDefault="009D052D" w:rsidP="009373BC">
      <w:pPr>
        <w:pStyle w:val="Normalpool"/>
        <w:tabs>
          <w:tab w:val="left" w:pos="624"/>
        </w:tabs>
        <w:ind w:left="1247"/>
        <w:rPr>
          <w:lang w:val="en-GB"/>
        </w:rPr>
      </w:pPr>
      <w:r w:rsidRPr="004B535A">
        <w:rPr>
          <w:lang w:val="en-GB"/>
        </w:rPr>
        <w:t xml:space="preserve">Mr. </w:t>
      </w:r>
      <w:proofErr w:type="spellStart"/>
      <w:r w:rsidRPr="004B535A">
        <w:rPr>
          <w:lang w:val="en-GB"/>
        </w:rPr>
        <w:t>Mazen</w:t>
      </w:r>
      <w:proofErr w:type="spellEnd"/>
      <w:r w:rsidRPr="004B535A">
        <w:rPr>
          <w:lang w:val="en-GB"/>
        </w:rPr>
        <w:t xml:space="preserve"> Khalil Hussein</w:t>
      </w:r>
    </w:p>
    <w:p w14:paraId="5ADF1F31" w14:textId="77777777" w:rsidR="009D052D" w:rsidRPr="004B535A" w:rsidRDefault="009D052D" w:rsidP="009373BC">
      <w:pPr>
        <w:pStyle w:val="Normalpool"/>
        <w:tabs>
          <w:tab w:val="left" w:pos="624"/>
        </w:tabs>
        <w:ind w:left="1247"/>
        <w:rPr>
          <w:lang w:val="en-GB"/>
        </w:rPr>
      </w:pPr>
      <w:r w:rsidRPr="004B535A">
        <w:rPr>
          <w:lang w:val="en-GB"/>
        </w:rPr>
        <w:t>Head</w:t>
      </w:r>
    </w:p>
    <w:p w14:paraId="3CBC8FB0" w14:textId="77777777" w:rsidR="009D052D" w:rsidRPr="004B535A" w:rsidRDefault="009D052D" w:rsidP="009373BC">
      <w:pPr>
        <w:pStyle w:val="Normalpool"/>
        <w:tabs>
          <w:tab w:val="left" w:pos="624"/>
        </w:tabs>
        <w:ind w:left="1247"/>
        <w:rPr>
          <w:lang w:val="en-GB"/>
        </w:rPr>
      </w:pPr>
      <w:r w:rsidRPr="004B535A">
        <w:rPr>
          <w:lang w:val="en-GB"/>
        </w:rPr>
        <w:t>National Ozone Unit, Air Quality</w:t>
      </w:r>
    </w:p>
    <w:p w14:paraId="28E13A91" w14:textId="77777777" w:rsidR="009D052D" w:rsidRPr="004B535A" w:rsidRDefault="009D052D" w:rsidP="009373BC">
      <w:pPr>
        <w:pStyle w:val="Normalpool"/>
        <w:tabs>
          <w:tab w:val="left" w:pos="624"/>
        </w:tabs>
        <w:ind w:left="1247"/>
        <w:rPr>
          <w:lang w:val="en-GB"/>
        </w:rPr>
      </w:pPr>
      <w:r w:rsidRPr="004B535A">
        <w:rPr>
          <w:lang w:val="en-GB"/>
        </w:rPr>
        <w:t>Ministry of Environment</w:t>
      </w:r>
    </w:p>
    <w:p w14:paraId="6390882B" w14:textId="77777777" w:rsidR="009D052D" w:rsidRPr="004B535A" w:rsidRDefault="009D052D" w:rsidP="009373BC">
      <w:pPr>
        <w:pStyle w:val="Normalpool"/>
        <w:tabs>
          <w:tab w:val="left" w:pos="624"/>
        </w:tabs>
        <w:ind w:left="1247"/>
        <w:rPr>
          <w:lang w:val="en-GB"/>
        </w:rPr>
      </w:pPr>
      <w:proofErr w:type="spellStart"/>
      <w:r w:rsidRPr="004B535A">
        <w:rPr>
          <w:lang w:val="en-GB"/>
        </w:rPr>
        <w:t>Lazarieh</w:t>
      </w:r>
      <w:proofErr w:type="spellEnd"/>
      <w:r w:rsidRPr="004B535A">
        <w:rPr>
          <w:lang w:val="en-GB"/>
        </w:rPr>
        <w:t xml:space="preserve"> Building, 7</w:t>
      </w:r>
      <w:r w:rsidRPr="004B535A">
        <w:rPr>
          <w:vertAlign w:val="superscript"/>
          <w:lang w:val="en-GB"/>
        </w:rPr>
        <w:t>th</w:t>
      </w:r>
      <w:r w:rsidRPr="004B535A">
        <w:rPr>
          <w:lang w:val="en-GB"/>
        </w:rPr>
        <w:t xml:space="preserve"> Floor, </w:t>
      </w:r>
      <w:proofErr w:type="spellStart"/>
      <w:r w:rsidRPr="004B535A">
        <w:rPr>
          <w:lang w:val="en-GB"/>
        </w:rPr>
        <w:t>Riad</w:t>
      </w:r>
      <w:proofErr w:type="spellEnd"/>
      <w:r w:rsidRPr="004B535A">
        <w:rPr>
          <w:lang w:val="en-GB"/>
        </w:rPr>
        <w:t xml:space="preserve"> </w:t>
      </w:r>
      <w:proofErr w:type="spellStart"/>
      <w:r w:rsidRPr="004B535A">
        <w:rPr>
          <w:lang w:val="en-GB"/>
        </w:rPr>
        <w:t>Solh</w:t>
      </w:r>
      <w:proofErr w:type="spellEnd"/>
      <w:r w:rsidRPr="004B535A">
        <w:rPr>
          <w:lang w:val="en-GB"/>
        </w:rPr>
        <w:t xml:space="preserve"> Square</w:t>
      </w:r>
    </w:p>
    <w:p w14:paraId="3AC4BC01" w14:textId="77777777" w:rsidR="009D052D" w:rsidRPr="004B535A" w:rsidRDefault="009D052D" w:rsidP="009373BC">
      <w:pPr>
        <w:pStyle w:val="Normalpool"/>
        <w:tabs>
          <w:tab w:val="left" w:pos="624"/>
        </w:tabs>
        <w:ind w:left="1247"/>
        <w:rPr>
          <w:lang w:val="en-GB"/>
        </w:rPr>
      </w:pPr>
      <w:r w:rsidRPr="004B535A">
        <w:rPr>
          <w:lang w:val="en-GB"/>
        </w:rPr>
        <w:t>P.O. Box 11-2727</w:t>
      </w:r>
    </w:p>
    <w:p w14:paraId="286D38CC" w14:textId="77777777" w:rsidR="009D052D" w:rsidRPr="004B535A" w:rsidRDefault="009D052D" w:rsidP="009373BC">
      <w:pPr>
        <w:pStyle w:val="Normalpool"/>
        <w:tabs>
          <w:tab w:val="left" w:pos="624"/>
        </w:tabs>
        <w:ind w:left="1247"/>
        <w:rPr>
          <w:lang w:val="en-GB"/>
        </w:rPr>
      </w:pPr>
      <w:r w:rsidRPr="004B535A">
        <w:rPr>
          <w:lang w:val="en-GB"/>
        </w:rPr>
        <w:t>Beirut</w:t>
      </w:r>
    </w:p>
    <w:p w14:paraId="0128BA10" w14:textId="77777777" w:rsidR="009D052D" w:rsidRPr="004B535A" w:rsidRDefault="009D052D" w:rsidP="009373BC">
      <w:pPr>
        <w:pStyle w:val="Normalpool"/>
        <w:tabs>
          <w:tab w:val="left" w:pos="624"/>
        </w:tabs>
        <w:ind w:left="1247"/>
        <w:rPr>
          <w:lang w:val="en-GB"/>
        </w:rPr>
      </w:pPr>
      <w:r w:rsidRPr="004B535A">
        <w:rPr>
          <w:lang w:val="en-GB"/>
        </w:rPr>
        <w:t>Lebanon</w:t>
      </w:r>
    </w:p>
    <w:p w14:paraId="1276A406"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+961 1976555</w:t>
      </w:r>
    </w:p>
    <w:p w14:paraId="6C7F3419" w14:textId="77777777" w:rsidR="009D052D" w:rsidRPr="004B535A" w:rsidRDefault="009D052D" w:rsidP="009373BC">
      <w:pPr>
        <w:pStyle w:val="Normalpool"/>
        <w:tabs>
          <w:tab w:val="left" w:pos="624"/>
        </w:tabs>
        <w:ind w:left="1247"/>
        <w:rPr>
          <w:lang w:val="en-GB"/>
        </w:rPr>
      </w:pPr>
      <w:r w:rsidRPr="004B535A">
        <w:rPr>
          <w:lang w:val="en-GB"/>
        </w:rPr>
        <w:t>Cell:</w:t>
      </w:r>
      <w:r w:rsidR="00C635DA" w:rsidRPr="004B535A">
        <w:rPr>
          <w:lang w:val="en-GB"/>
        </w:rPr>
        <w:t xml:space="preserve"> </w:t>
      </w:r>
      <w:r w:rsidRPr="004B535A">
        <w:rPr>
          <w:lang w:val="en-GB"/>
        </w:rPr>
        <w:t>+961 3204318</w:t>
      </w:r>
    </w:p>
    <w:p w14:paraId="66FE9815"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r w:rsidRPr="004B535A">
        <w:rPr>
          <w:lang w:val="en-GB"/>
        </w:rPr>
        <w:t>mazen.hussein@undp.org</w:t>
      </w:r>
    </w:p>
    <w:p w14:paraId="501D3C90" w14:textId="77777777" w:rsidR="009D052D" w:rsidRPr="004B535A" w:rsidRDefault="00C635DA" w:rsidP="009373BC">
      <w:pPr>
        <w:pStyle w:val="CH2"/>
        <w:spacing w:before="240"/>
        <w:rPr>
          <w:iCs/>
          <w:sz w:val="22"/>
          <w:szCs w:val="22"/>
        </w:rPr>
      </w:pPr>
      <w:r w:rsidRPr="004B535A">
        <w:tab/>
      </w:r>
      <w:r w:rsidRPr="004B535A">
        <w:tab/>
      </w:r>
      <w:r w:rsidR="00533E0C" w:rsidRPr="004B535A">
        <w:t>Invited parties</w:t>
      </w:r>
    </w:p>
    <w:p w14:paraId="0CA93F7A" w14:textId="77777777" w:rsidR="009D052D" w:rsidRPr="004B535A" w:rsidRDefault="00C635DA" w:rsidP="009373BC">
      <w:pPr>
        <w:pStyle w:val="CH3"/>
        <w:spacing w:before="120" w:after="40"/>
        <w:rPr>
          <w:b w:val="0"/>
          <w:iCs/>
          <w:sz w:val="22"/>
          <w:szCs w:val="22"/>
        </w:rPr>
      </w:pPr>
      <w:r w:rsidRPr="004B535A">
        <w:tab/>
      </w:r>
      <w:r w:rsidRPr="004B535A">
        <w:tab/>
      </w:r>
      <w:r w:rsidR="009D052D" w:rsidRPr="004B535A">
        <w:t>K</w:t>
      </w:r>
      <w:r w:rsidRPr="004B535A">
        <w:t>azakhstan</w:t>
      </w:r>
    </w:p>
    <w:p w14:paraId="53F4D2A8" w14:textId="77777777" w:rsidR="009D052D" w:rsidRPr="004B535A" w:rsidRDefault="009D052D" w:rsidP="009373BC">
      <w:pPr>
        <w:pStyle w:val="Normalpool"/>
        <w:tabs>
          <w:tab w:val="left" w:pos="624"/>
        </w:tabs>
        <w:ind w:left="1247"/>
        <w:rPr>
          <w:iCs/>
          <w:lang w:val="en-GB"/>
        </w:rPr>
      </w:pPr>
      <w:r w:rsidRPr="004B535A">
        <w:rPr>
          <w:iCs/>
          <w:lang w:val="en-GB"/>
        </w:rPr>
        <w:t xml:space="preserve">Mr. </w:t>
      </w:r>
      <w:proofErr w:type="spellStart"/>
      <w:r w:rsidRPr="004B535A">
        <w:rPr>
          <w:iCs/>
          <w:lang w:val="en-GB"/>
        </w:rPr>
        <w:t>Sabyr</w:t>
      </w:r>
      <w:proofErr w:type="spellEnd"/>
      <w:r w:rsidRPr="004B535A">
        <w:rPr>
          <w:iCs/>
          <w:lang w:val="en-GB"/>
        </w:rPr>
        <w:t xml:space="preserve"> </w:t>
      </w:r>
      <w:proofErr w:type="spellStart"/>
      <w:r w:rsidRPr="004B535A">
        <w:rPr>
          <w:iCs/>
          <w:lang w:val="en-GB"/>
        </w:rPr>
        <w:t>Assylbekov</w:t>
      </w:r>
      <w:proofErr w:type="spellEnd"/>
    </w:p>
    <w:p w14:paraId="72425EBB" w14:textId="77777777" w:rsidR="009D052D" w:rsidRPr="004B535A" w:rsidRDefault="009D052D" w:rsidP="009373BC">
      <w:pPr>
        <w:pStyle w:val="Normalpool"/>
        <w:tabs>
          <w:tab w:val="left" w:pos="624"/>
        </w:tabs>
        <w:ind w:left="1247"/>
        <w:rPr>
          <w:iCs/>
          <w:lang w:val="en-GB"/>
        </w:rPr>
      </w:pPr>
      <w:r w:rsidRPr="004B535A">
        <w:rPr>
          <w:iCs/>
          <w:lang w:val="en-GB"/>
        </w:rPr>
        <w:t>Chief Expert</w:t>
      </w:r>
    </w:p>
    <w:p w14:paraId="773914C1" w14:textId="77777777" w:rsidR="009D052D" w:rsidRPr="004B535A" w:rsidRDefault="009D052D" w:rsidP="009373BC">
      <w:pPr>
        <w:pStyle w:val="Normalpool"/>
        <w:tabs>
          <w:tab w:val="left" w:pos="624"/>
        </w:tabs>
        <w:ind w:left="1247"/>
        <w:rPr>
          <w:iCs/>
          <w:lang w:val="en-GB"/>
        </w:rPr>
      </w:pPr>
      <w:r w:rsidRPr="004B535A">
        <w:rPr>
          <w:iCs/>
          <w:lang w:val="en-GB"/>
        </w:rPr>
        <w:t>Department of Climate Change</w:t>
      </w:r>
    </w:p>
    <w:p w14:paraId="63DE34CF" w14:textId="77777777" w:rsidR="009D052D" w:rsidRPr="004B535A" w:rsidRDefault="009D052D" w:rsidP="009373BC">
      <w:pPr>
        <w:pStyle w:val="Normalpool"/>
        <w:tabs>
          <w:tab w:val="left" w:pos="624"/>
        </w:tabs>
        <w:ind w:left="1247"/>
        <w:rPr>
          <w:iCs/>
          <w:lang w:val="en-GB"/>
        </w:rPr>
      </w:pPr>
      <w:r w:rsidRPr="004B535A">
        <w:rPr>
          <w:iCs/>
          <w:lang w:val="en-GB"/>
        </w:rPr>
        <w:t>Ministry of Energy</w:t>
      </w:r>
    </w:p>
    <w:p w14:paraId="5E9CDD69" w14:textId="77777777" w:rsidR="009D052D" w:rsidRPr="004B535A" w:rsidRDefault="009D052D" w:rsidP="009373BC">
      <w:pPr>
        <w:pStyle w:val="Normalpool"/>
        <w:tabs>
          <w:tab w:val="left" w:pos="624"/>
        </w:tabs>
        <w:ind w:left="1247"/>
        <w:rPr>
          <w:iCs/>
          <w:lang w:val="en-GB"/>
        </w:rPr>
      </w:pPr>
      <w:r w:rsidRPr="004B535A">
        <w:rPr>
          <w:iCs/>
          <w:lang w:val="en-GB"/>
        </w:rPr>
        <w:t xml:space="preserve">8, </w:t>
      </w:r>
      <w:proofErr w:type="spellStart"/>
      <w:r w:rsidRPr="004B535A">
        <w:rPr>
          <w:iCs/>
          <w:lang w:val="en-GB"/>
        </w:rPr>
        <w:t>Orynbor</w:t>
      </w:r>
      <w:proofErr w:type="spellEnd"/>
      <w:r w:rsidRPr="004B535A">
        <w:rPr>
          <w:iCs/>
          <w:lang w:val="en-GB"/>
        </w:rPr>
        <w:t xml:space="preserve"> Street</w:t>
      </w:r>
    </w:p>
    <w:p w14:paraId="42E6FAC8" w14:textId="77777777" w:rsidR="009D052D" w:rsidRPr="004B535A" w:rsidRDefault="009D052D" w:rsidP="009373BC">
      <w:pPr>
        <w:pStyle w:val="Normalpool"/>
        <w:tabs>
          <w:tab w:val="left" w:pos="624"/>
        </w:tabs>
        <w:ind w:left="1247"/>
        <w:rPr>
          <w:iCs/>
          <w:lang w:val="en-GB"/>
        </w:rPr>
      </w:pPr>
      <w:r w:rsidRPr="004B535A">
        <w:rPr>
          <w:iCs/>
          <w:lang w:val="en-GB"/>
        </w:rPr>
        <w:t>Astana 010000</w:t>
      </w:r>
    </w:p>
    <w:p w14:paraId="322FAB3D" w14:textId="77777777" w:rsidR="009D052D" w:rsidRPr="004B535A" w:rsidRDefault="009D052D" w:rsidP="009373BC">
      <w:pPr>
        <w:pStyle w:val="Normalpool"/>
        <w:tabs>
          <w:tab w:val="left" w:pos="624"/>
        </w:tabs>
        <w:ind w:left="1247"/>
        <w:rPr>
          <w:iCs/>
          <w:lang w:val="en-GB"/>
        </w:rPr>
      </w:pPr>
      <w:r w:rsidRPr="004B535A">
        <w:rPr>
          <w:iCs/>
          <w:lang w:val="en-GB"/>
        </w:rPr>
        <w:t>Kazakhstan</w:t>
      </w:r>
    </w:p>
    <w:p w14:paraId="69C9222B" w14:textId="77777777" w:rsidR="009D052D" w:rsidRPr="004B535A" w:rsidRDefault="009D052D" w:rsidP="009373BC">
      <w:pPr>
        <w:pStyle w:val="Normalpool"/>
        <w:tabs>
          <w:tab w:val="left" w:pos="624"/>
        </w:tabs>
        <w:ind w:left="1247"/>
        <w:rPr>
          <w:iCs/>
          <w:lang w:val="en-GB"/>
        </w:rPr>
      </w:pPr>
      <w:r w:rsidRPr="004B535A">
        <w:rPr>
          <w:iCs/>
          <w:lang w:val="en-GB"/>
        </w:rPr>
        <w:t>Tel:</w:t>
      </w:r>
      <w:r w:rsidR="00C635DA" w:rsidRPr="004B535A">
        <w:rPr>
          <w:iCs/>
          <w:lang w:val="en-GB"/>
        </w:rPr>
        <w:t xml:space="preserve"> </w:t>
      </w:r>
      <w:r w:rsidRPr="004B535A">
        <w:rPr>
          <w:iCs/>
          <w:lang w:val="en-GB"/>
        </w:rPr>
        <w:t>+770 276 76459</w:t>
      </w:r>
    </w:p>
    <w:p w14:paraId="6430B1BF" w14:textId="77777777" w:rsidR="009D052D" w:rsidRPr="004B535A" w:rsidRDefault="009D052D" w:rsidP="009373BC">
      <w:pPr>
        <w:pStyle w:val="Normalpool"/>
        <w:tabs>
          <w:tab w:val="left" w:pos="624"/>
        </w:tabs>
        <w:ind w:left="1247"/>
        <w:rPr>
          <w:iCs/>
          <w:lang w:val="en-GB"/>
        </w:rPr>
      </w:pPr>
      <w:r w:rsidRPr="004B535A">
        <w:rPr>
          <w:iCs/>
          <w:lang w:val="en-GB"/>
        </w:rPr>
        <w:t>Cell:</w:t>
      </w:r>
      <w:r w:rsidR="00C635DA" w:rsidRPr="004B535A">
        <w:rPr>
          <w:iCs/>
          <w:lang w:val="en-GB"/>
        </w:rPr>
        <w:t xml:space="preserve"> </w:t>
      </w:r>
      <w:r w:rsidRPr="004B535A">
        <w:rPr>
          <w:iCs/>
          <w:lang w:val="en-GB"/>
        </w:rPr>
        <w:t>+771 727 40259</w:t>
      </w:r>
    </w:p>
    <w:p w14:paraId="3B1FDC55" w14:textId="77777777" w:rsidR="009D052D" w:rsidRPr="004B535A" w:rsidRDefault="009D052D" w:rsidP="009373BC">
      <w:pPr>
        <w:pStyle w:val="Normalpool"/>
        <w:tabs>
          <w:tab w:val="left" w:pos="624"/>
        </w:tabs>
        <w:ind w:left="1247"/>
        <w:rPr>
          <w:iCs/>
          <w:lang w:val="en-GB"/>
        </w:rPr>
      </w:pPr>
      <w:r w:rsidRPr="004B535A">
        <w:rPr>
          <w:iCs/>
          <w:lang w:val="en-GB"/>
        </w:rPr>
        <w:t>Email:</w:t>
      </w:r>
      <w:r w:rsidR="00C635DA" w:rsidRPr="004B535A">
        <w:rPr>
          <w:iCs/>
          <w:lang w:val="en-GB"/>
        </w:rPr>
        <w:t xml:space="preserve"> </w:t>
      </w:r>
      <w:hyperlink r:id="rId18" w:history="1">
        <w:r w:rsidRPr="004B535A">
          <w:rPr>
            <w:rStyle w:val="Hyperlink"/>
            <w:iCs/>
            <w:color w:val="000000"/>
            <w:lang w:val="en-GB"/>
          </w:rPr>
          <w:t>s.asylbekov@energo.gov.kz</w:t>
        </w:r>
      </w:hyperlink>
      <w:r w:rsidRPr="004B535A">
        <w:rPr>
          <w:iCs/>
          <w:lang w:val="en-GB"/>
        </w:rPr>
        <w:t>, sssabyr@gmail.com</w:t>
      </w:r>
    </w:p>
    <w:p w14:paraId="50546A97" w14:textId="77777777" w:rsidR="009D052D" w:rsidRPr="004B535A" w:rsidRDefault="00C635DA" w:rsidP="009373BC">
      <w:pPr>
        <w:pStyle w:val="CH3"/>
        <w:spacing w:before="120" w:after="40"/>
        <w:rPr>
          <w:b w:val="0"/>
          <w:iCs/>
          <w:sz w:val="22"/>
          <w:szCs w:val="22"/>
        </w:rPr>
      </w:pPr>
      <w:r w:rsidRPr="004B535A">
        <w:tab/>
      </w:r>
      <w:r w:rsidRPr="004B535A">
        <w:tab/>
      </w:r>
      <w:r w:rsidR="009D052D" w:rsidRPr="004B535A">
        <w:t>P</w:t>
      </w:r>
      <w:r w:rsidRPr="004B535A">
        <w:t>hilippines</w:t>
      </w:r>
    </w:p>
    <w:p w14:paraId="518A0828" w14:textId="546A8839" w:rsidR="009D052D" w:rsidRPr="004B535A" w:rsidRDefault="0083249B" w:rsidP="009373BC">
      <w:pPr>
        <w:pStyle w:val="Normalpool"/>
        <w:tabs>
          <w:tab w:val="left" w:pos="624"/>
        </w:tabs>
        <w:ind w:left="1247"/>
        <w:rPr>
          <w:iCs/>
          <w:lang w:val="en-GB"/>
        </w:rPr>
      </w:pPr>
      <w:r w:rsidRPr="004B535A">
        <w:rPr>
          <w:iCs/>
          <w:lang w:val="en-GB"/>
        </w:rPr>
        <w:t>Mr</w:t>
      </w:r>
      <w:r w:rsidR="009D052D" w:rsidRPr="004B535A">
        <w:rPr>
          <w:iCs/>
          <w:lang w:val="en-GB"/>
        </w:rPr>
        <w:t>. Juan Miguel T. Cuna</w:t>
      </w:r>
    </w:p>
    <w:p w14:paraId="3767D68D" w14:textId="15F8CB20" w:rsidR="009D052D" w:rsidRPr="004B535A" w:rsidRDefault="009D052D" w:rsidP="009373BC">
      <w:pPr>
        <w:pStyle w:val="Normalpool"/>
        <w:tabs>
          <w:tab w:val="left" w:pos="624"/>
        </w:tabs>
        <w:ind w:left="1247"/>
        <w:rPr>
          <w:iCs/>
          <w:lang w:val="en-GB"/>
        </w:rPr>
      </w:pPr>
      <w:r w:rsidRPr="004B535A">
        <w:rPr>
          <w:iCs/>
          <w:lang w:val="en-GB"/>
        </w:rPr>
        <w:t>Undersecretary</w:t>
      </w:r>
    </w:p>
    <w:p w14:paraId="259EA7E8" w14:textId="77777777" w:rsidR="009D052D" w:rsidRPr="004B535A" w:rsidRDefault="009D052D" w:rsidP="009373BC">
      <w:pPr>
        <w:pStyle w:val="Normalpool"/>
        <w:tabs>
          <w:tab w:val="left" w:pos="624"/>
        </w:tabs>
        <w:ind w:left="1247"/>
        <w:rPr>
          <w:iCs/>
          <w:lang w:val="en-GB"/>
        </w:rPr>
      </w:pPr>
      <w:r w:rsidRPr="004B535A">
        <w:rPr>
          <w:iCs/>
          <w:lang w:val="en-GB"/>
        </w:rPr>
        <w:t>Department of Environment and Natural Resources</w:t>
      </w:r>
    </w:p>
    <w:p w14:paraId="529C2A19" w14:textId="77777777" w:rsidR="009D052D" w:rsidRPr="004B535A" w:rsidRDefault="009D052D" w:rsidP="009373BC">
      <w:pPr>
        <w:pStyle w:val="Normalpool"/>
        <w:tabs>
          <w:tab w:val="left" w:pos="624"/>
        </w:tabs>
        <w:ind w:left="1247"/>
        <w:rPr>
          <w:iCs/>
          <w:lang w:val="en-GB"/>
        </w:rPr>
      </w:pPr>
      <w:proofErr w:type="spellStart"/>
      <w:r w:rsidRPr="004B535A">
        <w:rPr>
          <w:iCs/>
          <w:lang w:val="en-GB"/>
        </w:rPr>
        <w:t>Visayas</w:t>
      </w:r>
      <w:proofErr w:type="spellEnd"/>
      <w:r w:rsidRPr="004B535A">
        <w:rPr>
          <w:iCs/>
          <w:lang w:val="en-GB"/>
        </w:rPr>
        <w:t xml:space="preserve"> Ave., </w:t>
      </w:r>
      <w:proofErr w:type="spellStart"/>
      <w:r w:rsidRPr="004B535A">
        <w:rPr>
          <w:iCs/>
          <w:lang w:val="en-GB"/>
        </w:rPr>
        <w:t>Diliman</w:t>
      </w:r>
      <w:proofErr w:type="spellEnd"/>
      <w:r w:rsidRPr="004B535A">
        <w:rPr>
          <w:iCs/>
          <w:lang w:val="en-GB"/>
        </w:rPr>
        <w:t xml:space="preserve"> </w:t>
      </w:r>
    </w:p>
    <w:p w14:paraId="4C07F179" w14:textId="77777777" w:rsidR="009D052D" w:rsidRPr="004B535A" w:rsidRDefault="009D052D" w:rsidP="009373BC">
      <w:pPr>
        <w:pStyle w:val="Normalpool"/>
        <w:tabs>
          <w:tab w:val="left" w:pos="624"/>
        </w:tabs>
        <w:ind w:left="1247"/>
        <w:rPr>
          <w:iCs/>
          <w:lang w:val="en-GB"/>
        </w:rPr>
      </w:pPr>
      <w:r w:rsidRPr="004B535A">
        <w:rPr>
          <w:iCs/>
          <w:lang w:val="en-GB"/>
        </w:rPr>
        <w:t>Quezon City - 1100</w:t>
      </w:r>
    </w:p>
    <w:p w14:paraId="67C79A7A" w14:textId="77777777" w:rsidR="009D052D" w:rsidRPr="004B535A" w:rsidRDefault="009D052D" w:rsidP="009373BC">
      <w:pPr>
        <w:pStyle w:val="Normalpool"/>
        <w:tabs>
          <w:tab w:val="left" w:pos="624"/>
        </w:tabs>
        <w:ind w:left="1247"/>
        <w:rPr>
          <w:iCs/>
          <w:lang w:val="en-GB"/>
        </w:rPr>
      </w:pPr>
      <w:r w:rsidRPr="004B535A">
        <w:rPr>
          <w:iCs/>
          <w:lang w:val="en-GB"/>
        </w:rPr>
        <w:t>Philippine</w:t>
      </w:r>
      <w:r w:rsidR="00F90225" w:rsidRPr="004B535A">
        <w:rPr>
          <w:iCs/>
          <w:lang w:val="en-GB"/>
        </w:rPr>
        <w:t>s</w:t>
      </w:r>
    </w:p>
    <w:p w14:paraId="6F7E2D42" w14:textId="77777777" w:rsidR="009D052D" w:rsidRPr="004B535A" w:rsidRDefault="009D052D" w:rsidP="009373BC">
      <w:pPr>
        <w:pStyle w:val="Normalpool"/>
        <w:tabs>
          <w:tab w:val="left" w:pos="624"/>
        </w:tabs>
        <w:ind w:left="1247"/>
        <w:rPr>
          <w:iCs/>
          <w:lang w:val="en-GB"/>
        </w:rPr>
      </w:pPr>
      <w:r w:rsidRPr="004B535A">
        <w:rPr>
          <w:iCs/>
          <w:lang w:val="en-GB"/>
        </w:rPr>
        <w:t>Tel: +63 2 925 2328</w:t>
      </w:r>
    </w:p>
    <w:p w14:paraId="569B2F3E" w14:textId="77777777" w:rsidR="009D052D" w:rsidRPr="004B535A" w:rsidRDefault="009D052D" w:rsidP="009373BC">
      <w:pPr>
        <w:pStyle w:val="Normalpool"/>
        <w:tabs>
          <w:tab w:val="left" w:pos="624"/>
        </w:tabs>
        <w:ind w:left="1247"/>
        <w:rPr>
          <w:iCs/>
          <w:lang w:val="en-GB"/>
        </w:rPr>
      </w:pPr>
      <w:r w:rsidRPr="004B535A">
        <w:rPr>
          <w:iCs/>
          <w:lang w:val="en-GB"/>
        </w:rPr>
        <w:t>Email:</w:t>
      </w:r>
      <w:r w:rsidR="00C635DA" w:rsidRPr="004B535A">
        <w:rPr>
          <w:iCs/>
          <w:lang w:val="en-GB"/>
        </w:rPr>
        <w:t xml:space="preserve"> </w:t>
      </w:r>
      <w:r w:rsidRPr="004B535A">
        <w:rPr>
          <w:iCs/>
          <w:lang w:val="en-GB"/>
        </w:rPr>
        <w:t>attymitcheuna@gmail.com</w:t>
      </w:r>
    </w:p>
    <w:p w14:paraId="1A703784" w14:textId="04954AFE" w:rsidR="009D052D" w:rsidRPr="004B535A" w:rsidRDefault="0083249B" w:rsidP="009373BC">
      <w:pPr>
        <w:pStyle w:val="Normalpool"/>
        <w:tabs>
          <w:tab w:val="left" w:pos="624"/>
        </w:tabs>
        <w:spacing w:before="120"/>
        <w:ind w:left="1247"/>
        <w:rPr>
          <w:iCs/>
          <w:lang w:val="en-GB"/>
        </w:rPr>
      </w:pPr>
      <w:r w:rsidRPr="004B535A">
        <w:rPr>
          <w:iCs/>
          <w:lang w:val="en-GB"/>
        </w:rPr>
        <w:t>Mr</w:t>
      </w:r>
      <w:r w:rsidR="009D052D" w:rsidRPr="004B535A">
        <w:rPr>
          <w:iCs/>
          <w:lang w:val="en-GB"/>
        </w:rPr>
        <w:t xml:space="preserve">. </w:t>
      </w:r>
      <w:proofErr w:type="spellStart"/>
      <w:r w:rsidR="009D052D" w:rsidRPr="004B535A">
        <w:rPr>
          <w:iCs/>
          <w:lang w:val="en-GB"/>
        </w:rPr>
        <w:t>Metodio</w:t>
      </w:r>
      <w:proofErr w:type="spellEnd"/>
      <w:r w:rsidR="009D052D" w:rsidRPr="004B535A">
        <w:rPr>
          <w:iCs/>
          <w:lang w:val="en-GB"/>
        </w:rPr>
        <w:t xml:space="preserve"> U. </w:t>
      </w:r>
      <w:proofErr w:type="spellStart"/>
      <w:r w:rsidR="009D052D" w:rsidRPr="004B535A">
        <w:rPr>
          <w:iCs/>
          <w:lang w:val="en-GB"/>
        </w:rPr>
        <w:t>Turbella</w:t>
      </w:r>
      <w:proofErr w:type="spellEnd"/>
    </w:p>
    <w:p w14:paraId="5E0E7C32" w14:textId="6E6AA6DF" w:rsidR="009D052D" w:rsidRPr="004B535A" w:rsidRDefault="009D052D" w:rsidP="009373BC">
      <w:pPr>
        <w:pStyle w:val="Normalpool"/>
        <w:tabs>
          <w:tab w:val="left" w:pos="624"/>
        </w:tabs>
        <w:ind w:left="1247"/>
        <w:rPr>
          <w:iCs/>
          <w:lang w:val="en-GB"/>
        </w:rPr>
      </w:pPr>
      <w:r w:rsidRPr="004B535A">
        <w:rPr>
          <w:iCs/>
          <w:lang w:val="en-GB"/>
        </w:rPr>
        <w:t xml:space="preserve">Director, </w:t>
      </w:r>
      <w:r w:rsidR="003A17E2" w:rsidRPr="004B535A">
        <w:rPr>
          <w:iCs/>
          <w:lang w:val="en-GB"/>
        </w:rPr>
        <w:t>Environmental Management Bureau</w:t>
      </w:r>
    </w:p>
    <w:p w14:paraId="6CBF81AC" w14:textId="77777777" w:rsidR="003A17E2" w:rsidRPr="004B535A" w:rsidRDefault="003A17E2" w:rsidP="003A17E2">
      <w:pPr>
        <w:pStyle w:val="Normalpool"/>
        <w:tabs>
          <w:tab w:val="left" w:pos="624"/>
        </w:tabs>
        <w:ind w:left="1247"/>
        <w:rPr>
          <w:iCs/>
          <w:lang w:val="en-GB"/>
        </w:rPr>
      </w:pPr>
      <w:r w:rsidRPr="004B535A">
        <w:rPr>
          <w:iCs/>
          <w:lang w:val="en-GB"/>
        </w:rPr>
        <w:t>Department of Environment and Natural Resources</w:t>
      </w:r>
    </w:p>
    <w:p w14:paraId="3B999B83" w14:textId="77777777" w:rsidR="009D052D" w:rsidRPr="004B535A" w:rsidRDefault="009D052D" w:rsidP="009373BC">
      <w:pPr>
        <w:pStyle w:val="Normalpool"/>
        <w:tabs>
          <w:tab w:val="left" w:pos="624"/>
        </w:tabs>
        <w:ind w:left="1247"/>
        <w:rPr>
          <w:iCs/>
          <w:lang w:val="en-GB"/>
        </w:rPr>
      </w:pPr>
      <w:proofErr w:type="spellStart"/>
      <w:r w:rsidRPr="004B535A">
        <w:rPr>
          <w:iCs/>
          <w:lang w:val="en-GB"/>
        </w:rPr>
        <w:t>Visayas</w:t>
      </w:r>
      <w:proofErr w:type="spellEnd"/>
      <w:r w:rsidRPr="004B535A">
        <w:rPr>
          <w:iCs/>
          <w:lang w:val="en-GB"/>
        </w:rPr>
        <w:t xml:space="preserve"> Ave., </w:t>
      </w:r>
      <w:proofErr w:type="spellStart"/>
      <w:r w:rsidRPr="004B535A">
        <w:rPr>
          <w:iCs/>
          <w:lang w:val="en-GB"/>
        </w:rPr>
        <w:t>Diliman</w:t>
      </w:r>
      <w:proofErr w:type="spellEnd"/>
      <w:r w:rsidRPr="004B535A">
        <w:rPr>
          <w:iCs/>
          <w:lang w:val="en-GB"/>
        </w:rPr>
        <w:t xml:space="preserve"> </w:t>
      </w:r>
    </w:p>
    <w:p w14:paraId="0EEFC7A9" w14:textId="77777777" w:rsidR="009D052D" w:rsidRPr="004B535A" w:rsidRDefault="009D052D" w:rsidP="009373BC">
      <w:pPr>
        <w:pStyle w:val="Normalpool"/>
        <w:tabs>
          <w:tab w:val="left" w:pos="624"/>
        </w:tabs>
        <w:ind w:left="1247"/>
        <w:rPr>
          <w:iCs/>
          <w:lang w:val="en-GB"/>
        </w:rPr>
      </w:pPr>
      <w:r w:rsidRPr="004B535A">
        <w:rPr>
          <w:iCs/>
          <w:lang w:val="en-GB"/>
        </w:rPr>
        <w:t>Quezon City - 1100</w:t>
      </w:r>
    </w:p>
    <w:p w14:paraId="1FCB546C" w14:textId="77777777" w:rsidR="009D052D" w:rsidRPr="004B535A" w:rsidRDefault="009D052D" w:rsidP="009373BC">
      <w:pPr>
        <w:pStyle w:val="Normalpool"/>
        <w:tabs>
          <w:tab w:val="left" w:pos="624"/>
        </w:tabs>
        <w:ind w:left="1247"/>
        <w:rPr>
          <w:iCs/>
          <w:lang w:val="en-GB"/>
        </w:rPr>
      </w:pPr>
      <w:r w:rsidRPr="004B535A">
        <w:rPr>
          <w:iCs/>
          <w:lang w:val="en-GB"/>
        </w:rPr>
        <w:t>Philippine</w:t>
      </w:r>
      <w:r w:rsidR="00F90225" w:rsidRPr="004B535A">
        <w:rPr>
          <w:iCs/>
          <w:lang w:val="en-GB"/>
        </w:rPr>
        <w:t>s</w:t>
      </w:r>
    </w:p>
    <w:p w14:paraId="56726549" w14:textId="77777777" w:rsidR="009D052D" w:rsidRPr="004B535A" w:rsidRDefault="009D052D" w:rsidP="009373BC">
      <w:pPr>
        <w:pStyle w:val="Normalpool"/>
        <w:tabs>
          <w:tab w:val="left" w:pos="624"/>
        </w:tabs>
        <w:ind w:left="1247"/>
        <w:rPr>
          <w:iCs/>
          <w:lang w:val="en-GB"/>
        </w:rPr>
      </w:pPr>
      <w:r w:rsidRPr="004B535A">
        <w:rPr>
          <w:iCs/>
          <w:lang w:val="en-GB"/>
        </w:rPr>
        <w:t>Tel:</w:t>
      </w:r>
      <w:r w:rsidR="00C635DA" w:rsidRPr="004B535A">
        <w:rPr>
          <w:iCs/>
          <w:lang w:val="en-GB"/>
        </w:rPr>
        <w:t xml:space="preserve"> </w:t>
      </w:r>
      <w:r w:rsidRPr="004B535A">
        <w:rPr>
          <w:iCs/>
          <w:lang w:val="en-GB"/>
        </w:rPr>
        <w:t>+63 2 928 4578 0089</w:t>
      </w:r>
    </w:p>
    <w:p w14:paraId="7DA4883E" w14:textId="77777777" w:rsidR="009D052D" w:rsidRPr="004B535A" w:rsidRDefault="009D052D" w:rsidP="009373BC">
      <w:pPr>
        <w:pStyle w:val="Normalpool"/>
        <w:tabs>
          <w:tab w:val="left" w:pos="624"/>
        </w:tabs>
        <w:ind w:left="1247"/>
        <w:rPr>
          <w:iCs/>
          <w:lang w:val="en-GB"/>
        </w:rPr>
      </w:pPr>
      <w:r w:rsidRPr="004B535A">
        <w:rPr>
          <w:iCs/>
          <w:lang w:val="en-GB"/>
        </w:rPr>
        <w:t>Email:</w:t>
      </w:r>
      <w:r w:rsidR="00C635DA" w:rsidRPr="004B535A">
        <w:rPr>
          <w:iCs/>
          <w:lang w:val="en-GB"/>
        </w:rPr>
        <w:t xml:space="preserve"> </w:t>
      </w:r>
      <w:r w:rsidRPr="004B535A">
        <w:rPr>
          <w:iCs/>
          <w:lang w:val="en-GB"/>
        </w:rPr>
        <w:t>www.emb.gov.ph</w:t>
      </w:r>
    </w:p>
    <w:p w14:paraId="2C0BB3DA" w14:textId="77777777" w:rsidR="009D052D" w:rsidRPr="004B535A" w:rsidRDefault="009D052D" w:rsidP="00C20833">
      <w:pPr>
        <w:pStyle w:val="Normalpool"/>
        <w:keepNext/>
        <w:keepLines/>
        <w:tabs>
          <w:tab w:val="left" w:pos="624"/>
        </w:tabs>
        <w:spacing w:before="120"/>
        <w:ind w:left="1247"/>
        <w:rPr>
          <w:iCs/>
          <w:lang w:val="en-GB"/>
        </w:rPr>
      </w:pPr>
      <w:r w:rsidRPr="004B535A">
        <w:rPr>
          <w:iCs/>
          <w:lang w:val="en-GB"/>
        </w:rPr>
        <w:t xml:space="preserve">Ms. Elvira </w:t>
      </w:r>
      <w:proofErr w:type="spellStart"/>
      <w:r w:rsidRPr="004B535A">
        <w:rPr>
          <w:iCs/>
          <w:lang w:val="en-GB"/>
        </w:rPr>
        <w:t>Salvni</w:t>
      </w:r>
      <w:proofErr w:type="spellEnd"/>
      <w:r w:rsidRPr="004B535A">
        <w:rPr>
          <w:iCs/>
          <w:lang w:val="en-GB"/>
        </w:rPr>
        <w:t xml:space="preserve"> Pausing</w:t>
      </w:r>
    </w:p>
    <w:p w14:paraId="57FF7973" w14:textId="77777777" w:rsidR="009D052D" w:rsidRPr="004B535A" w:rsidRDefault="009D052D" w:rsidP="00C20833">
      <w:pPr>
        <w:pStyle w:val="Normalpool"/>
        <w:keepNext/>
        <w:keepLines/>
        <w:tabs>
          <w:tab w:val="left" w:pos="624"/>
        </w:tabs>
        <w:ind w:left="1247"/>
        <w:rPr>
          <w:iCs/>
          <w:lang w:val="en-GB"/>
        </w:rPr>
      </w:pPr>
      <w:r w:rsidRPr="004B535A">
        <w:rPr>
          <w:iCs/>
          <w:lang w:val="en-GB"/>
        </w:rPr>
        <w:t>Supervising Environmental Management Specialist and</w:t>
      </w:r>
    </w:p>
    <w:p w14:paraId="7EE32703" w14:textId="77777777" w:rsidR="009D052D" w:rsidRPr="004B535A" w:rsidRDefault="009D052D" w:rsidP="00C20833">
      <w:pPr>
        <w:pStyle w:val="Normalpool"/>
        <w:keepNext/>
        <w:keepLines/>
        <w:tabs>
          <w:tab w:val="left" w:pos="624"/>
        </w:tabs>
        <w:ind w:left="1247"/>
        <w:rPr>
          <w:iCs/>
          <w:lang w:val="en-GB"/>
        </w:rPr>
      </w:pPr>
      <w:r w:rsidRPr="004B535A">
        <w:rPr>
          <w:iCs/>
          <w:lang w:val="en-GB"/>
        </w:rPr>
        <w:t>Project Manager</w:t>
      </w:r>
    </w:p>
    <w:p w14:paraId="6B5C900E" w14:textId="77777777" w:rsidR="009D052D" w:rsidRPr="004B535A" w:rsidRDefault="009D052D" w:rsidP="00C20833">
      <w:pPr>
        <w:pStyle w:val="Normalpool"/>
        <w:keepNext/>
        <w:keepLines/>
        <w:tabs>
          <w:tab w:val="left" w:pos="624"/>
        </w:tabs>
        <w:ind w:left="1247"/>
        <w:rPr>
          <w:iCs/>
          <w:lang w:val="en-GB"/>
        </w:rPr>
      </w:pPr>
      <w:r w:rsidRPr="004B535A">
        <w:rPr>
          <w:iCs/>
          <w:lang w:val="en-GB"/>
        </w:rPr>
        <w:t>Environmental Management Bureau</w:t>
      </w:r>
    </w:p>
    <w:p w14:paraId="590F4D90" w14:textId="77777777" w:rsidR="009D052D" w:rsidRPr="004B535A" w:rsidRDefault="009D052D" w:rsidP="00C20833">
      <w:pPr>
        <w:pStyle w:val="Normalpool"/>
        <w:keepNext/>
        <w:keepLines/>
        <w:tabs>
          <w:tab w:val="left" w:pos="624"/>
        </w:tabs>
        <w:ind w:left="1247"/>
        <w:rPr>
          <w:iCs/>
          <w:lang w:val="en-GB"/>
        </w:rPr>
      </w:pPr>
      <w:r w:rsidRPr="004B535A">
        <w:rPr>
          <w:iCs/>
          <w:lang w:val="en-GB"/>
        </w:rPr>
        <w:t>Department of Environment and Natural Resources</w:t>
      </w:r>
    </w:p>
    <w:p w14:paraId="3B1F7D7B" w14:textId="77777777" w:rsidR="009D052D" w:rsidRPr="004B535A" w:rsidRDefault="009D052D" w:rsidP="00C20833">
      <w:pPr>
        <w:pStyle w:val="Normalpool"/>
        <w:keepNext/>
        <w:keepLines/>
        <w:tabs>
          <w:tab w:val="left" w:pos="624"/>
        </w:tabs>
        <w:ind w:left="1247"/>
        <w:rPr>
          <w:iCs/>
          <w:lang w:val="en-GB"/>
        </w:rPr>
      </w:pPr>
      <w:proofErr w:type="spellStart"/>
      <w:r w:rsidRPr="004B535A">
        <w:rPr>
          <w:iCs/>
          <w:lang w:val="en-GB"/>
        </w:rPr>
        <w:t>Visayas</w:t>
      </w:r>
      <w:proofErr w:type="spellEnd"/>
      <w:r w:rsidRPr="004B535A">
        <w:rPr>
          <w:iCs/>
          <w:lang w:val="en-GB"/>
        </w:rPr>
        <w:t xml:space="preserve"> Avenue </w:t>
      </w:r>
      <w:proofErr w:type="spellStart"/>
      <w:r w:rsidRPr="004B535A">
        <w:rPr>
          <w:iCs/>
          <w:lang w:val="en-GB"/>
        </w:rPr>
        <w:t>Diliman</w:t>
      </w:r>
      <w:proofErr w:type="spellEnd"/>
    </w:p>
    <w:p w14:paraId="421DAE4D" w14:textId="77777777" w:rsidR="009D052D" w:rsidRPr="004B535A" w:rsidRDefault="009D052D" w:rsidP="00C20833">
      <w:pPr>
        <w:pStyle w:val="Normalpool"/>
        <w:keepNext/>
        <w:keepLines/>
        <w:tabs>
          <w:tab w:val="left" w:pos="624"/>
        </w:tabs>
        <w:ind w:left="1247"/>
        <w:rPr>
          <w:iCs/>
          <w:lang w:val="en-GB"/>
        </w:rPr>
      </w:pPr>
      <w:r w:rsidRPr="004B535A">
        <w:rPr>
          <w:iCs/>
          <w:lang w:val="en-GB"/>
        </w:rPr>
        <w:t>Quezon City - 1110</w:t>
      </w:r>
    </w:p>
    <w:p w14:paraId="07B498EB" w14:textId="77777777" w:rsidR="009D052D" w:rsidRPr="004B535A" w:rsidRDefault="009D052D" w:rsidP="00C20833">
      <w:pPr>
        <w:pStyle w:val="Normalpool"/>
        <w:keepNext/>
        <w:keepLines/>
        <w:tabs>
          <w:tab w:val="left" w:pos="624"/>
        </w:tabs>
        <w:ind w:left="1247"/>
        <w:rPr>
          <w:iCs/>
          <w:lang w:val="en-GB"/>
        </w:rPr>
      </w:pPr>
      <w:r w:rsidRPr="004B535A">
        <w:rPr>
          <w:iCs/>
          <w:lang w:val="en-GB"/>
        </w:rPr>
        <w:t>Philippines</w:t>
      </w:r>
    </w:p>
    <w:p w14:paraId="365B13CA" w14:textId="77777777" w:rsidR="009D052D" w:rsidRPr="004B535A" w:rsidRDefault="009D052D" w:rsidP="00C20833">
      <w:pPr>
        <w:pStyle w:val="Normalpool"/>
        <w:keepNext/>
        <w:keepLines/>
        <w:tabs>
          <w:tab w:val="left" w:pos="624"/>
        </w:tabs>
        <w:ind w:left="1247"/>
        <w:rPr>
          <w:iCs/>
          <w:lang w:val="en-GB"/>
        </w:rPr>
      </w:pPr>
      <w:r w:rsidRPr="004B535A">
        <w:rPr>
          <w:iCs/>
          <w:lang w:val="en-GB"/>
        </w:rPr>
        <w:t>Tel:</w:t>
      </w:r>
      <w:r w:rsidR="00C635DA" w:rsidRPr="004B535A">
        <w:rPr>
          <w:iCs/>
          <w:lang w:val="en-GB"/>
        </w:rPr>
        <w:t xml:space="preserve"> </w:t>
      </w:r>
      <w:r w:rsidRPr="004B535A">
        <w:rPr>
          <w:iCs/>
          <w:lang w:val="en-GB"/>
        </w:rPr>
        <w:t>+63 2 928 4578 / 89</w:t>
      </w:r>
    </w:p>
    <w:p w14:paraId="5F12EA7F" w14:textId="77777777" w:rsidR="009D052D" w:rsidRPr="004B535A" w:rsidRDefault="009D052D" w:rsidP="00C20833">
      <w:pPr>
        <w:pStyle w:val="Normalpool"/>
        <w:keepNext/>
        <w:keepLines/>
        <w:tabs>
          <w:tab w:val="left" w:pos="624"/>
        </w:tabs>
        <w:ind w:left="1247"/>
        <w:rPr>
          <w:iCs/>
          <w:lang w:val="en-GB"/>
        </w:rPr>
      </w:pPr>
      <w:r w:rsidRPr="004B535A">
        <w:rPr>
          <w:iCs/>
          <w:lang w:val="en-GB"/>
        </w:rPr>
        <w:t>Cell:</w:t>
      </w:r>
      <w:r w:rsidR="00C635DA" w:rsidRPr="004B535A">
        <w:rPr>
          <w:iCs/>
          <w:lang w:val="en-GB"/>
        </w:rPr>
        <w:t xml:space="preserve"> </w:t>
      </w:r>
      <w:r w:rsidRPr="004B535A">
        <w:rPr>
          <w:iCs/>
          <w:lang w:val="en-GB"/>
        </w:rPr>
        <w:t>+63 2 9284 578</w:t>
      </w:r>
    </w:p>
    <w:p w14:paraId="73BAFA3A" w14:textId="77777777" w:rsidR="009D052D" w:rsidRPr="004B535A" w:rsidRDefault="009D052D" w:rsidP="00C20833">
      <w:pPr>
        <w:pStyle w:val="Normalpool"/>
        <w:keepNext/>
        <w:keepLines/>
        <w:tabs>
          <w:tab w:val="left" w:pos="624"/>
        </w:tabs>
        <w:ind w:left="1247"/>
        <w:rPr>
          <w:iCs/>
          <w:lang w:val="en-GB"/>
        </w:rPr>
      </w:pPr>
      <w:r w:rsidRPr="004B535A">
        <w:rPr>
          <w:iCs/>
          <w:lang w:val="en-GB"/>
        </w:rPr>
        <w:t>Fax:</w:t>
      </w:r>
      <w:r w:rsidR="00C635DA" w:rsidRPr="004B535A">
        <w:rPr>
          <w:iCs/>
          <w:lang w:val="en-GB"/>
        </w:rPr>
        <w:t xml:space="preserve"> </w:t>
      </w:r>
      <w:r w:rsidRPr="004B535A">
        <w:rPr>
          <w:iCs/>
          <w:lang w:val="en-GB"/>
        </w:rPr>
        <w:t>+63 2 426 4338</w:t>
      </w:r>
    </w:p>
    <w:p w14:paraId="671E7915" w14:textId="77777777" w:rsidR="009D052D" w:rsidRPr="004B535A" w:rsidRDefault="009D052D" w:rsidP="00C20833">
      <w:pPr>
        <w:pStyle w:val="Normalpool"/>
        <w:keepNext/>
        <w:keepLines/>
        <w:tabs>
          <w:tab w:val="left" w:pos="624"/>
        </w:tabs>
        <w:ind w:left="1247"/>
        <w:rPr>
          <w:iCs/>
          <w:lang w:val="en-GB"/>
        </w:rPr>
      </w:pPr>
      <w:r w:rsidRPr="004B535A">
        <w:rPr>
          <w:iCs/>
          <w:lang w:val="en-GB"/>
        </w:rPr>
        <w:t>Email:</w:t>
      </w:r>
      <w:r w:rsidR="00C635DA" w:rsidRPr="004B535A">
        <w:rPr>
          <w:iCs/>
          <w:lang w:val="en-GB"/>
        </w:rPr>
        <w:t xml:space="preserve"> </w:t>
      </w:r>
      <w:r w:rsidRPr="004B535A">
        <w:rPr>
          <w:iCs/>
          <w:lang w:val="en-GB"/>
        </w:rPr>
        <w:t>pausingelvira@yahoo.com.ph</w:t>
      </w:r>
    </w:p>
    <w:p w14:paraId="1717F7C5" w14:textId="77777777" w:rsidR="009D052D" w:rsidRPr="004B535A" w:rsidRDefault="00C635DA" w:rsidP="009373BC">
      <w:pPr>
        <w:pStyle w:val="CH2"/>
        <w:spacing w:before="240"/>
      </w:pPr>
      <w:r w:rsidRPr="004B535A">
        <w:tab/>
      </w:r>
      <w:r w:rsidRPr="004B535A">
        <w:tab/>
      </w:r>
      <w:r w:rsidR="00533E0C" w:rsidRPr="004B535A">
        <w:t>Ozone Secretariat</w:t>
      </w:r>
    </w:p>
    <w:p w14:paraId="0D88EB94" w14:textId="77777777" w:rsidR="009D052D" w:rsidRPr="004B535A" w:rsidRDefault="009D052D" w:rsidP="009373BC">
      <w:pPr>
        <w:pStyle w:val="Normalpool"/>
        <w:tabs>
          <w:tab w:val="left" w:pos="624"/>
        </w:tabs>
        <w:ind w:left="1247"/>
        <w:rPr>
          <w:lang w:val="en-GB"/>
        </w:rPr>
      </w:pPr>
      <w:r w:rsidRPr="004B535A">
        <w:rPr>
          <w:lang w:val="en-GB"/>
        </w:rPr>
        <w:t xml:space="preserve">Ms. Tina </w:t>
      </w:r>
      <w:proofErr w:type="spellStart"/>
      <w:r w:rsidRPr="004B535A">
        <w:rPr>
          <w:lang w:val="en-GB"/>
        </w:rPr>
        <w:t>Birmpili</w:t>
      </w:r>
      <w:proofErr w:type="spellEnd"/>
    </w:p>
    <w:p w14:paraId="58C24A48" w14:textId="77777777" w:rsidR="009D052D" w:rsidRPr="004B535A" w:rsidRDefault="009D052D" w:rsidP="009373BC">
      <w:pPr>
        <w:pStyle w:val="Normalpool"/>
        <w:tabs>
          <w:tab w:val="left" w:pos="624"/>
        </w:tabs>
        <w:ind w:left="1247"/>
        <w:rPr>
          <w:lang w:val="en-GB"/>
        </w:rPr>
      </w:pPr>
      <w:r w:rsidRPr="004B535A">
        <w:rPr>
          <w:lang w:val="en-GB"/>
        </w:rPr>
        <w:t>Executive Secretary</w:t>
      </w:r>
    </w:p>
    <w:p w14:paraId="30A88ADE" w14:textId="77777777" w:rsidR="009D052D" w:rsidRPr="004B535A" w:rsidRDefault="009D052D" w:rsidP="009373BC">
      <w:pPr>
        <w:pStyle w:val="Normalpool"/>
        <w:tabs>
          <w:tab w:val="left" w:pos="624"/>
        </w:tabs>
        <w:ind w:left="1247"/>
        <w:rPr>
          <w:lang w:val="en-GB"/>
        </w:rPr>
      </w:pPr>
      <w:r w:rsidRPr="004B535A">
        <w:rPr>
          <w:lang w:val="en-GB"/>
        </w:rPr>
        <w:t>Ozone Secretariat</w:t>
      </w:r>
    </w:p>
    <w:p w14:paraId="4CE430E7" w14:textId="77777777" w:rsidR="003458D1" w:rsidRPr="004B535A" w:rsidRDefault="003458D1" w:rsidP="009373BC">
      <w:pPr>
        <w:pStyle w:val="Normalpool"/>
        <w:tabs>
          <w:tab w:val="left" w:pos="624"/>
        </w:tabs>
        <w:ind w:left="1247"/>
        <w:rPr>
          <w:lang w:val="en-GB"/>
        </w:rPr>
      </w:pPr>
      <w:r w:rsidRPr="004B535A">
        <w:rPr>
          <w:lang w:val="en-GB"/>
        </w:rPr>
        <w:t>United Nations Environment Programme</w:t>
      </w:r>
      <w:r w:rsidRPr="004B535A" w:rsidDel="003458D1">
        <w:rPr>
          <w:lang w:val="en-GB"/>
        </w:rPr>
        <w:t xml:space="preserve"> </w:t>
      </w:r>
    </w:p>
    <w:p w14:paraId="6934E7FB" w14:textId="77777777" w:rsidR="009D052D" w:rsidRPr="004B535A" w:rsidRDefault="009D052D" w:rsidP="009373BC">
      <w:pPr>
        <w:pStyle w:val="Normalpool"/>
        <w:tabs>
          <w:tab w:val="left" w:pos="624"/>
        </w:tabs>
        <w:ind w:left="1247"/>
        <w:rPr>
          <w:lang w:val="en-GB"/>
        </w:rPr>
      </w:pPr>
      <w:r w:rsidRPr="004B535A">
        <w:rPr>
          <w:lang w:val="en-GB"/>
        </w:rPr>
        <w:t>P.O. Box 30552- 00100</w:t>
      </w:r>
    </w:p>
    <w:p w14:paraId="2DB46EC3" w14:textId="77777777" w:rsidR="009D052D" w:rsidRPr="004B535A" w:rsidRDefault="009D052D" w:rsidP="009373BC">
      <w:pPr>
        <w:pStyle w:val="Normalpool"/>
        <w:tabs>
          <w:tab w:val="left" w:pos="624"/>
        </w:tabs>
        <w:ind w:left="1247"/>
        <w:rPr>
          <w:lang w:val="en-GB"/>
        </w:rPr>
      </w:pPr>
      <w:r w:rsidRPr="004B535A">
        <w:rPr>
          <w:lang w:val="en-GB"/>
        </w:rPr>
        <w:t>Nairobi, Kenya</w:t>
      </w:r>
    </w:p>
    <w:p w14:paraId="7E09FBDD"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+254 20 762 3855</w:t>
      </w:r>
    </w:p>
    <w:p w14:paraId="601042FF" w14:textId="77777777" w:rsidR="009D052D" w:rsidRPr="004B535A" w:rsidRDefault="009D052D" w:rsidP="009373BC">
      <w:pPr>
        <w:pStyle w:val="Normalpool"/>
        <w:tabs>
          <w:tab w:val="left" w:pos="624"/>
        </w:tabs>
        <w:ind w:left="1247"/>
        <w:rPr>
          <w:rFonts w:eastAsia="Calibri"/>
          <w:color w:val="000000"/>
          <w:lang w:val="en-GB"/>
        </w:rPr>
      </w:pPr>
      <w:r w:rsidRPr="004B535A">
        <w:rPr>
          <w:lang w:val="en-GB"/>
        </w:rPr>
        <w:t>Email:</w:t>
      </w:r>
      <w:r w:rsidR="00C635DA" w:rsidRPr="004B535A">
        <w:rPr>
          <w:lang w:val="en-GB"/>
        </w:rPr>
        <w:t xml:space="preserve"> </w:t>
      </w:r>
      <w:hyperlink r:id="rId19" w:history="1">
        <w:r w:rsidRPr="004B535A">
          <w:rPr>
            <w:rStyle w:val="Hyperlink"/>
            <w:rFonts w:eastAsia="Calibri"/>
            <w:color w:val="000000"/>
            <w:lang w:val="en-GB"/>
          </w:rPr>
          <w:t>Tina.Birmpili@unep.org</w:t>
        </w:r>
      </w:hyperlink>
      <w:r w:rsidRPr="004B535A">
        <w:rPr>
          <w:rFonts w:eastAsia="Calibri"/>
          <w:color w:val="000000"/>
          <w:lang w:val="en-GB"/>
        </w:rPr>
        <w:t xml:space="preserve"> </w:t>
      </w:r>
    </w:p>
    <w:p w14:paraId="6AE71843" w14:textId="77777777" w:rsidR="009D052D" w:rsidRPr="004B535A" w:rsidRDefault="009D052D" w:rsidP="009373BC">
      <w:pPr>
        <w:pStyle w:val="Normalpool"/>
        <w:tabs>
          <w:tab w:val="left" w:pos="624"/>
        </w:tabs>
        <w:spacing w:before="120"/>
        <w:ind w:left="1247"/>
        <w:rPr>
          <w:lang w:val="en-GB"/>
        </w:rPr>
      </w:pPr>
      <w:r w:rsidRPr="004B535A">
        <w:rPr>
          <w:lang w:val="en-GB"/>
        </w:rPr>
        <w:t xml:space="preserve">Mr. Gilbert </w:t>
      </w:r>
      <w:proofErr w:type="spellStart"/>
      <w:r w:rsidRPr="004B535A">
        <w:rPr>
          <w:lang w:val="en-GB"/>
        </w:rPr>
        <w:t>Bankobeza</w:t>
      </w:r>
      <w:proofErr w:type="spellEnd"/>
    </w:p>
    <w:p w14:paraId="3E9AA432" w14:textId="77777777" w:rsidR="009D052D" w:rsidRPr="004B535A" w:rsidRDefault="009D052D" w:rsidP="009373BC">
      <w:pPr>
        <w:pStyle w:val="Normalpool"/>
        <w:tabs>
          <w:tab w:val="left" w:pos="624"/>
        </w:tabs>
        <w:ind w:left="1247"/>
        <w:rPr>
          <w:lang w:val="en-GB"/>
        </w:rPr>
      </w:pPr>
      <w:r w:rsidRPr="004B535A">
        <w:rPr>
          <w:lang w:val="en-GB"/>
        </w:rPr>
        <w:t>Chief, Legal Affairs and Compliance</w:t>
      </w:r>
    </w:p>
    <w:p w14:paraId="4D99F4B2" w14:textId="77777777" w:rsidR="009D052D" w:rsidRPr="004B535A" w:rsidRDefault="009D052D" w:rsidP="009373BC">
      <w:pPr>
        <w:pStyle w:val="Normalpool"/>
        <w:tabs>
          <w:tab w:val="left" w:pos="624"/>
        </w:tabs>
        <w:ind w:left="1247"/>
        <w:rPr>
          <w:lang w:val="en-GB"/>
        </w:rPr>
      </w:pPr>
      <w:r w:rsidRPr="004B535A">
        <w:rPr>
          <w:lang w:val="en-GB"/>
        </w:rPr>
        <w:t>Ozone Secretariat</w:t>
      </w:r>
    </w:p>
    <w:p w14:paraId="264D2509" w14:textId="77777777" w:rsidR="003458D1" w:rsidRPr="004B535A" w:rsidRDefault="003458D1" w:rsidP="009373BC">
      <w:pPr>
        <w:pStyle w:val="Normalpool"/>
        <w:tabs>
          <w:tab w:val="left" w:pos="624"/>
        </w:tabs>
        <w:ind w:left="1247"/>
        <w:rPr>
          <w:lang w:val="en-GB"/>
        </w:rPr>
      </w:pPr>
      <w:r w:rsidRPr="004B535A">
        <w:rPr>
          <w:lang w:val="en-GB"/>
        </w:rPr>
        <w:t>United Nations Environment Programme</w:t>
      </w:r>
      <w:r w:rsidRPr="004B535A" w:rsidDel="003458D1">
        <w:rPr>
          <w:lang w:val="en-GB"/>
        </w:rPr>
        <w:t xml:space="preserve"> </w:t>
      </w:r>
    </w:p>
    <w:p w14:paraId="789291F9" w14:textId="77777777" w:rsidR="009D052D" w:rsidRPr="004B535A" w:rsidRDefault="009D052D" w:rsidP="009373BC">
      <w:pPr>
        <w:pStyle w:val="Normalpool"/>
        <w:tabs>
          <w:tab w:val="left" w:pos="624"/>
        </w:tabs>
        <w:ind w:left="1247"/>
        <w:rPr>
          <w:lang w:val="en-GB"/>
        </w:rPr>
      </w:pPr>
      <w:r w:rsidRPr="004B535A">
        <w:rPr>
          <w:lang w:val="en-GB"/>
        </w:rPr>
        <w:t>P.O. Box 30552- 00100</w:t>
      </w:r>
    </w:p>
    <w:p w14:paraId="29F6F724" w14:textId="77777777" w:rsidR="009D052D" w:rsidRPr="004B535A" w:rsidRDefault="009D052D" w:rsidP="009373BC">
      <w:pPr>
        <w:pStyle w:val="Normalpool"/>
        <w:tabs>
          <w:tab w:val="left" w:pos="624"/>
        </w:tabs>
        <w:ind w:left="1247"/>
        <w:rPr>
          <w:lang w:val="en-GB"/>
        </w:rPr>
      </w:pPr>
      <w:r w:rsidRPr="004B535A">
        <w:rPr>
          <w:lang w:val="en-GB"/>
        </w:rPr>
        <w:t>Nairobi, Kenya</w:t>
      </w:r>
    </w:p>
    <w:p w14:paraId="0273F952"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+254 20 762 3854</w:t>
      </w:r>
    </w:p>
    <w:p w14:paraId="36307F14"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hyperlink r:id="rId20" w:history="1">
        <w:r w:rsidRPr="004B535A">
          <w:rPr>
            <w:rStyle w:val="Hyperlink"/>
            <w:color w:val="000000"/>
            <w:lang w:val="en-GB"/>
          </w:rPr>
          <w:t>Gilbert.Bankobeza@unep.org</w:t>
        </w:r>
      </w:hyperlink>
      <w:r w:rsidRPr="004B535A">
        <w:rPr>
          <w:lang w:val="en-GB"/>
        </w:rPr>
        <w:t xml:space="preserve"> </w:t>
      </w:r>
    </w:p>
    <w:p w14:paraId="7D87F642" w14:textId="77777777" w:rsidR="009D052D" w:rsidRPr="004B535A" w:rsidRDefault="009D052D" w:rsidP="009373BC">
      <w:pPr>
        <w:pStyle w:val="Normalpool"/>
        <w:tabs>
          <w:tab w:val="left" w:pos="624"/>
        </w:tabs>
        <w:spacing w:before="120"/>
        <w:ind w:left="1247"/>
        <w:rPr>
          <w:lang w:val="en-GB"/>
        </w:rPr>
      </w:pPr>
      <w:r w:rsidRPr="004B535A">
        <w:rPr>
          <w:lang w:val="en-GB"/>
        </w:rPr>
        <w:t xml:space="preserve">Mr. Gerald </w:t>
      </w:r>
      <w:proofErr w:type="spellStart"/>
      <w:r w:rsidRPr="004B535A">
        <w:rPr>
          <w:lang w:val="en-GB"/>
        </w:rPr>
        <w:t>Mutisya</w:t>
      </w:r>
      <w:proofErr w:type="spellEnd"/>
    </w:p>
    <w:p w14:paraId="63FF4A92" w14:textId="77777777" w:rsidR="009D052D" w:rsidRPr="004B535A" w:rsidRDefault="009D052D" w:rsidP="009373BC">
      <w:pPr>
        <w:pStyle w:val="Normalpool"/>
        <w:tabs>
          <w:tab w:val="left" w:pos="624"/>
        </w:tabs>
        <w:ind w:left="1247"/>
        <w:rPr>
          <w:lang w:val="en-GB"/>
        </w:rPr>
      </w:pPr>
      <w:r w:rsidRPr="004B535A">
        <w:rPr>
          <w:lang w:val="en-GB"/>
        </w:rPr>
        <w:t>Programme Officer</w:t>
      </w:r>
    </w:p>
    <w:p w14:paraId="53DCA1F9" w14:textId="77777777" w:rsidR="009D052D" w:rsidRPr="004B535A" w:rsidRDefault="009D052D" w:rsidP="009373BC">
      <w:pPr>
        <w:pStyle w:val="Normalpool"/>
        <w:tabs>
          <w:tab w:val="left" w:pos="624"/>
        </w:tabs>
        <w:ind w:left="1247"/>
        <w:rPr>
          <w:lang w:val="en-GB"/>
        </w:rPr>
      </w:pPr>
      <w:r w:rsidRPr="004B535A">
        <w:rPr>
          <w:lang w:val="en-GB"/>
        </w:rPr>
        <w:t>Ozone Secretariat</w:t>
      </w:r>
    </w:p>
    <w:p w14:paraId="523EAC9D" w14:textId="77777777" w:rsidR="003458D1" w:rsidRPr="004B535A" w:rsidRDefault="003458D1" w:rsidP="009373BC">
      <w:pPr>
        <w:pStyle w:val="Normalpool"/>
        <w:tabs>
          <w:tab w:val="left" w:pos="624"/>
        </w:tabs>
        <w:ind w:left="1247"/>
        <w:rPr>
          <w:lang w:val="en-GB"/>
        </w:rPr>
      </w:pPr>
      <w:r w:rsidRPr="004B535A">
        <w:rPr>
          <w:lang w:val="en-GB"/>
        </w:rPr>
        <w:t>United Nations Environment Programme</w:t>
      </w:r>
      <w:r w:rsidRPr="004B535A" w:rsidDel="003458D1">
        <w:rPr>
          <w:lang w:val="en-GB"/>
        </w:rPr>
        <w:t xml:space="preserve"> </w:t>
      </w:r>
    </w:p>
    <w:p w14:paraId="4970F719" w14:textId="77777777" w:rsidR="009D052D" w:rsidRPr="004B535A" w:rsidRDefault="009D052D" w:rsidP="009373BC">
      <w:pPr>
        <w:pStyle w:val="Normalpool"/>
        <w:tabs>
          <w:tab w:val="left" w:pos="624"/>
        </w:tabs>
        <w:ind w:left="1247"/>
        <w:rPr>
          <w:lang w:val="en-GB"/>
        </w:rPr>
      </w:pPr>
      <w:r w:rsidRPr="004B535A">
        <w:rPr>
          <w:lang w:val="en-GB"/>
        </w:rPr>
        <w:t>P.O. Box 30552- 00100</w:t>
      </w:r>
    </w:p>
    <w:p w14:paraId="0DC461C9" w14:textId="77777777" w:rsidR="009D052D" w:rsidRPr="004B535A" w:rsidRDefault="009D052D" w:rsidP="009373BC">
      <w:pPr>
        <w:pStyle w:val="Normalpool"/>
        <w:tabs>
          <w:tab w:val="left" w:pos="624"/>
        </w:tabs>
        <w:ind w:left="1247"/>
        <w:rPr>
          <w:lang w:val="en-GB"/>
        </w:rPr>
      </w:pPr>
      <w:r w:rsidRPr="004B535A">
        <w:rPr>
          <w:lang w:val="en-GB"/>
        </w:rPr>
        <w:t>Nairobi, Kenya</w:t>
      </w:r>
    </w:p>
    <w:p w14:paraId="41E81E7B" w14:textId="77777777" w:rsidR="009D052D" w:rsidRPr="004B535A" w:rsidRDefault="009D052D" w:rsidP="009373BC">
      <w:pPr>
        <w:pStyle w:val="Normalpool"/>
        <w:tabs>
          <w:tab w:val="left" w:pos="624"/>
        </w:tabs>
        <w:ind w:left="1247"/>
        <w:rPr>
          <w:lang w:val="en-GB"/>
        </w:rPr>
      </w:pPr>
      <w:r w:rsidRPr="004B535A">
        <w:rPr>
          <w:lang w:val="en-GB"/>
        </w:rPr>
        <w:t>Tel:</w:t>
      </w:r>
      <w:r w:rsidR="00C635DA" w:rsidRPr="004B535A">
        <w:rPr>
          <w:lang w:val="en-GB"/>
        </w:rPr>
        <w:t xml:space="preserve"> </w:t>
      </w:r>
      <w:r w:rsidRPr="004B535A">
        <w:rPr>
          <w:lang w:val="en-GB"/>
        </w:rPr>
        <w:t>+254 20 762 4057</w:t>
      </w:r>
    </w:p>
    <w:p w14:paraId="00E632F3" w14:textId="77777777" w:rsidR="009D052D" w:rsidRPr="004B535A" w:rsidRDefault="009D052D" w:rsidP="009373BC">
      <w:pPr>
        <w:pStyle w:val="Normalpool"/>
        <w:tabs>
          <w:tab w:val="left" w:pos="624"/>
        </w:tabs>
        <w:ind w:left="1247"/>
        <w:rPr>
          <w:lang w:val="en-GB"/>
        </w:rPr>
      </w:pPr>
      <w:r w:rsidRPr="004B535A">
        <w:rPr>
          <w:lang w:val="en-GB"/>
        </w:rPr>
        <w:t>Email:</w:t>
      </w:r>
      <w:r w:rsidR="00C635DA" w:rsidRPr="004B535A">
        <w:rPr>
          <w:lang w:val="en-GB"/>
        </w:rPr>
        <w:t xml:space="preserve"> </w:t>
      </w:r>
      <w:hyperlink r:id="rId21" w:history="1">
        <w:r w:rsidRPr="004B535A">
          <w:rPr>
            <w:rStyle w:val="Hyperlink"/>
            <w:color w:val="000000"/>
            <w:lang w:val="en-GB"/>
          </w:rPr>
          <w:t>Gerald.Mutisya@unep.org</w:t>
        </w:r>
      </w:hyperlink>
      <w:r w:rsidRPr="004B535A">
        <w:rPr>
          <w:lang w:val="en-GB"/>
        </w:rPr>
        <w:t xml:space="preserve"> </w:t>
      </w:r>
    </w:p>
    <w:p w14:paraId="1A3D34B9" w14:textId="77777777" w:rsidR="009D052D" w:rsidRPr="004B535A" w:rsidRDefault="009D052D" w:rsidP="009373BC">
      <w:pPr>
        <w:pStyle w:val="Normalpool"/>
        <w:tabs>
          <w:tab w:val="left" w:pos="624"/>
        </w:tabs>
        <w:spacing w:before="120"/>
        <w:ind w:left="1247"/>
        <w:rPr>
          <w:color w:val="000000"/>
          <w:lang w:val="en-GB"/>
        </w:rPr>
      </w:pPr>
      <w:r w:rsidRPr="004B535A">
        <w:rPr>
          <w:color w:val="000000"/>
          <w:lang w:val="en-GB"/>
        </w:rPr>
        <w:t xml:space="preserve">Ms. Katherine </w:t>
      </w:r>
      <w:proofErr w:type="spellStart"/>
      <w:r w:rsidRPr="004B535A">
        <w:rPr>
          <w:color w:val="000000"/>
          <w:lang w:val="en-GB"/>
        </w:rPr>
        <w:t>Theotocatos</w:t>
      </w:r>
      <w:proofErr w:type="spellEnd"/>
    </w:p>
    <w:p w14:paraId="391C69A3" w14:textId="77777777" w:rsidR="009D052D" w:rsidRPr="004B535A" w:rsidRDefault="009D052D" w:rsidP="009373BC">
      <w:pPr>
        <w:pStyle w:val="Normalpool"/>
        <w:tabs>
          <w:tab w:val="left" w:pos="624"/>
        </w:tabs>
        <w:ind w:left="1247"/>
        <w:rPr>
          <w:color w:val="000000"/>
          <w:lang w:val="en-GB"/>
        </w:rPr>
      </w:pPr>
      <w:r w:rsidRPr="004B535A">
        <w:rPr>
          <w:color w:val="000000"/>
          <w:lang w:val="en-GB"/>
        </w:rPr>
        <w:t>Programme Officer (Compliance)</w:t>
      </w:r>
    </w:p>
    <w:p w14:paraId="120D5BAF" w14:textId="77777777" w:rsidR="009D052D" w:rsidRPr="004B535A" w:rsidRDefault="009D052D" w:rsidP="009373BC">
      <w:pPr>
        <w:pStyle w:val="Normalpool"/>
        <w:tabs>
          <w:tab w:val="left" w:pos="624"/>
        </w:tabs>
        <w:ind w:left="1247"/>
        <w:rPr>
          <w:color w:val="000000"/>
          <w:lang w:val="en-GB"/>
        </w:rPr>
      </w:pPr>
      <w:r w:rsidRPr="004B535A">
        <w:rPr>
          <w:color w:val="000000"/>
          <w:lang w:val="en-GB"/>
        </w:rPr>
        <w:t>Ozone Secretariat</w:t>
      </w:r>
    </w:p>
    <w:p w14:paraId="2583130E" w14:textId="77777777" w:rsidR="003458D1" w:rsidRPr="004B535A" w:rsidRDefault="003458D1" w:rsidP="009373BC">
      <w:pPr>
        <w:pStyle w:val="Normalpool"/>
        <w:tabs>
          <w:tab w:val="left" w:pos="624"/>
        </w:tabs>
        <w:ind w:left="1247"/>
        <w:rPr>
          <w:bCs/>
          <w:color w:val="000000"/>
          <w:lang w:val="en-GB"/>
        </w:rPr>
      </w:pPr>
      <w:r w:rsidRPr="004B535A">
        <w:rPr>
          <w:lang w:val="en-GB"/>
        </w:rPr>
        <w:t>United Nations Environment Programme</w:t>
      </w:r>
      <w:r w:rsidRPr="004B535A" w:rsidDel="003458D1">
        <w:rPr>
          <w:bCs/>
          <w:color w:val="000000"/>
          <w:lang w:val="en-GB"/>
        </w:rPr>
        <w:t xml:space="preserve"> </w:t>
      </w:r>
    </w:p>
    <w:p w14:paraId="307EC8B1" w14:textId="77777777" w:rsidR="009D052D" w:rsidRPr="004B535A" w:rsidRDefault="009D052D" w:rsidP="009373BC">
      <w:pPr>
        <w:pStyle w:val="Normalpool"/>
        <w:tabs>
          <w:tab w:val="left" w:pos="624"/>
        </w:tabs>
        <w:ind w:left="1247"/>
        <w:rPr>
          <w:color w:val="000000"/>
          <w:lang w:val="en-GB"/>
        </w:rPr>
      </w:pPr>
      <w:r w:rsidRPr="004B535A">
        <w:rPr>
          <w:color w:val="000000"/>
          <w:lang w:val="en-GB"/>
        </w:rPr>
        <w:t xml:space="preserve">P.O. Box 30552 00100 </w:t>
      </w:r>
    </w:p>
    <w:p w14:paraId="0AE60885" w14:textId="77777777" w:rsidR="009D052D" w:rsidRPr="004B535A" w:rsidRDefault="009D052D" w:rsidP="009373BC">
      <w:pPr>
        <w:pStyle w:val="Normalpool"/>
        <w:tabs>
          <w:tab w:val="left" w:pos="624"/>
        </w:tabs>
        <w:ind w:left="1247"/>
        <w:rPr>
          <w:color w:val="000000"/>
          <w:lang w:val="en-GB"/>
        </w:rPr>
      </w:pPr>
      <w:r w:rsidRPr="004B535A">
        <w:rPr>
          <w:color w:val="000000"/>
          <w:lang w:val="en-GB"/>
        </w:rPr>
        <w:t xml:space="preserve">Nairobi, Kenya </w:t>
      </w:r>
    </w:p>
    <w:p w14:paraId="35E17E1B" w14:textId="77777777" w:rsidR="009D052D" w:rsidRPr="004B535A" w:rsidRDefault="009D052D" w:rsidP="009373BC">
      <w:pPr>
        <w:pStyle w:val="Normalpool"/>
        <w:tabs>
          <w:tab w:val="left" w:pos="624"/>
        </w:tabs>
        <w:ind w:left="1247"/>
        <w:rPr>
          <w:color w:val="000000"/>
          <w:lang w:val="en-GB"/>
        </w:rPr>
      </w:pPr>
      <w:r w:rsidRPr="004B535A">
        <w:rPr>
          <w:color w:val="000000"/>
          <w:lang w:val="en-GB"/>
        </w:rPr>
        <w:t>Tel:</w:t>
      </w:r>
      <w:r w:rsidR="00C635DA" w:rsidRPr="004B535A">
        <w:rPr>
          <w:color w:val="000000"/>
          <w:lang w:val="en-GB"/>
        </w:rPr>
        <w:t xml:space="preserve"> </w:t>
      </w:r>
      <w:r w:rsidRPr="004B535A">
        <w:rPr>
          <w:color w:val="000000"/>
          <w:lang w:val="en-GB"/>
        </w:rPr>
        <w:t>+254 20 762 5067</w:t>
      </w:r>
    </w:p>
    <w:p w14:paraId="26AF9698" w14:textId="77777777" w:rsidR="009D052D" w:rsidRPr="004B535A" w:rsidRDefault="009D052D" w:rsidP="009373BC">
      <w:pPr>
        <w:pStyle w:val="Normalpool"/>
        <w:tabs>
          <w:tab w:val="left" w:pos="624"/>
        </w:tabs>
        <w:ind w:left="1247"/>
        <w:rPr>
          <w:sz w:val="22"/>
          <w:szCs w:val="22"/>
          <w:lang w:val="en-GB"/>
        </w:rPr>
      </w:pPr>
      <w:r w:rsidRPr="004B535A">
        <w:rPr>
          <w:color w:val="000000"/>
          <w:lang w:val="en-GB"/>
        </w:rPr>
        <w:t>Email:</w:t>
      </w:r>
      <w:r w:rsidR="00C635DA" w:rsidRPr="004B535A">
        <w:rPr>
          <w:color w:val="000000"/>
          <w:lang w:val="en-GB"/>
        </w:rPr>
        <w:t xml:space="preserve"> </w:t>
      </w:r>
      <w:r w:rsidRPr="004B535A">
        <w:rPr>
          <w:color w:val="000000"/>
          <w:lang w:val="en-GB"/>
        </w:rPr>
        <w:t>katherine.theotocatos@un</w:t>
      </w:r>
      <w:r w:rsidRPr="004B535A">
        <w:rPr>
          <w:color w:val="000000"/>
          <w:sz w:val="22"/>
          <w:szCs w:val="22"/>
          <w:lang w:val="en-GB"/>
        </w:rPr>
        <w:t>ep.org</w:t>
      </w:r>
    </w:p>
    <w:p w14:paraId="39311551" w14:textId="77777777" w:rsidR="009D052D" w:rsidRPr="004B535A" w:rsidRDefault="009D052D" w:rsidP="009373BC">
      <w:pPr>
        <w:pStyle w:val="Normalpool"/>
        <w:rPr>
          <w:lang w:val="en-GB"/>
        </w:rPr>
      </w:pPr>
    </w:p>
    <w:p w14:paraId="2B0BA4EF" w14:textId="77777777" w:rsidR="00C93E1C" w:rsidRPr="004B535A" w:rsidRDefault="00C93E1C" w:rsidP="00C635DA">
      <w:pPr>
        <w:pStyle w:val="Normalpool"/>
        <w:rPr>
          <w:lang w:val="en-GB"/>
        </w:rPr>
        <w:sectPr w:rsidR="00C93E1C" w:rsidRPr="004B535A" w:rsidSect="009D052D">
          <w:type w:val="continuous"/>
          <w:pgSz w:w="11906" w:h="16838" w:code="9"/>
          <w:pgMar w:top="907" w:right="992" w:bottom="1418" w:left="1418" w:header="539" w:footer="975" w:gutter="0"/>
          <w:cols w:num="2" w:space="539"/>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1899"/>
        <w:gridCol w:w="1899"/>
        <w:gridCol w:w="1900"/>
        <w:gridCol w:w="1900"/>
      </w:tblGrid>
      <w:tr w:rsidR="00C93E1C" w:rsidRPr="004B535A" w14:paraId="78F694ED" w14:textId="77777777" w:rsidTr="009373BC">
        <w:tc>
          <w:tcPr>
            <w:tcW w:w="1942" w:type="dxa"/>
          </w:tcPr>
          <w:p w14:paraId="78C33CDD" w14:textId="77777777" w:rsidR="00C93E1C" w:rsidRPr="004B535A" w:rsidRDefault="00C93E1C" w:rsidP="009373BC">
            <w:pPr>
              <w:pStyle w:val="Normalpool"/>
              <w:spacing w:before="520"/>
              <w:rPr>
                <w:lang w:val="en-GB"/>
              </w:rPr>
            </w:pPr>
          </w:p>
        </w:tc>
        <w:tc>
          <w:tcPr>
            <w:tcW w:w="1942" w:type="dxa"/>
          </w:tcPr>
          <w:p w14:paraId="7502D488" w14:textId="77777777" w:rsidR="00C93E1C" w:rsidRPr="004B535A" w:rsidRDefault="00C93E1C" w:rsidP="009373BC">
            <w:pPr>
              <w:pStyle w:val="Normalpool"/>
              <w:spacing w:before="520"/>
              <w:rPr>
                <w:lang w:val="en-GB"/>
              </w:rPr>
            </w:pPr>
          </w:p>
        </w:tc>
        <w:tc>
          <w:tcPr>
            <w:tcW w:w="1942" w:type="dxa"/>
            <w:tcBorders>
              <w:bottom w:val="single" w:sz="4" w:space="0" w:color="auto"/>
            </w:tcBorders>
          </w:tcPr>
          <w:p w14:paraId="08A05521" w14:textId="77777777" w:rsidR="00C93E1C" w:rsidRPr="004B535A" w:rsidRDefault="00C93E1C" w:rsidP="009373BC">
            <w:pPr>
              <w:pStyle w:val="Normalpool"/>
              <w:spacing w:before="520"/>
              <w:rPr>
                <w:lang w:val="en-GB"/>
              </w:rPr>
            </w:pPr>
          </w:p>
        </w:tc>
        <w:tc>
          <w:tcPr>
            <w:tcW w:w="1943" w:type="dxa"/>
          </w:tcPr>
          <w:p w14:paraId="09EE7FE0" w14:textId="77777777" w:rsidR="00C93E1C" w:rsidRPr="004B535A" w:rsidRDefault="00C93E1C" w:rsidP="009373BC">
            <w:pPr>
              <w:pStyle w:val="Normalpool"/>
              <w:spacing w:before="520"/>
              <w:rPr>
                <w:lang w:val="en-GB"/>
              </w:rPr>
            </w:pPr>
          </w:p>
        </w:tc>
        <w:tc>
          <w:tcPr>
            <w:tcW w:w="1943" w:type="dxa"/>
          </w:tcPr>
          <w:p w14:paraId="1DAC6049" w14:textId="77777777" w:rsidR="00C93E1C" w:rsidRPr="004B535A" w:rsidRDefault="00C93E1C" w:rsidP="009373BC">
            <w:pPr>
              <w:pStyle w:val="Normalpool"/>
              <w:spacing w:before="520"/>
              <w:rPr>
                <w:lang w:val="en-GB"/>
              </w:rPr>
            </w:pPr>
          </w:p>
        </w:tc>
      </w:tr>
    </w:tbl>
    <w:p w14:paraId="26BC4215" w14:textId="77777777" w:rsidR="00C635DA" w:rsidRPr="004B535A" w:rsidRDefault="00C635DA" w:rsidP="009373BC">
      <w:pPr>
        <w:pStyle w:val="Normalpool"/>
        <w:rPr>
          <w:lang w:val="en-GB"/>
        </w:rPr>
      </w:pPr>
    </w:p>
    <w:sectPr w:rsidR="00C635DA" w:rsidRPr="004B535A" w:rsidSect="00F05B63">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9D77D" w14:textId="77777777" w:rsidR="00755953" w:rsidRDefault="00755953">
      <w:r>
        <w:separator/>
      </w:r>
    </w:p>
  </w:endnote>
  <w:endnote w:type="continuationSeparator" w:id="0">
    <w:p w14:paraId="03D92C62" w14:textId="77777777" w:rsidR="00755953" w:rsidRDefault="0075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C812" w14:textId="7F699C72" w:rsidR="00755953" w:rsidRDefault="00755953">
    <w:pPr>
      <w:pStyle w:val="Footer"/>
    </w:pPr>
    <w:r>
      <w:rPr>
        <w:rStyle w:val="PageNumber"/>
      </w:rPr>
      <w:fldChar w:fldCharType="begin"/>
    </w:r>
    <w:r>
      <w:rPr>
        <w:rStyle w:val="PageNumber"/>
      </w:rPr>
      <w:instrText xml:space="preserve"> PAGE </w:instrText>
    </w:r>
    <w:r>
      <w:rPr>
        <w:rStyle w:val="PageNumber"/>
      </w:rPr>
      <w:fldChar w:fldCharType="separate"/>
    </w:r>
    <w:r w:rsidR="00B40701">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2E3E" w14:textId="34935378" w:rsidR="00755953" w:rsidRDefault="00755953" w:rsidP="008F0C44">
    <w:pPr>
      <w:pStyle w:val="Footer"/>
      <w:jc w:val="right"/>
    </w:pPr>
    <w:r>
      <w:rPr>
        <w:rStyle w:val="PageNumber"/>
      </w:rPr>
      <w:fldChar w:fldCharType="begin"/>
    </w:r>
    <w:r>
      <w:rPr>
        <w:rStyle w:val="PageNumber"/>
      </w:rPr>
      <w:instrText xml:space="preserve"> PAGE </w:instrText>
    </w:r>
    <w:r>
      <w:rPr>
        <w:rStyle w:val="PageNumber"/>
      </w:rPr>
      <w:fldChar w:fldCharType="separate"/>
    </w:r>
    <w:r w:rsidR="00B40701">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70F1" w14:textId="16C0B0BE" w:rsidR="00755953" w:rsidRPr="00351F11" w:rsidRDefault="009E518E">
    <w:pPr>
      <w:pStyle w:val="Footer"/>
      <w:rPr>
        <w:sz w:val="20"/>
      </w:rPr>
    </w:pPr>
    <w:r w:rsidRPr="00351F11">
      <w:rPr>
        <w:sz w:val="20"/>
      </w:rPr>
      <w:t>K1708752</w:t>
    </w:r>
    <w:r w:rsidRPr="00351F11">
      <w:rPr>
        <w:sz w:val="20"/>
      </w:rPr>
      <w:tab/>
      <w:t>10</w:t>
    </w:r>
    <w:r w:rsidR="00755953" w:rsidRPr="00351F11">
      <w:rPr>
        <w:sz w:val="20"/>
      </w:rPr>
      <w:t>0118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5CB80" w14:textId="77777777" w:rsidR="00755953" w:rsidRPr="00D21223" w:rsidRDefault="00755953" w:rsidP="00D21223">
      <w:pPr>
        <w:tabs>
          <w:tab w:val="clear" w:pos="1247"/>
          <w:tab w:val="clear" w:pos="1814"/>
          <w:tab w:val="clear" w:pos="2381"/>
          <w:tab w:val="clear" w:pos="2948"/>
          <w:tab w:val="clear" w:pos="3515"/>
          <w:tab w:val="left" w:pos="624"/>
        </w:tabs>
        <w:spacing w:before="60"/>
        <w:ind w:left="624"/>
        <w:rPr>
          <w:sz w:val="18"/>
          <w:szCs w:val="18"/>
        </w:rPr>
      </w:pPr>
      <w:r w:rsidRPr="00D21223">
        <w:rPr>
          <w:sz w:val="18"/>
          <w:szCs w:val="18"/>
        </w:rPr>
        <w:separator/>
      </w:r>
    </w:p>
  </w:footnote>
  <w:footnote w:type="continuationSeparator" w:id="0">
    <w:p w14:paraId="78604FA9" w14:textId="77777777" w:rsidR="00755953" w:rsidRDefault="00755953">
      <w:r>
        <w:continuationSeparator/>
      </w:r>
    </w:p>
  </w:footnote>
  <w:footnote w:id="1">
    <w:p w14:paraId="3854CD88" w14:textId="4CE45E2E" w:rsidR="00755953" w:rsidRPr="00853695" w:rsidRDefault="00755953">
      <w:pPr>
        <w:pStyle w:val="FootnoteText"/>
        <w:rPr>
          <w:lang w:val="en-US"/>
        </w:rPr>
      </w:pPr>
      <w:r>
        <w:rPr>
          <w:rStyle w:val="FootnoteReference"/>
        </w:rPr>
        <w:footnoteRef/>
      </w:r>
      <w:r>
        <w:t xml:space="preserve"> </w:t>
      </w:r>
      <w:proofErr w:type="gramStart"/>
      <w:r w:rsidRPr="00A51732">
        <w:t>tonne</w:t>
      </w:r>
      <w:proofErr w:type="gramEnd"/>
      <w:r w:rsidRPr="00A51732">
        <w:t xml:space="preserve"> = </w:t>
      </w:r>
      <w:proofErr w:type="spellStart"/>
      <w:r w:rsidRPr="00A51732">
        <w:t>metric</w:t>
      </w:r>
      <w:proofErr w:type="spellEnd"/>
      <w:r w:rsidRPr="00A51732">
        <w:t xml:space="preserve"> ton</w:t>
      </w:r>
      <w:r>
        <w:t>.</w:t>
      </w:r>
    </w:p>
  </w:footnote>
  <w:footnote w:id="2">
    <w:p w14:paraId="57EDAEB2" w14:textId="77777777" w:rsidR="00755953" w:rsidRPr="00D21223" w:rsidRDefault="00755953" w:rsidP="00D21223">
      <w:pPr>
        <w:pStyle w:val="FootnoteText"/>
        <w:tabs>
          <w:tab w:val="clear" w:pos="1247"/>
          <w:tab w:val="clear" w:pos="1814"/>
          <w:tab w:val="clear" w:pos="2381"/>
          <w:tab w:val="clear" w:pos="2948"/>
          <w:tab w:val="clear" w:pos="3515"/>
          <w:tab w:val="clear" w:pos="4082"/>
          <w:tab w:val="left" w:pos="624"/>
        </w:tabs>
        <w:rPr>
          <w:szCs w:val="18"/>
          <w:lang w:val="en-CA"/>
        </w:rPr>
      </w:pPr>
      <w:r w:rsidRPr="00D21223">
        <w:rPr>
          <w:rStyle w:val="FootnoteReference"/>
          <w:sz w:val="18"/>
        </w:rPr>
        <w:footnoteRef/>
      </w:r>
      <w:r w:rsidRPr="00D21223">
        <w:rPr>
          <w:szCs w:val="18"/>
        </w:rPr>
        <w:t xml:space="preserve"> UNEP/OzL.Pro.4/15.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1085" w14:textId="739ECC87" w:rsidR="00755953" w:rsidRPr="00BF40FF" w:rsidRDefault="00755953" w:rsidP="008F0C44">
    <w:pPr>
      <w:pStyle w:val="Header"/>
      <w:tabs>
        <w:tab w:val="clear" w:pos="1247"/>
        <w:tab w:val="clear" w:pos="4536"/>
        <w:tab w:val="clear" w:pos="9072"/>
        <w:tab w:val="left" w:pos="624"/>
      </w:tabs>
    </w:pPr>
    <w:r w:rsidRPr="001B26F3">
      <w:t>U</w:t>
    </w:r>
    <w:r>
      <w:t>NEP/</w:t>
    </w:r>
    <w:proofErr w:type="spellStart"/>
    <w:r>
      <w:t>OzL.Pro</w:t>
    </w:r>
    <w:proofErr w:type="spellEnd"/>
    <w:r>
      <w:t>/</w:t>
    </w:r>
    <w:proofErr w:type="spellStart"/>
    <w:r>
      <w:t>ImpCom</w:t>
    </w:r>
    <w:proofErr w:type="spellEnd"/>
    <w:r>
      <w:t>/59/4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7A2F" w14:textId="2E194ACF" w:rsidR="00755953" w:rsidRPr="008334E6" w:rsidRDefault="00755953" w:rsidP="008F0C44">
    <w:pPr>
      <w:pStyle w:val="Header"/>
      <w:jc w:val="right"/>
      <w:rPr>
        <w:lang w:val="es-ES"/>
      </w:rPr>
    </w:pPr>
    <w:r w:rsidRPr="008334E6">
      <w:rPr>
        <w:lang w:val="es-ES"/>
      </w:rPr>
      <w:t>UNEP/</w:t>
    </w:r>
    <w:proofErr w:type="spellStart"/>
    <w:r w:rsidRPr="008334E6">
      <w:rPr>
        <w:lang w:val="es-ES"/>
      </w:rPr>
      <w:t>OzL.Pro</w:t>
    </w:r>
    <w:proofErr w:type="spellEnd"/>
    <w:r w:rsidRPr="008334E6">
      <w:rPr>
        <w:lang w:val="es-ES"/>
      </w:rPr>
      <w:t>/</w:t>
    </w:r>
    <w:proofErr w:type="spellStart"/>
    <w:r w:rsidRPr="008334E6">
      <w:rPr>
        <w:lang w:val="es-ES"/>
      </w:rPr>
      <w:t>ImpCom</w:t>
    </w:r>
    <w:proofErr w:type="spellEnd"/>
    <w:r w:rsidRPr="008334E6">
      <w:rPr>
        <w:lang w:val="es-ES"/>
      </w:rPr>
      <w:t>/5</w:t>
    </w:r>
    <w:r w:rsidRPr="00497C06">
      <w:rPr>
        <w:lang w:val="es-ES"/>
      </w:rPr>
      <w:t>9</w:t>
    </w:r>
    <w:r w:rsidRPr="009373BC">
      <w:rPr>
        <w:lang w:val="es-ES"/>
      </w:rPr>
      <w:t>/</w:t>
    </w:r>
    <w:r>
      <w:rPr>
        <w:lang w:val="es-E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5F5B" w14:textId="1E6A6B30" w:rsidR="00755953" w:rsidRDefault="00755953" w:rsidP="008F0C4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1"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2" w15:restartNumberingAfterBreak="0">
    <w:nsid w:val="39133D7D"/>
    <w:multiLevelType w:val="multilevel"/>
    <w:tmpl w:val="510242FA"/>
    <w:lvl w:ilvl="0">
      <w:start w:val="1"/>
      <w:numFmt w:val="lowerLetter"/>
      <w:lvlText w:val="(%1)"/>
      <w:lvlJc w:val="left"/>
      <w:pPr>
        <w:tabs>
          <w:tab w:val="num" w:pos="1876"/>
        </w:tabs>
        <w:ind w:left="1989" w:firstLine="0"/>
      </w:pPr>
      <w:rPr>
        <w:rFonts w:hint="default"/>
      </w:rPr>
    </w:lvl>
    <w:lvl w:ilvl="1">
      <w:start w:val="1"/>
      <w:numFmt w:val="lowerLetter"/>
      <w:lvlText w:val="(%2)"/>
      <w:lvlJc w:val="left"/>
      <w:pPr>
        <w:tabs>
          <w:tab w:val="num" w:pos="1939"/>
        </w:tabs>
        <w:ind w:left="2052" w:firstLine="567"/>
      </w:pPr>
      <w:rPr>
        <w:rFonts w:hint="default"/>
      </w:rPr>
    </w:lvl>
    <w:lvl w:ilvl="2">
      <w:start w:val="1"/>
      <w:numFmt w:val="lowerRoman"/>
      <w:lvlText w:val="(%3)"/>
      <w:lvlJc w:val="left"/>
      <w:pPr>
        <w:tabs>
          <w:tab w:val="num" w:pos="1768"/>
        </w:tabs>
        <w:ind w:left="3582" w:hanging="567"/>
      </w:pPr>
      <w:rPr>
        <w:rFonts w:hint="default"/>
      </w:rPr>
    </w:lvl>
    <w:lvl w:ilvl="3">
      <w:start w:val="1"/>
      <w:numFmt w:val="lowerLetter"/>
      <w:lvlText w:val="%4."/>
      <w:lvlJc w:val="left"/>
      <w:pPr>
        <w:tabs>
          <w:tab w:val="num" w:pos="1250"/>
        </w:tabs>
        <w:ind w:left="3631" w:hanging="567"/>
      </w:pPr>
      <w:rPr>
        <w:rFonts w:hint="default"/>
      </w:rPr>
    </w:lvl>
    <w:lvl w:ilvl="4">
      <w:start w:val="1"/>
      <w:numFmt w:val="lowerRoman"/>
      <w:lvlText w:val="%5."/>
      <w:lvlJc w:val="left"/>
      <w:pPr>
        <w:tabs>
          <w:tab w:val="num" w:pos="1768"/>
        </w:tabs>
        <w:ind w:left="4716" w:hanging="567"/>
      </w:pPr>
      <w:rPr>
        <w:rFonts w:hint="default"/>
      </w:rPr>
    </w:lvl>
    <w:lvl w:ilvl="5">
      <w:start w:val="1"/>
      <w:numFmt w:val="lowerRoman"/>
      <w:lvlText w:val="%6."/>
      <w:lvlJc w:val="right"/>
      <w:pPr>
        <w:tabs>
          <w:tab w:val="num" w:pos="8469"/>
        </w:tabs>
        <w:ind w:left="8469" w:hanging="180"/>
      </w:pPr>
      <w:rPr>
        <w:rFonts w:hint="default"/>
      </w:rPr>
    </w:lvl>
    <w:lvl w:ilvl="6">
      <w:start w:val="1"/>
      <w:numFmt w:val="decimal"/>
      <w:lvlText w:val="%7."/>
      <w:lvlJc w:val="left"/>
      <w:pPr>
        <w:tabs>
          <w:tab w:val="num" w:pos="9189"/>
        </w:tabs>
        <w:ind w:left="9189" w:hanging="360"/>
      </w:pPr>
      <w:rPr>
        <w:rFonts w:hint="default"/>
      </w:rPr>
    </w:lvl>
    <w:lvl w:ilvl="7">
      <w:start w:val="1"/>
      <w:numFmt w:val="lowerLetter"/>
      <w:lvlText w:val="%8."/>
      <w:lvlJc w:val="left"/>
      <w:pPr>
        <w:tabs>
          <w:tab w:val="num" w:pos="9909"/>
        </w:tabs>
        <w:ind w:left="9909" w:hanging="360"/>
      </w:pPr>
      <w:rPr>
        <w:rFonts w:hint="default"/>
      </w:rPr>
    </w:lvl>
    <w:lvl w:ilvl="8">
      <w:start w:val="1"/>
      <w:numFmt w:val="lowerRoman"/>
      <w:lvlText w:val="%9."/>
      <w:lvlJc w:val="right"/>
      <w:pPr>
        <w:tabs>
          <w:tab w:val="num" w:pos="10629"/>
        </w:tabs>
        <w:ind w:left="10629" w:hanging="180"/>
      </w:pPr>
      <w:rPr>
        <w:rFonts w:hint="default"/>
      </w:rPr>
    </w:lvl>
  </w:abstractNum>
  <w:abstractNum w:abstractNumId="3" w15:restartNumberingAfterBreak="0">
    <w:nsid w:val="4E6D5F14"/>
    <w:multiLevelType w:val="hybridMultilevel"/>
    <w:tmpl w:val="FF1EA85A"/>
    <w:lvl w:ilvl="0" w:tplc="0DAA7362">
      <w:start w:val="1"/>
      <w:numFmt w:val="upperLetter"/>
      <w:lvlText w:val="%1."/>
      <w:lvlJc w:val="left"/>
      <w:pPr>
        <w:ind w:left="1608" w:hanging="360"/>
      </w:pPr>
      <w:rPr>
        <w:rFonts w:hint="default"/>
        <w:sz w:val="24"/>
        <w:szCs w:val="24"/>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4" w15:restartNumberingAfterBreak="0">
    <w:nsid w:val="52A66A9D"/>
    <w:multiLevelType w:val="multilevel"/>
    <w:tmpl w:val="D07A6E4C"/>
    <w:styleLink w:val="Normallist1"/>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5" w15:restartNumberingAfterBreak="0">
    <w:nsid w:val="569B478E"/>
    <w:multiLevelType w:val="multilevel"/>
    <w:tmpl w:val="510242FA"/>
    <w:lvl w:ilvl="0">
      <w:start w:val="1"/>
      <w:numFmt w:val="lowerLetter"/>
      <w:lvlText w:val="(%1)"/>
      <w:lvlJc w:val="left"/>
      <w:pPr>
        <w:tabs>
          <w:tab w:val="num" w:pos="1867"/>
        </w:tabs>
        <w:ind w:left="1980" w:firstLine="0"/>
      </w:pPr>
      <w:rPr>
        <w:rFonts w:hint="default"/>
      </w:rPr>
    </w:lvl>
    <w:lvl w:ilvl="1">
      <w:start w:val="1"/>
      <w:numFmt w:val="lowerLetter"/>
      <w:lvlText w:val="(%2)"/>
      <w:lvlJc w:val="left"/>
      <w:pPr>
        <w:tabs>
          <w:tab w:val="num" w:pos="1930"/>
        </w:tabs>
        <w:ind w:left="2043" w:firstLine="567"/>
      </w:pPr>
      <w:rPr>
        <w:rFonts w:hint="default"/>
      </w:rPr>
    </w:lvl>
    <w:lvl w:ilvl="2">
      <w:start w:val="1"/>
      <w:numFmt w:val="lowerRoman"/>
      <w:lvlText w:val="(%3)"/>
      <w:lvlJc w:val="left"/>
      <w:pPr>
        <w:tabs>
          <w:tab w:val="num" w:pos="1759"/>
        </w:tabs>
        <w:ind w:left="3573" w:hanging="567"/>
      </w:pPr>
      <w:rPr>
        <w:rFonts w:hint="default"/>
      </w:rPr>
    </w:lvl>
    <w:lvl w:ilvl="3">
      <w:start w:val="1"/>
      <w:numFmt w:val="lowerLetter"/>
      <w:lvlText w:val="%4."/>
      <w:lvlJc w:val="left"/>
      <w:pPr>
        <w:tabs>
          <w:tab w:val="num" w:pos="1241"/>
        </w:tabs>
        <w:ind w:left="3622" w:hanging="567"/>
      </w:pPr>
      <w:rPr>
        <w:rFonts w:hint="default"/>
      </w:rPr>
    </w:lvl>
    <w:lvl w:ilvl="4">
      <w:start w:val="1"/>
      <w:numFmt w:val="lowerRoman"/>
      <w:lvlText w:val="%5."/>
      <w:lvlJc w:val="left"/>
      <w:pPr>
        <w:tabs>
          <w:tab w:val="num" w:pos="1759"/>
        </w:tabs>
        <w:ind w:left="4707" w:hanging="567"/>
      </w:pPr>
      <w:rPr>
        <w:rFonts w:hint="default"/>
      </w:rPr>
    </w:lvl>
    <w:lvl w:ilvl="5">
      <w:start w:val="1"/>
      <w:numFmt w:val="lowerRoman"/>
      <w:lvlText w:val="%6."/>
      <w:lvlJc w:val="right"/>
      <w:pPr>
        <w:tabs>
          <w:tab w:val="num" w:pos="8460"/>
        </w:tabs>
        <w:ind w:left="8460" w:hanging="180"/>
      </w:pPr>
      <w:rPr>
        <w:rFonts w:hint="default"/>
      </w:rPr>
    </w:lvl>
    <w:lvl w:ilvl="6">
      <w:start w:val="1"/>
      <w:numFmt w:val="decimal"/>
      <w:lvlText w:val="%7."/>
      <w:lvlJc w:val="left"/>
      <w:pPr>
        <w:tabs>
          <w:tab w:val="num" w:pos="9180"/>
        </w:tabs>
        <w:ind w:left="9180" w:hanging="360"/>
      </w:pPr>
      <w:rPr>
        <w:rFonts w:hint="default"/>
      </w:rPr>
    </w:lvl>
    <w:lvl w:ilvl="7">
      <w:start w:val="1"/>
      <w:numFmt w:val="lowerLetter"/>
      <w:lvlText w:val="%8."/>
      <w:lvlJc w:val="left"/>
      <w:pPr>
        <w:tabs>
          <w:tab w:val="num" w:pos="9900"/>
        </w:tabs>
        <w:ind w:left="9900" w:hanging="360"/>
      </w:pPr>
      <w:rPr>
        <w:rFonts w:hint="default"/>
      </w:rPr>
    </w:lvl>
    <w:lvl w:ilvl="8">
      <w:start w:val="1"/>
      <w:numFmt w:val="lowerRoman"/>
      <w:lvlText w:val="%9."/>
      <w:lvlJc w:val="right"/>
      <w:pPr>
        <w:tabs>
          <w:tab w:val="num" w:pos="10620"/>
        </w:tabs>
        <w:ind w:left="10620" w:hanging="180"/>
      </w:pPr>
      <w:rPr>
        <w:rFonts w:hint="default"/>
      </w:rPr>
    </w:lvl>
  </w:abstractNum>
  <w:abstractNum w:abstractNumId="6" w15:restartNumberingAfterBreak="0">
    <w:nsid w:val="7672493E"/>
    <w:multiLevelType w:val="hybridMultilevel"/>
    <w:tmpl w:val="1F6CF8BC"/>
    <w:lvl w:ilvl="0" w:tplc="0409000F">
      <w:start w:val="1"/>
      <w:numFmt w:val="decimal"/>
      <w:lvlText w:val="%1."/>
      <w:lvlJc w:val="left"/>
      <w:pPr>
        <w:ind w:left="720" w:hanging="360"/>
      </w:pPr>
    </w:lvl>
    <w:lvl w:ilvl="1" w:tplc="9878C982">
      <w:start w:val="1"/>
      <w:numFmt w:val="lowerLetter"/>
      <w:lvlText w:val="(%2)"/>
      <w:lvlJc w:val="left"/>
      <w:pPr>
        <w:ind w:left="1440" w:hanging="360"/>
      </w:pPr>
      <w:rPr>
        <w:rFonts w:ascii="Times New Roman" w:eastAsia="Times New Roman" w:hAnsi="Times New Roman" w:cs="Times New Roman"/>
      </w:rPr>
    </w:lvl>
    <w:lvl w:ilvl="2" w:tplc="CF603DC6">
      <w:start w:val="1"/>
      <w:numFmt w:val="lowerRoman"/>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4"/>
    <w:lvlOverride w:ilvl="0">
      <w:lvl w:ilvl="0">
        <w:start w:val="1"/>
        <w:numFmt w:val="decimal"/>
        <w:pStyle w:val="Normalnumber"/>
        <w:lvlText w:val="%1."/>
        <w:lvlJc w:val="left"/>
        <w:pPr>
          <w:tabs>
            <w:tab w:val="num" w:pos="1134"/>
          </w:tabs>
          <w:ind w:left="1247" w:firstLine="0"/>
        </w:pPr>
        <w:rPr>
          <w:rFonts w:hint="default"/>
        </w:rPr>
      </w:lvl>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3"/>
  </w:num>
  <w:num w:numId="9">
    <w:abstractNumId w:val="4"/>
  </w:num>
  <w:num w:numId="10">
    <w:abstractNumId w:val="4"/>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fr-FR" w:vendorID="64" w:dllVersion="0" w:nlCheck="1" w:checkStyle="0"/>
  <w:activeWritingStyle w:appName="MSWord" w:lang="en-US" w:vendorID="64" w:dllVersion="0" w:nlCheck="1" w:checkStyle="1"/>
  <w:activeWritingStyle w:appName="MSWord" w:lang="en-GB" w:vendorID="64" w:dllVersion="0" w:nlCheck="1" w:checkStyle="1"/>
  <w:activeWritingStyle w:appName="MSWord" w:lang="es-ES" w:vendorID="64" w:dllVersion="0" w:nlCheck="1" w:checkStyle="0"/>
  <w:activeWritingStyle w:appName="MSWord" w:lang="en-CA" w:vendorID="64" w:dllVersion="0" w:nlCheck="1" w:checkStyle="0"/>
  <w:activeWritingStyle w:appName="MSWord" w:lang="fr-BE" w:vendorID="64" w:dllVersion="0" w:nlCheck="1" w:checkStyle="0"/>
  <w:activeWritingStyle w:appName="MSWord" w:lang="es-ES_tradnl" w:vendorID="64" w:dllVersion="0"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41"/>
    <w:rsid w:val="0000114A"/>
    <w:rsid w:val="00011278"/>
    <w:rsid w:val="000127AB"/>
    <w:rsid w:val="000149E6"/>
    <w:rsid w:val="000247B0"/>
    <w:rsid w:val="000268D4"/>
    <w:rsid w:val="00026997"/>
    <w:rsid w:val="0003373E"/>
    <w:rsid w:val="00033E0B"/>
    <w:rsid w:val="00035EDE"/>
    <w:rsid w:val="00037389"/>
    <w:rsid w:val="0004151F"/>
    <w:rsid w:val="000471D5"/>
    <w:rsid w:val="000509B4"/>
    <w:rsid w:val="000517FC"/>
    <w:rsid w:val="00052922"/>
    <w:rsid w:val="000549FA"/>
    <w:rsid w:val="00056CB8"/>
    <w:rsid w:val="0006035B"/>
    <w:rsid w:val="00060FE5"/>
    <w:rsid w:val="000620B7"/>
    <w:rsid w:val="00062CB9"/>
    <w:rsid w:val="00064091"/>
    <w:rsid w:val="000660E2"/>
    <w:rsid w:val="00067D69"/>
    <w:rsid w:val="00071886"/>
    <w:rsid w:val="000742BC"/>
    <w:rsid w:val="000753AA"/>
    <w:rsid w:val="00075CD9"/>
    <w:rsid w:val="000777A1"/>
    <w:rsid w:val="00082A0C"/>
    <w:rsid w:val="00083504"/>
    <w:rsid w:val="00086DBB"/>
    <w:rsid w:val="0009016A"/>
    <w:rsid w:val="00094873"/>
    <w:rsid w:val="0009640C"/>
    <w:rsid w:val="000969ED"/>
    <w:rsid w:val="000A41FC"/>
    <w:rsid w:val="000B0133"/>
    <w:rsid w:val="000B0FFD"/>
    <w:rsid w:val="000B22A2"/>
    <w:rsid w:val="000B739E"/>
    <w:rsid w:val="000C2A52"/>
    <w:rsid w:val="000D33C0"/>
    <w:rsid w:val="000D519C"/>
    <w:rsid w:val="000D5DFB"/>
    <w:rsid w:val="000D6941"/>
    <w:rsid w:val="000F0691"/>
    <w:rsid w:val="000F2275"/>
    <w:rsid w:val="000F528B"/>
    <w:rsid w:val="001118FE"/>
    <w:rsid w:val="00117D93"/>
    <w:rsid w:val="001202E3"/>
    <w:rsid w:val="001212CF"/>
    <w:rsid w:val="00123699"/>
    <w:rsid w:val="0013059D"/>
    <w:rsid w:val="00137244"/>
    <w:rsid w:val="00141A55"/>
    <w:rsid w:val="00143066"/>
    <w:rsid w:val="001446A3"/>
    <w:rsid w:val="001468D9"/>
    <w:rsid w:val="00155395"/>
    <w:rsid w:val="001562C0"/>
    <w:rsid w:val="00156FB4"/>
    <w:rsid w:val="00160D74"/>
    <w:rsid w:val="00162406"/>
    <w:rsid w:val="001676AA"/>
    <w:rsid w:val="00167D02"/>
    <w:rsid w:val="00174E8A"/>
    <w:rsid w:val="00175CC8"/>
    <w:rsid w:val="00181EC8"/>
    <w:rsid w:val="0018275C"/>
    <w:rsid w:val="00184349"/>
    <w:rsid w:val="001933B7"/>
    <w:rsid w:val="00193D3E"/>
    <w:rsid w:val="00195F33"/>
    <w:rsid w:val="001A67D6"/>
    <w:rsid w:val="001B13EF"/>
    <w:rsid w:val="001B1617"/>
    <w:rsid w:val="001B504B"/>
    <w:rsid w:val="001B5DED"/>
    <w:rsid w:val="001B5EF8"/>
    <w:rsid w:val="001B7AAA"/>
    <w:rsid w:val="001C4CAC"/>
    <w:rsid w:val="001D3874"/>
    <w:rsid w:val="001D5326"/>
    <w:rsid w:val="001D7DC1"/>
    <w:rsid w:val="001D7E75"/>
    <w:rsid w:val="001E43A2"/>
    <w:rsid w:val="001E56D2"/>
    <w:rsid w:val="001E7D56"/>
    <w:rsid w:val="001E7F71"/>
    <w:rsid w:val="001F21E8"/>
    <w:rsid w:val="001F2F43"/>
    <w:rsid w:val="001F66A2"/>
    <w:rsid w:val="001F75DE"/>
    <w:rsid w:val="00200B02"/>
    <w:rsid w:val="00200D58"/>
    <w:rsid w:val="00200D9C"/>
    <w:rsid w:val="00201125"/>
    <w:rsid w:val="002013BE"/>
    <w:rsid w:val="002063A4"/>
    <w:rsid w:val="002065EB"/>
    <w:rsid w:val="00206DEA"/>
    <w:rsid w:val="0020768D"/>
    <w:rsid w:val="002078D6"/>
    <w:rsid w:val="0021145B"/>
    <w:rsid w:val="00216394"/>
    <w:rsid w:val="00216EC0"/>
    <w:rsid w:val="002173EE"/>
    <w:rsid w:val="0022119F"/>
    <w:rsid w:val="002308EF"/>
    <w:rsid w:val="00231C44"/>
    <w:rsid w:val="002359CA"/>
    <w:rsid w:val="0023749E"/>
    <w:rsid w:val="00243D36"/>
    <w:rsid w:val="00247707"/>
    <w:rsid w:val="002552AB"/>
    <w:rsid w:val="00257ACA"/>
    <w:rsid w:val="002600E8"/>
    <w:rsid w:val="0026018E"/>
    <w:rsid w:val="002751AD"/>
    <w:rsid w:val="002813C7"/>
    <w:rsid w:val="00286740"/>
    <w:rsid w:val="00287C08"/>
    <w:rsid w:val="002929D8"/>
    <w:rsid w:val="002A237D"/>
    <w:rsid w:val="002A2ED6"/>
    <w:rsid w:val="002A4C53"/>
    <w:rsid w:val="002B0672"/>
    <w:rsid w:val="002B247F"/>
    <w:rsid w:val="002B3A0C"/>
    <w:rsid w:val="002B47AC"/>
    <w:rsid w:val="002C145D"/>
    <w:rsid w:val="002C2C3E"/>
    <w:rsid w:val="002C533E"/>
    <w:rsid w:val="002C54B0"/>
    <w:rsid w:val="002D027F"/>
    <w:rsid w:val="002D1118"/>
    <w:rsid w:val="002D6D7A"/>
    <w:rsid w:val="002D7A85"/>
    <w:rsid w:val="002D7B60"/>
    <w:rsid w:val="002E4CDA"/>
    <w:rsid w:val="002E4CFE"/>
    <w:rsid w:val="002E56FA"/>
    <w:rsid w:val="002E5828"/>
    <w:rsid w:val="002F2E4A"/>
    <w:rsid w:val="002F318C"/>
    <w:rsid w:val="002F3732"/>
    <w:rsid w:val="002F4761"/>
    <w:rsid w:val="002F5C79"/>
    <w:rsid w:val="003019E2"/>
    <w:rsid w:val="00305633"/>
    <w:rsid w:val="0030564D"/>
    <w:rsid w:val="00310A52"/>
    <w:rsid w:val="00310B09"/>
    <w:rsid w:val="0031413F"/>
    <w:rsid w:val="003148BB"/>
    <w:rsid w:val="00316384"/>
    <w:rsid w:val="00317976"/>
    <w:rsid w:val="00317AF5"/>
    <w:rsid w:val="00320118"/>
    <w:rsid w:val="00322CAA"/>
    <w:rsid w:val="00323100"/>
    <w:rsid w:val="00324DC0"/>
    <w:rsid w:val="0032752B"/>
    <w:rsid w:val="00327797"/>
    <w:rsid w:val="00330E23"/>
    <w:rsid w:val="003353DE"/>
    <w:rsid w:val="00335D49"/>
    <w:rsid w:val="00337096"/>
    <w:rsid w:val="0033751C"/>
    <w:rsid w:val="00341ECE"/>
    <w:rsid w:val="003458D1"/>
    <w:rsid w:val="00346CDF"/>
    <w:rsid w:val="00351F11"/>
    <w:rsid w:val="003545E3"/>
    <w:rsid w:val="00355EA9"/>
    <w:rsid w:val="0035662C"/>
    <w:rsid w:val="003578DE"/>
    <w:rsid w:val="003631BA"/>
    <w:rsid w:val="00367C7E"/>
    <w:rsid w:val="00371B99"/>
    <w:rsid w:val="0037377A"/>
    <w:rsid w:val="003745FC"/>
    <w:rsid w:val="00380F41"/>
    <w:rsid w:val="003868E4"/>
    <w:rsid w:val="00393A23"/>
    <w:rsid w:val="00396057"/>
    <w:rsid w:val="00396257"/>
    <w:rsid w:val="00396E36"/>
    <w:rsid w:val="00397EB8"/>
    <w:rsid w:val="003A17E2"/>
    <w:rsid w:val="003A4FD0"/>
    <w:rsid w:val="003A548B"/>
    <w:rsid w:val="003A69D1"/>
    <w:rsid w:val="003A7705"/>
    <w:rsid w:val="003A77F1"/>
    <w:rsid w:val="003B0316"/>
    <w:rsid w:val="003B1545"/>
    <w:rsid w:val="003B1816"/>
    <w:rsid w:val="003B7836"/>
    <w:rsid w:val="003C409D"/>
    <w:rsid w:val="003C5BA6"/>
    <w:rsid w:val="003D25EA"/>
    <w:rsid w:val="003D5C05"/>
    <w:rsid w:val="003D6B43"/>
    <w:rsid w:val="003E1552"/>
    <w:rsid w:val="003E5D8E"/>
    <w:rsid w:val="003E6162"/>
    <w:rsid w:val="003F0E85"/>
    <w:rsid w:val="003F2768"/>
    <w:rsid w:val="003F2A45"/>
    <w:rsid w:val="003F32A0"/>
    <w:rsid w:val="003F4243"/>
    <w:rsid w:val="00400D3E"/>
    <w:rsid w:val="0040632A"/>
    <w:rsid w:val="0040748F"/>
    <w:rsid w:val="0041079C"/>
    <w:rsid w:val="00410C55"/>
    <w:rsid w:val="0041496F"/>
    <w:rsid w:val="00416854"/>
    <w:rsid w:val="00417725"/>
    <w:rsid w:val="004229EA"/>
    <w:rsid w:val="00434745"/>
    <w:rsid w:val="00435269"/>
    <w:rsid w:val="00437492"/>
    <w:rsid w:val="00437F26"/>
    <w:rsid w:val="00441CF9"/>
    <w:rsid w:val="00442DA0"/>
    <w:rsid w:val="00444097"/>
    <w:rsid w:val="00444B67"/>
    <w:rsid w:val="00445487"/>
    <w:rsid w:val="0044658C"/>
    <w:rsid w:val="00446F9E"/>
    <w:rsid w:val="0045220C"/>
    <w:rsid w:val="00454769"/>
    <w:rsid w:val="00457949"/>
    <w:rsid w:val="004609E7"/>
    <w:rsid w:val="00463681"/>
    <w:rsid w:val="00466991"/>
    <w:rsid w:val="0047064C"/>
    <w:rsid w:val="00470CAF"/>
    <w:rsid w:val="0047307E"/>
    <w:rsid w:val="004908DF"/>
    <w:rsid w:val="00496010"/>
    <w:rsid w:val="004961D5"/>
    <w:rsid w:val="00497957"/>
    <w:rsid w:val="00497C06"/>
    <w:rsid w:val="004A42E1"/>
    <w:rsid w:val="004A5EED"/>
    <w:rsid w:val="004A5F9A"/>
    <w:rsid w:val="004B162C"/>
    <w:rsid w:val="004B392F"/>
    <w:rsid w:val="004B533E"/>
    <w:rsid w:val="004B535A"/>
    <w:rsid w:val="004C3DBE"/>
    <w:rsid w:val="004C3F94"/>
    <w:rsid w:val="004C5C96"/>
    <w:rsid w:val="004C7FB4"/>
    <w:rsid w:val="004D06A4"/>
    <w:rsid w:val="004D18D4"/>
    <w:rsid w:val="004D265A"/>
    <w:rsid w:val="004D2DB7"/>
    <w:rsid w:val="004D4CE1"/>
    <w:rsid w:val="004D72BB"/>
    <w:rsid w:val="004D791B"/>
    <w:rsid w:val="004F02AC"/>
    <w:rsid w:val="004F1A81"/>
    <w:rsid w:val="004F45A7"/>
    <w:rsid w:val="004F4F9F"/>
    <w:rsid w:val="004F6BF4"/>
    <w:rsid w:val="004F728D"/>
    <w:rsid w:val="005008A6"/>
    <w:rsid w:val="0050164F"/>
    <w:rsid w:val="00510C09"/>
    <w:rsid w:val="00511A6E"/>
    <w:rsid w:val="00514120"/>
    <w:rsid w:val="0051561B"/>
    <w:rsid w:val="005163E3"/>
    <w:rsid w:val="00516478"/>
    <w:rsid w:val="005218D9"/>
    <w:rsid w:val="00521DAB"/>
    <w:rsid w:val="00522381"/>
    <w:rsid w:val="00524A54"/>
    <w:rsid w:val="00533E0C"/>
    <w:rsid w:val="00536186"/>
    <w:rsid w:val="00544415"/>
    <w:rsid w:val="00544CBB"/>
    <w:rsid w:val="00545B48"/>
    <w:rsid w:val="00546BEF"/>
    <w:rsid w:val="00547669"/>
    <w:rsid w:val="00552ABD"/>
    <w:rsid w:val="00560144"/>
    <w:rsid w:val="00560535"/>
    <w:rsid w:val="00564B4F"/>
    <w:rsid w:val="00564EF2"/>
    <w:rsid w:val="005669BE"/>
    <w:rsid w:val="00571B95"/>
    <w:rsid w:val="0057315F"/>
    <w:rsid w:val="00576104"/>
    <w:rsid w:val="00580221"/>
    <w:rsid w:val="00584352"/>
    <w:rsid w:val="00585683"/>
    <w:rsid w:val="00591BAD"/>
    <w:rsid w:val="005A055C"/>
    <w:rsid w:val="005A1AC4"/>
    <w:rsid w:val="005A4842"/>
    <w:rsid w:val="005A7EAB"/>
    <w:rsid w:val="005B12CE"/>
    <w:rsid w:val="005B2EA4"/>
    <w:rsid w:val="005B528D"/>
    <w:rsid w:val="005B6193"/>
    <w:rsid w:val="005C1304"/>
    <w:rsid w:val="005C67C8"/>
    <w:rsid w:val="005D0249"/>
    <w:rsid w:val="005D5865"/>
    <w:rsid w:val="005D6E8C"/>
    <w:rsid w:val="005E68D4"/>
    <w:rsid w:val="005E6908"/>
    <w:rsid w:val="005E7445"/>
    <w:rsid w:val="005E778D"/>
    <w:rsid w:val="005F100C"/>
    <w:rsid w:val="005F18B5"/>
    <w:rsid w:val="005F1B1F"/>
    <w:rsid w:val="005F5586"/>
    <w:rsid w:val="005F68DA"/>
    <w:rsid w:val="005F7162"/>
    <w:rsid w:val="006002F5"/>
    <w:rsid w:val="00605142"/>
    <w:rsid w:val="0060673D"/>
    <w:rsid w:val="0060773B"/>
    <w:rsid w:val="006120EE"/>
    <w:rsid w:val="006148B9"/>
    <w:rsid w:val="006157B5"/>
    <w:rsid w:val="00626FC6"/>
    <w:rsid w:val="006303B4"/>
    <w:rsid w:val="00631E9D"/>
    <w:rsid w:val="00633D3D"/>
    <w:rsid w:val="006371D7"/>
    <w:rsid w:val="00641703"/>
    <w:rsid w:val="0064291D"/>
    <w:rsid w:val="006430F2"/>
    <w:rsid w:val="0064310D"/>
    <w:rsid w:val="00643165"/>
    <w:rsid w:val="006431A6"/>
    <w:rsid w:val="0064542A"/>
    <w:rsid w:val="006459F6"/>
    <w:rsid w:val="006501AD"/>
    <w:rsid w:val="00651BFA"/>
    <w:rsid w:val="00652B21"/>
    <w:rsid w:val="00654475"/>
    <w:rsid w:val="00663B62"/>
    <w:rsid w:val="0066486C"/>
    <w:rsid w:val="00664CDE"/>
    <w:rsid w:val="00665A4B"/>
    <w:rsid w:val="00672F8B"/>
    <w:rsid w:val="00674B62"/>
    <w:rsid w:val="00675BB0"/>
    <w:rsid w:val="00682645"/>
    <w:rsid w:val="00682DE5"/>
    <w:rsid w:val="00686171"/>
    <w:rsid w:val="00692E2A"/>
    <w:rsid w:val="0069796B"/>
    <w:rsid w:val="006A280B"/>
    <w:rsid w:val="006A324C"/>
    <w:rsid w:val="006A65A8"/>
    <w:rsid w:val="006A76F2"/>
    <w:rsid w:val="006C0FE9"/>
    <w:rsid w:val="006C3C81"/>
    <w:rsid w:val="006C65EF"/>
    <w:rsid w:val="006D4F74"/>
    <w:rsid w:val="006D7583"/>
    <w:rsid w:val="006D7E7E"/>
    <w:rsid w:val="006D7EFB"/>
    <w:rsid w:val="006E15C3"/>
    <w:rsid w:val="006E2E60"/>
    <w:rsid w:val="006E4EBD"/>
    <w:rsid w:val="006E5878"/>
    <w:rsid w:val="006E6672"/>
    <w:rsid w:val="006E6722"/>
    <w:rsid w:val="006E6A55"/>
    <w:rsid w:val="006F3265"/>
    <w:rsid w:val="007025C4"/>
    <w:rsid w:val="007027B9"/>
    <w:rsid w:val="00703637"/>
    <w:rsid w:val="007048C9"/>
    <w:rsid w:val="00706909"/>
    <w:rsid w:val="00715E88"/>
    <w:rsid w:val="00730393"/>
    <w:rsid w:val="00734CAA"/>
    <w:rsid w:val="00742ABA"/>
    <w:rsid w:val="007474E2"/>
    <w:rsid w:val="00747B99"/>
    <w:rsid w:val="00750C73"/>
    <w:rsid w:val="00752C63"/>
    <w:rsid w:val="0075533C"/>
    <w:rsid w:val="00755953"/>
    <w:rsid w:val="00757581"/>
    <w:rsid w:val="007611A0"/>
    <w:rsid w:val="00761ED2"/>
    <w:rsid w:val="00762D97"/>
    <w:rsid w:val="0076525F"/>
    <w:rsid w:val="0076569C"/>
    <w:rsid w:val="00765762"/>
    <w:rsid w:val="0077432C"/>
    <w:rsid w:val="00780E10"/>
    <w:rsid w:val="007851B7"/>
    <w:rsid w:val="0079069D"/>
    <w:rsid w:val="007926C4"/>
    <w:rsid w:val="00796D3F"/>
    <w:rsid w:val="00797346"/>
    <w:rsid w:val="007A1683"/>
    <w:rsid w:val="007A1B6B"/>
    <w:rsid w:val="007A1ECD"/>
    <w:rsid w:val="007A3758"/>
    <w:rsid w:val="007A5593"/>
    <w:rsid w:val="007A5C12"/>
    <w:rsid w:val="007A7CB0"/>
    <w:rsid w:val="007B1544"/>
    <w:rsid w:val="007B27FC"/>
    <w:rsid w:val="007B68A3"/>
    <w:rsid w:val="007C2541"/>
    <w:rsid w:val="007C32E6"/>
    <w:rsid w:val="007C6AD1"/>
    <w:rsid w:val="007C7D92"/>
    <w:rsid w:val="007C7F2F"/>
    <w:rsid w:val="007D4EDE"/>
    <w:rsid w:val="007D66A8"/>
    <w:rsid w:val="007E003F"/>
    <w:rsid w:val="007E0C33"/>
    <w:rsid w:val="007E29D4"/>
    <w:rsid w:val="007E6554"/>
    <w:rsid w:val="007E7E8A"/>
    <w:rsid w:val="007F222C"/>
    <w:rsid w:val="007F3B50"/>
    <w:rsid w:val="00803E84"/>
    <w:rsid w:val="008164F2"/>
    <w:rsid w:val="00817AEB"/>
    <w:rsid w:val="00821395"/>
    <w:rsid w:val="008223EB"/>
    <w:rsid w:val="008233A3"/>
    <w:rsid w:val="0082369C"/>
    <w:rsid w:val="00824B83"/>
    <w:rsid w:val="00825B79"/>
    <w:rsid w:val="00830E26"/>
    <w:rsid w:val="0083249B"/>
    <w:rsid w:val="008334E6"/>
    <w:rsid w:val="008350EF"/>
    <w:rsid w:val="0084171A"/>
    <w:rsid w:val="00843576"/>
    <w:rsid w:val="00843B64"/>
    <w:rsid w:val="00846816"/>
    <w:rsid w:val="00846E91"/>
    <w:rsid w:val="00846F97"/>
    <w:rsid w:val="008478FC"/>
    <w:rsid w:val="00847C52"/>
    <w:rsid w:val="00853695"/>
    <w:rsid w:val="008557FA"/>
    <w:rsid w:val="00862656"/>
    <w:rsid w:val="00863CEC"/>
    <w:rsid w:val="008662DF"/>
    <w:rsid w:val="00867BFF"/>
    <w:rsid w:val="00874D1E"/>
    <w:rsid w:val="00877430"/>
    <w:rsid w:val="0088480A"/>
    <w:rsid w:val="0088757A"/>
    <w:rsid w:val="008907D5"/>
    <w:rsid w:val="008910BB"/>
    <w:rsid w:val="008923A1"/>
    <w:rsid w:val="00893009"/>
    <w:rsid w:val="0089442D"/>
    <w:rsid w:val="00894D01"/>
    <w:rsid w:val="008957DD"/>
    <w:rsid w:val="00897D98"/>
    <w:rsid w:val="008A2527"/>
    <w:rsid w:val="008A6DF2"/>
    <w:rsid w:val="008A7639"/>
    <w:rsid w:val="008A7807"/>
    <w:rsid w:val="008B349D"/>
    <w:rsid w:val="008B4CC9"/>
    <w:rsid w:val="008C0BEE"/>
    <w:rsid w:val="008C12DF"/>
    <w:rsid w:val="008D148C"/>
    <w:rsid w:val="008D638F"/>
    <w:rsid w:val="008D6D36"/>
    <w:rsid w:val="008D7C99"/>
    <w:rsid w:val="008E0FCB"/>
    <w:rsid w:val="008E2401"/>
    <w:rsid w:val="008E4612"/>
    <w:rsid w:val="008E49F9"/>
    <w:rsid w:val="008E4F66"/>
    <w:rsid w:val="008E64B1"/>
    <w:rsid w:val="008E7E45"/>
    <w:rsid w:val="008F0C44"/>
    <w:rsid w:val="00906951"/>
    <w:rsid w:val="00913881"/>
    <w:rsid w:val="009164F3"/>
    <w:rsid w:val="009166ED"/>
    <w:rsid w:val="0092178C"/>
    <w:rsid w:val="00923E35"/>
    <w:rsid w:val="00924468"/>
    <w:rsid w:val="00926951"/>
    <w:rsid w:val="00930B88"/>
    <w:rsid w:val="00934615"/>
    <w:rsid w:val="009373BC"/>
    <w:rsid w:val="00940DCC"/>
    <w:rsid w:val="0094179A"/>
    <w:rsid w:val="0094459E"/>
    <w:rsid w:val="00944DBC"/>
    <w:rsid w:val="00947807"/>
    <w:rsid w:val="00947B41"/>
    <w:rsid w:val="00950977"/>
    <w:rsid w:val="00951A7B"/>
    <w:rsid w:val="00956268"/>
    <w:rsid w:val="009564A6"/>
    <w:rsid w:val="00967621"/>
    <w:rsid w:val="00967E6A"/>
    <w:rsid w:val="009701C3"/>
    <w:rsid w:val="00970B4B"/>
    <w:rsid w:val="009736E0"/>
    <w:rsid w:val="00980539"/>
    <w:rsid w:val="0098402C"/>
    <w:rsid w:val="009844A1"/>
    <w:rsid w:val="0098626E"/>
    <w:rsid w:val="00990BC1"/>
    <w:rsid w:val="00993D4D"/>
    <w:rsid w:val="00996348"/>
    <w:rsid w:val="00996B4D"/>
    <w:rsid w:val="00997D88"/>
    <w:rsid w:val="009B30AE"/>
    <w:rsid w:val="009B4A0F"/>
    <w:rsid w:val="009C11D2"/>
    <w:rsid w:val="009C140F"/>
    <w:rsid w:val="009C6C70"/>
    <w:rsid w:val="009C78B8"/>
    <w:rsid w:val="009D052D"/>
    <w:rsid w:val="009D0B63"/>
    <w:rsid w:val="009D2A9E"/>
    <w:rsid w:val="009E307E"/>
    <w:rsid w:val="009E518E"/>
    <w:rsid w:val="009E669E"/>
    <w:rsid w:val="009E72BA"/>
    <w:rsid w:val="009F2328"/>
    <w:rsid w:val="009F3972"/>
    <w:rsid w:val="00A00810"/>
    <w:rsid w:val="00A025D3"/>
    <w:rsid w:val="00A07870"/>
    <w:rsid w:val="00A07F19"/>
    <w:rsid w:val="00A1348D"/>
    <w:rsid w:val="00A203E3"/>
    <w:rsid w:val="00A20BE5"/>
    <w:rsid w:val="00A21C5B"/>
    <w:rsid w:val="00A22181"/>
    <w:rsid w:val="00A232EE"/>
    <w:rsid w:val="00A273E8"/>
    <w:rsid w:val="00A33BC6"/>
    <w:rsid w:val="00A37644"/>
    <w:rsid w:val="00A409C1"/>
    <w:rsid w:val="00A4175F"/>
    <w:rsid w:val="00A42642"/>
    <w:rsid w:val="00A44411"/>
    <w:rsid w:val="00A469FA"/>
    <w:rsid w:val="00A476CD"/>
    <w:rsid w:val="00A51732"/>
    <w:rsid w:val="00A55B01"/>
    <w:rsid w:val="00A56B5B"/>
    <w:rsid w:val="00A603FF"/>
    <w:rsid w:val="00A62808"/>
    <w:rsid w:val="00A657DD"/>
    <w:rsid w:val="00A666A6"/>
    <w:rsid w:val="00A675FD"/>
    <w:rsid w:val="00A7002E"/>
    <w:rsid w:val="00A72437"/>
    <w:rsid w:val="00A7490C"/>
    <w:rsid w:val="00A800B7"/>
    <w:rsid w:val="00A80611"/>
    <w:rsid w:val="00A8203E"/>
    <w:rsid w:val="00A85B41"/>
    <w:rsid w:val="00A863FD"/>
    <w:rsid w:val="00A86D10"/>
    <w:rsid w:val="00A920B2"/>
    <w:rsid w:val="00A95EFA"/>
    <w:rsid w:val="00A966E4"/>
    <w:rsid w:val="00AA132D"/>
    <w:rsid w:val="00AA51DC"/>
    <w:rsid w:val="00AB3520"/>
    <w:rsid w:val="00AB36FD"/>
    <w:rsid w:val="00AB46D3"/>
    <w:rsid w:val="00AB5340"/>
    <w:rsid w:val="00AB5D50"/>
    <w:rsid w:val="00AB6F42"/>
    <w:rsid w:val="00AC0A89"/>
    <w:rsid w:val="00AC0CAB"/>
    <w:rsid w:val="00AC31EF"/>
    <w:rsid w:val="00AC5C4D"/>
    <w:rsid w:val="00AC6164"/>
    <w:rsid w:val="00AC7C96"/>
    <w:rsid w:val="00AD29A1"/>
    <w:rsid w:val="00AD5ADA"/>
    <w:rsid w:val="00AD693F"/>
    <w:rsid w:val="00AE1413"/>
    <w:rsid w:val="00AE1B13"/>
    <w:rsid w:val="00AE237D"/>
    <w:rsid w:val="00AE502A"/>
    <w:rsid w:val="00AE6A97"/>
    <w:rsid w:val="00AF0232"/>
    <w:rsid w:val="00AF08FC"/>
    <w:rsid w:val="00AF2FDD"/>
    <w:rsid w:val="00AF7C07"/>
    <w:rsid w:val="00B03FC7"/>
    <w:rsid w:val="00B0787A"/>
    <w:rsid w:val="00B1359A"/>
    <w:rsid w:val="00B22C93"/>
    <w:rsid w:val="00B27589"/>
    <w:rsid w:val="00B37F11"/>
    <w:rsid w:val="00B405B7"/>
    <w:rsid w:val="00B40701"/>
    <w:rsid w:val="00B41D9E"/>
    <w:rsid w:val="00B4216E"/>
    <w:rsid w:val="00B42D54"/>
    <w:rsid w:val="00B448E4"/>
    <w:rsid w:val="00B45BE2"/>
    <w:rsid w:val="00B52222"/>
    <w:rsid w:val="00B5352B"/>
    <w:rsid w:val="00B53C32"/>
    <w:rsid w:val="00B54FE7"/>
    <w:rsid w:val="00B66901"/>
    <w:rsid w:val="00B700FD"/>
    <w:rsid w:val="00B7099A"/>
    <w:rsid w:val="00B70CC5"/>
    <w:rsid w:val="00B71E6D"/>
    <w:rsid w:val="00B72070"/>
    <w:rsid w:val="00B779E1"/>
    <w:rsid w:val="00B77CCC"/>
    <w:rsid w:val="00B81365"/>
    <w:rsid w:val="00B82646"/>
    <w:rsid w:val="00B866CF"/>
    <w:rsid w:val="00B867BB"/>
    <w:rsid w:val="00B878BA"/>
    <w:rsid w:val="00B90F36"/>
    <w:rsid w:val="00B91EE1"/>
    <w:rsid w:val="00B96722"/>
    <w:rsid w:val="00BA0090"/>
    <w:rsid w:val="00BA0EBC"/>
    <w:rsid w:val="00BA1A67"/>
    <w:rsid w:val="00BA386B"/>
    <w:rsid w:val="00BA5679"/>
    <w:rsid w:val="00BA6364"/>
    <w:rsid w:val="00BB75CF"/>
    <w:rsid w:val="00BC201B"/>
    <w:rsid w:val="00BC2D09"/>
    <w:rsid w:val="00BC7C60"/>
    <w:rsid w:val="00BD5B3B"/>
    <w:rsid w:val="00BD5DD4"/>
    <w:rsid w:val="00BE3C32"/>
    <w:rsid w:val="00BE5B5F"/>
    <w:rsid w:val="00BE6D06"/>
    <w:rsid w:val="00BE75C4"/>
    <w:rsid w:val="00BE7E20"/>
    <w:rsid w:val="00BF2394"/>
    <w:rsid w:val="00C10F45"/>
    <w:rsid w:val="00C12FDF"/>
    <w:rsid w:val="00C13B65"/>
    <w:rsid w:val="00C14E87"/>
    <w:rsid w:val="00C1653D"/>
    <w:rsid w:val="00C20833"/>
    <w:rsid w:val="00C21F76"/>
    <w:rsid w:val="00C23F20"/>
    <w:rsid w:val="00C26F55"/>
    <w:rsid w:val="00C30BEC"/>
    <w:rsid w:val="00C30C63"/>
    <w:rsid w:val="00C324E4"/>
    <w:rsid w:val="00C32DBD"/>
    <w:rsid w:val="00C3352B"/>
    <w:rsid w:val="00C34471"/>
    <w:rsid w:val="00C34968"/>
    <w:rsid w:val="00C36B8B"/>
    <w:rsid w:val="00C415C1"/>
    <w:rsid w:val="00C47DBF"/>
    <w:rsid w:val="00C51592"/>
    <w:rsid w:val="00C5167B"/>
    <w:rsid w:val="00C524AA"/>
    <w:rsid w:val="00C54DE3"/>
    <w:rsid w:val="00C552FF"/>
    <w:rsid w:val="00C558DA"/>
    <w:rsid w:val="00C55AF3"/>
    <w:rsid w:val="00C60399"/>
    <w:rsid w:val="00C635DA"/>
    <w:rsid w:val="00C64470"/>
    <w:rsid w:val="00C655C4"/>
    <w:rsid w:val="00C65B65"/>
    <w:rsid w:val="00C721BF"/>
    <w:rsid w:val="00C738E3"/>
    <w:rsid w:val="00C757F3"/>
    <w:rsid w:val="00C765EF"/>
    <w:rsid w:val="00C81796"/>
    <w:rsid w:val="00C84759"/>
    <w:rsid w:val="00C857D5"/>
    <w:rsid w:val="00C87B5D"/>
    <w:rsid w:val="00C91F40"/>
    <w:rsid w:val="00C9211D"/>
    <w:rsid w:val="00C92D07"/>
    <w:rsid w:val="00C93E1C"/>
    <w:rsid w:val="00C940A3"/>
    <w:rsid w:val="00C94AAC"/>
    <w:rsid w:val="00C94D18"/>
    <w:rsid w:val="00C96AE1"/>
    <w:rsid w:val="00CA50D6"/>
    <w:rsid w:val="00CA65D3"/>
    <w:rsid w:val="00CA6C7F"/>
    <w:rsid w:val="00CA7100"/>
    <w:rsid w:val="00CA77D4"/>
    <w:rsid w:val="00CC0EE5"/>
    <w:rsid w:val="00CC10A6"/>
    <w:rsid w:val="00CC1B6A"/>
    <w:rsid w:val="00CC3292"/>
    <w:rsid w:val="00CC7676"/>
    <w:rsid w:val="00CD4719"/>
    <w:rsid w:val="00CD5EB8"/>
    <w:rsid w:val="00CD637F"/>
    <w:rsid w:val="00CD7044"/>
    <w:rsid w:val="00CE07A6"/>
    <w:rsid w:val="00CE08B9"/>
    <w:rsid w:val="00CE524C"/>
    <w:rsid w:val="00CE71AE"/>
    <w:rsid w:val="00CF0FF0"/>
    <w:rsid w:val="00CF1146"/>
    <w:rsid w:val="00CF141F"/>
    <w:rsid w:val="00CF25C4"/>
    <w:rsid w:val="00CF4777"/>
    <w:rsid w:val="00CF67BE"/>
    <w:rsid w:val="00D039F5"/>
    <w:rsid w:val="00D03DAC"/>
    <w:rsid w:val="00D067BB"/>
    <w:rsid w:val="00D11D25"/>
    <w:rsid w:val="00D1352A"/>
    <w:rsid w:val="00D14D5D"/>
    <w:rsid w:val="00D16643"/>
    <w:rsid w:val="00D169AF"/>
    <w:rsid w:val="00D20FBF"/>
    <w:rsid w:val="00D21223"/>
    <w:rsid w:val="00D25249"/>
    <w:rsid w:val="00D33FC1"/>
    <w:rsid w:val="00D37A8A"/>
    <w:rsid w:val="00D40872"/>
    <w:rsid w:val="00D41053"/>
    <w:rsid w:val="00D41775"/>
    <w:rsid w:val="00D4391F"/>
    <w:rsid w:val="00D44172"/>
    <w:rsid w:val="00D465AF"/>
    <w:rsid w:val="00D46D99"/>
    <w:rsid w:val="00D52393"/>
    <w:rsid w:val="00D538F7"/>
    <w:rsid w:val="00D55BAA"/>
    <w:rsid w:val="00D60763"/>
    <w:rsid w:val="00D63B8C"/>
    <w:rsid w:val="00D63D03"/>
    <w:rsid w:val="00D65DBB"/>
    <w:rsid w:val="00D710E1"/>
    <w:rsid w:val="00D739CC"/>
    <w:rsid w:val="00D8093D"/>
    <w:rsid w:val="00D8108C"/>
    <w:rsid w:val="00D842AE"/>
    <w:rsid w:val="00D85D09"/>
    <w:rsid w:val="00D870BC"/>
    <w:rsid w:val="00D903F5"/>
    <w:rsid w:val="00D9211C"/>
    <w:rsid w:val="00D92DE0"/>
    <w:rsid w:val="00D92FEF"/>
    <w:rsid w:val="00D93A0F"/>
    <w:rsid w:val="00D93C96"/>
    <w:rsid w:val="00D95A77"/>
    <w:rsid w:val="00DA120C"/>
    <w:rsid w:val="00DA1BCA"/>
    <w:rsid w:val="00DA2AC3"/>
    <w:rsid w:val="00DA6BDC"/>
    <w:rsid w:val="00DB0D64"/>
    <w:rsid w:val="00DB1562"/>
    <w:rsid w:val="00DC04F8"/>
    <w:rsid w:val="00DC2E5E"/>
    <w:rsid w:val="00DC30BB"/>
    <w:rsid w:val="00DC46FF"/>
    <w:rsid w:val="00DC4EBD"/>
    <w:rsid w:val="00DC5254"/>
    <w:rsid w:val="00DD1A4F"/>
    <w:rsid w:val="00DD3107"/>
    <w:rsid w:val="00DD4032"/>
    <w:rsid w:val="00DD7C2C"/>
    <w:rsid w:val="00DE40AD"/>
    <w:rsid w:val="00DF2721"/>
    <w:rsid w:val="00DF51A3"/>
    <w:rsid w:val="00E0390B"/>
    <w:rsid w:val="00E06797"/>
    <w:rsid w:val="00E1265B"/>
    <w:rsid w:val="00E12830"/>
    <w:rsid w:val="00E1288B"/>
    <w:rsid w:val="00E13B48"/>
    <w:rsid w:val="00E1404F"/>
    <w:rsid w:val="00E1605A"/>
    <w:rsid w:val="00E20B54"/>
    <w:rsid w:val="00E21C83"/>
    <w:rsid w:val="00E23761"/>
    <w:rsid w:val="00E23B1E"/>
    <w:rsid w:val="00E24ADA"/>
    <w:rsid w:val="00E30380"/>
    <w:rsid w:val="00E32F59"/>
    <w:rsid w:val="00E3353F"/>
    <w:rsid w:val="00E33BF0"/>
    <w:rsid w:val="00E37973"/>
    <w:rsid w:val="00E42862"/>
    <w:rsid w:val="00E429EB"/>
    <w:rsid w:val="00E45835"/>
    <w:rsid w:val="00E4634B"/>
    <w:rsid w:val="00E4651C"/>
    <w:rsid w:val="00E46D9A"/>
    <w:rsid w:val="00E47120"/>
    <w:rsid w:val="00E4740C"/>
    <w:rsid w:val="00E5090B"/>
    <w:rsid w:val="00E556C3"/>
    <w:rsid w:val="00E565FF"/>
    <w:rsid w:val="00E60762"/>
    <w:rsid w:val="00E60C6E"/>
    <w:rsid w:val="00E65388"/>
    <w:rsid w:val="00E65DC1"/>
    <w:rsid w:val="00E66901"/>
    <w:rsid w:val="00E678D3"/>
    <w:rsid w:val="00E76201"/>
    <w:rsid w:val="00E83A5A"/>
    <w:rsid w:val="00E85B7D"/>
    <w:rsid w:val="00E9121B"/>
    <w:rsid w:val="00E94F62"/>
    <w:rsid w:val="00E955F4"/>
    <w:rsid w:val="00EA08B0"/>
    <w:rsid w:val="00EA0AE2"/>
    <w:rsid w:val="00EA18AF"/>
    <w:rsid w:val="00EA337A"/>
    <w:rsid w:val="00EA39E5"/>
    <w:rsid w:val="00EB0103"/>
    <w:rsid w:val="00EB0B0F"/>
    <w:rsid w:val="00EB3F94"/>
    <w:rsid w:val="00EB70DD"/>
    <w:rsid w:val="00EC1167"/>
    <w:rsid w:val="00EC3123"/>
    <w:rsid w:val="00EC3958"/>
    <w:rsid w:val="00EC5A46"/>
    <w:rsid w:val="00EC63E2"/>
    <w:rsid w:val="00ED3A58"/>
    <w:rsid w:val="00EE74FB"/>
    <w:rsid w:val="00EF22B3"/>
    <w:rsid w:val="00F0264F"/>
    <w:rsid w:val="00F03B69"/>
    <w:rsid w:val="00F05B63"/>
    <w:rsid w:val="00F07A50"/>
    <w:rsid w:val="00F1090B"/>
    <w:rsid w:val="00F113DA"/>
    <w:rsid w:val="00F15DAA"/>
    <w:rsid w:val="00F37DC8"/>
    <w:rsid w:val="00F43865"/>
    <w:rsid w:val="00F439B3"/>
    <w:rsid w:val="00F43B6C"/>
    <w:rsid w:val="00F556AE"/>
    <w:rsid w:val="00F55734"/>
    <w:rsid w:val="00F63ABF"/>
    <w:rsid w:val="00F650C3"/>
    <w:rsid w:val="00F65D85"/>
    <w:rsid w:val="00F803D4"/>
    <w:rsid w:val="00F8091E"/>
    <w:rsid w:val="00F8615C"/>
    <w:rsid w:val="00F90225"/>
    <w:rsid w:val="00F91DE2"/>
    <w:rsid w:val="00F969E5"/>
    <w:rsid w:val="00FA1104"/>
    <w:rsid w:val="00FA1832"/>
    <w:rsid w:val="00FA1C57"/>
    <w:rsid w:val="00FA2F70"/>
    <w:rsid w:val="00FA6BB0"/>
    <w:rsid w:val="00FB140B"/>
    <w:rsid w:val="00FB5B33"/>
    <w:rsid w:val="00FC4D1B"/>
    <w:rsid w:val="00FD05B0"/>
    <w:rsid w:val="00FD08CA"/>
    <w:rsid w:val="00FD1AF1"/>
    <w:rsid w:val="00FD5860"/>
    <w:rsid w:val="00FD67AE"/>
    <w:rsid w:val="00FD6890"/>
    <w:rsid w:val="00FE30C2"/>
    <w:rsid w:val="00FE352D"/>
    <w:rsid w:val="00FE40EB"/>
    <w:rsid w:val="00FE4D02"/>
    <w:rsid w:val="00FE7D62"/>
    <w:rsid w:val="00FF307E"/>
    <w:rsid w:val="00FF3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5718301"/>
  <w15:docId w15:val="{C1A2E037-F5F3-4A91-AC7C-AC68E4A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85B41"/>
    <w:pPr>
      <w:tabs>
        <w:tab w:val="left" w:pos="1247"/>
        <w:tab w:val="left" w:pos="1814"/>
        <w:tab w:val="left" w:pos="2381"/>
        <w:tab w:val="left" w:pos="2948"/>
        <w:tab w:val="left" w:pos="3515"/>
      </w:tabs>
    </w:pPr>
    <w:rPr>
      <w:lang w:val="en-GB"/>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link w:val="CH1Char"/>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link w:val="NormalpoolChar"/>
    <w:rsid w:val="003A77F1"/>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
    <w:next w:val="Normal"/>
    <w:rsid w:val="00DC2E5E"/>
    <w:pPr>
      <w:tabs>
        <w:tab w:val="left" w:pos="4082"/>
        <w:tab w:val="left" w:pos="4321"/>
        <w:tab w:val="right" w:pos="8641"/>
      </w:tabs>
      <w:spacing w:before="60" w:after="120"/>
    </w:pPr>
    <w:rPr>
      <w:b/>
      <w:sz w:val="18"/>
    </w:rPr>
  </w:style>
  <w:style w:type="paragraph" w:customStyle="1" w:styleId="Header-pool">
    <w:name w:val="Header-pool"/>
    <w:basedOn w:val="Normal"/>
    <w:next w:val="Normal"/>
    <w:rsid w:val="00DC2E5E"/>
    <w:pPr>
      <w:pBdr>
        <w:bottom w:val="single" w:sz="4" w:space="1" w:color="auto"/>
      </w:pBdr>
      <w:tabs>
        <w:tab w:val="clear" w:pos="1814"/>
        <w:tab w:val="clear" w:pos="2381"/>
        <w:tab w:val="clear" w:pos="2948"/>
        <w:tab w:val="clear" w:pos="3515"/>
        <w:tab w:val="left" w:pos="4082"/>
        <w:tab w:val="center" w:pos="4536"/>
        <w:tab w:val="right" w:pos="9072"/>
      </w:tabs>
      <w:spacing w:after="120"/>
    </w:pPr>
    <w:rPr>
      <w:b/>
      <w:sz w:val="18"/>
    </w:rPr>
  </w:style>
  <w:style w:type="character" w:styleId="FootnoteReference">
    <w:name w:val="footnote reference"/>
    <w:aliases w:val="Footnote text,16 Point,Superscript 6 Point,Footnote Text1,Footnote Text2"/>
    <w:basedOn w:val="DefaultParagraphFont"/>
    <w:uiPriority w:val="99"/>
    <w:semiHidden/>
    <w:rsid w:val="000D6941"/>
    <w:rPr>
      <w:rFonts w:ascii="Times New Roman" w:hAnsi="Times New Roman"/>
      <w:color w:val="auto"/>
      <w:sz w:val="20"/>
      <w:szCs w:val="18"/>
      <w:vertAlign w:val="superscript"/>
    </w:rPr>
  </w:style>
  <w:style w:type="paragraph" w:styleId="FootnoteText">
    <w:name w:val="footnote text"/>
    <w:aliases w:val="Fußnotentextf"/>
    <w:basedOn w:val="Normalpool"/>
    <w:link w:val="FootnoteTextChar"/>
    <w:uiPriority w:val="99"/>
    <w:rsid w:val="000D6941"/>
    <w:pPr>
      <w:spacing w:before="20" w:after="40"/>
      <w:ind w:left="1247"/>
    </w:pPr>
    <w:rPr>
      <w:sz w:val="18"/>
    </w:rPr>
  </w:style>
  <w:style w:type="character" w:customStyle="1" w:styleId="NormalnumberChar">
    <w:name w:val="Normal_number Char"/>
    <w:link w:val="Normalnumber"/>
    <w:rsid w:val="00A85B41"/>
    <w:rPr>
      <w:lang w:val="en-GB"/>
    </w:rPr>
  </w:style>
  <w:style w:type="character" w:customStyle="1" w:styleId="HeaderChar">
    <w:name w:val="Header Char"/>
    <w:link w:val="Header"/>
    <w:semiHidden/>
    <w:locked/>
    <w:rsid w:val="00A85B41"/>
    <w:rPr>
      <w:b/>
      <w:sz w:val="18"/>
      <w:lang w:val="fr-FR"/>
    </w:rPr>
  </w:style>
  <w:style w:type="character" w:customStyle="1" w:styleId="FooterChar">
    <w:name w:val="Footer Char"/>
    <w:link w:val="Footer"/>
    <w:uiPriority w:val="99"/>
    <w:locked/>
    <w:rsid w:val="00A85B41"/>
    <w:rPr>
      <w:sz w:val="18"/>
      <w:lang w:val="fr-FR"/>
    </w:rPr>
  </w:style>
  <w:style w:type="character" w:customStyle="1" w:styleId="CH1Char">
    <w:name w:val="CH1 Char"/>
    <w:link w:val="CH1"/>
    <w:rsid w:val="00A85B41"/>
    <w:rPr>
      <w:b/>
      <w:sz w:val="28"/>
      <w:szCs w:val="28"/>
      <w:lang w:val="en-GB"/>
    </w:rPr>
  </w:style>
  <w:style w:type="character" w:customStyle="1" w:styleId="CH2Char">
    <w:name w:val="CH2 Char"/>
    <w:link w:val="CH2"/>
    <w:rsid w:val="00A85B41"/>
    <w:rPr>
      <w:b/>
      <w:sz w:val="24"/>
      <w:szCs w:val="24"/>
      <w:lang w:val="en-GB"/>
    </w:rPr>
  </w:style>
  <w:style w:type="paragraph" w:customStyle="1" w:styleId="Anxhead">
    <w:name w:val="Anx head"/>
    <w:basedOn w:val="Normal"/>
    <w:rsid w:val="00A85B41"/>
    <w:rPr>
      <w:b/>
      <w:bCs/>
      <w:sz w:val="28"/>
      <w:szCs w:val="22"/>
      <w:lang w:val="fr-FR"/>
    </w:rPr>
  </w:style>
  <w:style w:type="paragraph" w:customStyle="1" w:styleId="Anxtitle">
    <w:name w:val="Anx title"/>
    <w:basedOn w:val="Normal"/>
    <w:rsid w:val="00A85B41"/>
    <w:pPr>
      <w:ind w:left="1247"/>
    </w:pPr>
    <w:rPr>
      <w:b/>
      <w:bCs/>
      <w:sz w:val="28"/>
      <w:szCs w:val="26"/>
      <w:lang w:val="fr-FR"/>
    </w:rPr>
  </w:style>
  <w:style w:type="table" w:styleId="TableGrid">
    <w:name w:val="Table Grid"/>
    <w:basedOn w:val="TableNormal"/>
    <w:rsid w:val="00A8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number"/>
    <w:qFormat/>
    <w:rsid w:val="00A85B41"/>
    <w:pPr>
      <w:numPr>
        <w:numId w:val="0"/>
      </w:numPr>
      <w:ind w:left="1247" w:firstLine="624"/>
    </w:pPr>
  </w:style>
  <w:style w:type="paragraph" w:customStyle="1" w:styleId="Recommendationnumber">
    <w:name w:val="Recommendation number"/>
    <w:basedOn w:val="Normalnumber"/>
    <w:qFormat/>
    <w:rsid w:val="00A85B41"/>
    <w:pPr>
      <w:numPr>
        <w:numId w:val="0"/>
      </w:numPr>
      <w:ind w:left="1247"/>
      <w:jc w:val="right"/>
    </w:pPr>
    <w:rPr>
      <w:b/>
    </w:rPr>
  </w:style>
  <w:style w:type="paragraph" w:customStyle="1" w:styleId="SingleTxt">
    <w:name w:val="__Single Txt"/>
    <w:basedOn w:val="Normal"/>
    <w:rsid w:val="001D5326"/>
    <w:pPr>
      <w:tabs>
        <w:tab w:val="clear" w:pos="1247"/>
        <w:tab w:val="clear" w:pos="1814"/>
        <w:tab w:val="clear" w:pos="2381"/>
        <w:tab w:val="clear" w:pos="2948"/>
        <w:tab w:val="clear" w:pos="3515"/>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r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link w:val="BBTitleChar"/>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semiHidden/>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paragraph" w:styleId="BalloonText">
    <w:name w:val="Balloon Text"/>
    <w:basedOn w:val="Normal"/>
    <w:link w:val="BalloonTextChar"/>
    <w:rsid w:val="004F6BF4"/>
    <w:rPr>
      <w:rFonts w:ascii="Tahoma" w:hAnsi="Tahoma" w:cs="Tahoma"/>
      <w:sz w:val="16"/>
      <w:szCs w:val="16"/>
    </w:rPr>
  </w:style>
  <w:style w:type="character" w:customStyle="1" w:styleId="BalloonTextChar">
    <w:name w:val="Balloon Text Char"/>
    <w:basedOn w:val="DefaultParagraphFont"/>
    <w:link w:val="BalloonText"/>
    <w:rsid w:val="004F6BF4"/>
    <w:rPr>
      <w:rFonts w:ascii="Tahoma" w:hAnsi="Tahoma" w:cs="Tahoma"/>
      <w:sz w:val="16"/>
      <w:szCs w:val="16"/>
      <w:lang w:val="en-GB"/>
    </w:rPr>
  </w:style>
  <w:style w:type="character" w:styleId="CommentReference">
    <w:name w:val="annotation reference"/>
    <w:basedOn w:val="DefaultParagraphFont"/>
    <w:rsid w:val="00DB1562"/>
    <w:rPr>
      <w:sz w:val="16"/>
      <w:szCs w:val="16"/>
    </w:rPr>
  </w:style>
  <w:style w:type="paragraph" w:styleId="CommentText">
    <w:name w:val="annotation text"/>
    <w:basedOn w:val="Normal"/>
    <w:link w:val="CommentTextChar"/>
    <w:rsid w:val="00DB1562"/>
  </w:style>
  <w:style w:type="character" w:customStyle="1" w:styleId="CommentTextChar">
    <w:name w:val="Comment Text Char"/>
    <w:basedOn w:val="DefaultParagraphFont"/>
    <w:link w:val="CommentText"/>
    <w:rsid w:val="00DB1562"/>
    <w:rPr>
      <w:lang w:val="en-GB"/>
    </w:rPr>
  </w:style>
  <w:style w:type="paragraph" w:styleId="CommentSubject">
    <w:name w:val="annotation subject"/>
    <w:basedOn w:val="CommentText"/>
    <w:next w:val="CommentText"/>
    <w:link w:val="CommentSubjectChar"/>
    <w:rsid w:val="00DB1562"/>
    <w:rPr>
      <w:b/>
      <w:bCs/>
    </w:rPr>
  </w:style>
  <w:style w:type="character" w:customStyle="1" w:styleId="CommentSubjectChar">
    <w:name w:val="Comment Subject Char"/>
    <w:basedOn w:val="CommentTextChar"/>
    <w:link w:val="CommentSubject"/>
    <w:rsid w:val="00DB1562"/>
    <w:rPr>
      <w:b/>
      <w:bCs/>
      <w:lang w:val="en-GB"/>
    </w:rPr>
  </w:style>
  <w:style w:type="paragraph" w:styleId="Revision">
    <w:name w:val="Revision"/>
    <w:hidden/>
    <w:uiPriority w:val="99"/>
    <w:semiHidden/>
    <w:rsid w:val="00675BB0"/>
    <w:rPr>
      <w:lang w:val="en-GB"/>
    </w:rPr>
  </w:style>
  <w:style w:type="character" w:customStyle="1" w:styleId="span11">
    <w:name w:val="span11"/>
    <w:basedOn w:val="DefaultParagraphFont"/>
    <w:rsid w:val="00396E36"/>
  </w:style>
  <w:style w:type="numbering" w:customStyle="1" w:styleId="Normallist1">
    <w:name w:val="Normal_list1"/>
    <w:basedOn w:val="NoList"/>
    <w:rsid w:val="005F7162"/>
    <w:pPr>
      <w:numPr>
        <w:numId w:val="3"/>
      </w:numPr>
    </w:pPr>
  </w:style>
  <w:style w:type="paragraph" w:styleId="ListParagraph">
    <w:name w:val="List Paragraph"/>
    <w:basedOn w:val="Normal"/>
    <w:uiPriority w:val="34"/>
    <w:qFormat/>
    <w:rsid w:val="008F0C44"/>
    <w:pPr>
      <w:tabs>
        <w:tab w:val="clear" w:pos="1247"/>
        <w:tab w:val="clear" w:pos="1814"/>
        <w:tab w:val="clear" w:pos="2381"/>
        <w:tab w:val="clear" w:pos="2948"/>
        <w:tab w:val="clear" w:pos="3515"/>
      </w:tabs>
      <w:ind w:left="720"/>
      <w:contextualSpacing/>
    </w:pPr>
    <w:rPr>
      <w:sz w:val="24"/>
      <w:szCs w:val="24"/>
      <w:lang w:eastAsia="en-GB"/>
    </w:rPr>
  </w:style>
  <w:style w:type="character" w:customStyle="1" w:styleId="st">
    <w:name w:val="st"/>
    <w:basedOn w:val="DefaultParagraphFont"/>
    <w:rsid w:val="00E42862"/>
  </w:style>
  <w:style w:type="character" w:customStyle="1" w:styleId="NormalpoolChar">
    <w:name w:val="Normal_pool Char"/>
    <w:link w:val="Normalpool"/>
    <w:locked/>
    <w:rsid w:val="002B3A0C"/>
    <w:rPr>
      <w:lang w:val="fr-FR"/>
    </w:rPr>
  </w:style>
  <w:style w:type="character" w:customStyle="1" w:styleId="FootnoteTextChar">
    <w:name w:val="Footnote Text Char"/>
    <w:aliases w:val="Fußnotentextf Char"/>
    <w:basedOn w:val="DefaultParagraphFont"/>
    <w:link w:val="FootnoteText"/>
    <w:uiPriority w:val="99"/>
    <w:rsid w:val="0044658C"/>
    <w:rPr>
      <w:sz w:val="18"/>
      <w:lang w:val="fr-FR"/>
    </w:rPr>
  </w:style>
  <w:style w:type="character" w:customStyle="1" w:styleId="BBTitleChar">
    <w:name w:val="BB_Title Char"/>
    <w:link w:val="BBTitle"/>
    <w:rsid w:val="0044658C"/>
    <w:rPr>
      <w:b/>
      <w:sz w:val="28"/>
      <w:szCs w:val="28"/>
      <w:lang w:val="en-GB"/>
    </w:rPr>
  </w:style>
  <w:style w:type="paragraph" w:styleId="NormalWeb">
    <w:name w:val="Normal (Web)"/>
    <w:basedOn w:val="Normal"/>
    <w:uiPriority w:val="99"/>
    <w:rsid w:val="0044658C"/>
    <w:pPr>
      <w:spacing w:before="100" w:beforeAutospacing="1" w:after="100" w:afterAutospacing="1"/>
    </w:pPr>
    <w:rPr>
      <w:rFonts w:ascii="Arial" w:eastAsia="MS Mincho" w:hAnsi="Arial" w:cs="Arial"/>
      <w:sz w:val="15"/>
      <w:szCs w:val="15"/>
      <w:lang w:val="en-US" w:eastAsia="ja-JP"/>
    </w:rPr>
  </w:style>
  <w:style w:type="paragraph" w:customStyle="1" w:styleId="Normal-pool">
    <w:name w:val="Normal-pool"/>
    <w:link w:val="Normal-poolChar"/>
    <w:rsid w:val="007025C4"/>
    <w:pPr>
      <w:tabs>
        <w:tab w:val="left" w:pos="1247"/>
        <w:tab w:val="left" w:pos="1814"/>
        <w:tab w:val="left" w:pos="2381"/>
        <w:tab w:val="left" w:pos="2948"/>
        <w:tab w:val="left" w:pos="3515"/>
        <w:tab w:val="left" w:pos="4082"/>
      </w:tabs>
    </w:pPr>
    <w:rPr>
      <w:lang w:val="en-GB"/>
    </w:rPr>
  </w:style>
  <w:style w:type="character" w:customStyle="1" w:styleId="Normal-poolChar">
    <w:name w:val="Normal-pool Char"/>
    <w:link w:val="Normal-pool"/>
    <w:locked/>
    <w:rsid w:val="007025C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5338">
      <w:bodyDiv w:val="1"/>
      <w:marLeft w:val="0"/>
      <w:marRight w:val="0"/>
      <w:marTop w:val="0"/>
      <w:marBottom w:val="0"/>
      <w:divBdr>
        <w:top w:val="none" w:sz="0" w:space="0" w:color="auto"/>
        <w:left w:val="none" w:sz="0" w:space="0" w:color="auto"/>
        <w:bottom w:val="none" w:sz="0" w:space="0" w:color="auto"/>
        <w:right w:val="none" w:sz="0" w:space="0" w:color="auto"/>
      </w:divBdr>
      <w:divsChild>
        <w:div w:id="334655976">
          <w:marLeft w:val="418"/>
          <w:marRight w:val="0"/>
          <w:marTop w:val="0"/>
          <w:marBottom w:val="60"/>
          <w:divBdr>
            <w:top w:val="none" w:sz="0" w:space="0" w:color="auto"/>
            <w:left w:val="none" w:sz="0" w:space="0" w:color="auto"/>
            <w:bottom w:val="none" w:sz="0" w:space="0" w:color="auto"/>
            <w:right w:val="none" w:sz="0" w:space="0" w:color="auto"/>
          </w:divBdr>
        </w:div>
        <w:div w:id="862597884">
          <w:marLeft w:val="418"/>
          <w:marRight w:val="0"/>
          <w:marTop w:val="0"/>
          <w:marBottom w:val="60"/>
          <w:divBdr>
            <w:top w:val="none" w:sz="0" w:space="0" w:color="auto"/>
            <w:left w:val="none" w:sz="0" w:space="0" w:color="auto"/>
            <w:bottom w:val="none" w:sz="0" w:space="0" w:color="auto"/>
            <w:right w:val="none" w:sz="0" w:space="0" w:color="auto"/>
          </w:divBdr>
        </w:div>
        <w:div w:id="1286737790">
          <w:marLeft w:val="418"/>
          <w:marRight w:val="0"/>
          <w:marTop w:val="0"/>
          <w:marBottom w:val="60"/>
          <w:divBdr>
            <w:top w:val="none" w:sz="0" w:space="0" w:color="auto"/>
            <w:left w:val="none" w:sz="0" w:space="0" w:color="auto"/>
            <w:bottom w:val="none" w:sz="0" w:space="0" w:color="auto"/>
            <w:right w:val="none" w:sz="0" w:space="0" w:color="auto"/>
          </w:divBdr>
        </w:div>
        <w:div w:id="968785098">
          <w:marLeft w:val="418"/>
          <w:marRight w:val="0"/>
          <w:marTop w:val="0"/>
          <w:marBottom w:val="60"/>
          <w:divBdr>
            <w:top w:val="none" w:sz="0" w:space="0" w:color="auto"/>
            <w:left w:val="none" w:sz="0" w:space="0" w:color="auto"/>
            <w:bottom w:val="none" w:sz="0" w:space="0" w:color="auto"/>
            <w:right w:val="none" w:sz="0" w:space="0" w:color="auto"/>
          </w:divBdr>
        </w:div>
        <w:div w:id="745416489">
          <w:marLeft w:val="418"/>
          <w:marRight w:val="0"/>
          <w:marTop w:val="0"/>
          <w:marBottom w:val="60"/>
          <w:divBdr>
            <w:top w:val="none" w:sz="0" w:space="0" w:color="auto"/>
            <w:left w:val="none" w:sz="0" w:space="0" w:color="auto"/>
            <w:bottom w:val="none" w:sz="0" w:space="0" w:color="auto"/>
            <w:right w:val="none" w:sz="0" w:space="0" w:color="auto"/>
          </w:divBdr>
        </w:div>
        <w:div w:id="1286083645">
          <w:marLeft w:val="418"/>
          <w:marRight w:val="0"/>
          <w:marTop w:val="0"/>
          <w:marBottom w:val="60"/>
          <w:divBdr>
            <w:top w:val="none" w:sz="0" w:space="0" w:color="auto"/>
            <w:left w:val="none" w:sz="0" w:space="0" w:color="auto"/>
            <w:bottom w:val="none" w:sz="0" w:space="0" w:color="auto"/>
            <w:right w:val="none" w:sz="0" w:space="0" w:color="auto"/>
          </w:divBdr>
        </w:div>
        <w:div w:id="1860579178">
          <w:marLeft w:val="418"/>
          <w:marRight w:val="0"/>
          <w:marTop w:val="0"/>
          <w:marBottom w:val="60"/>
          <w:divBdr>
            <w:top w:val="none" w:sz="0" w:space="0" w:color="auto"/>
            <w:left w:val="none" w:sz="0" w:space="0" w:color="auto"/>
            <w:bottom w:val="none" w:sz="0" w:space="0" w:color="auto"/>
            <w:right w:val="none" w:sz="0" w:space="0" w:color="auto"/>
          </w:divBdr>
        </w:div>
        <w:div w:id="1825389454">
          <w:marLeft w:val="418"/>
          <w:marRight w:val="0"/>
          <w:marTop w:val="0"/>
          <w:marBottom w:val="60"/>
          <w:divBdr>
            <w:top w:val="none" w:sz="0" w:space="0" w:color="auto"/>
            <w:left w:val="none" w:sz="0" w:space="0" w:color="auto"/>
            <w:bottom w:val="none" w:sz="0" w:space="0" w:color="auto"/>
            <w:right w:val="none" w:sz="0" w:space="0" w:color="auto"/>
          </w:divBdr>
        </w:div>
        <w:div w:id="1059010901">
          <w:marLeft w:val="418"/>
          <w:marRight w:val="0"/>
          <w:marTop w:val="0"/>
          <w:marBottom w:val="60"/>
          <w:divBdr>
            <w:top w:val="none" w:sz="0" w:space="0" w:color="auto"/>
            <w:left w:val="none" w:sz="0" w:space="0" w:color="auto"/>
            <w:bottom w:val="none" w:sz="0" w:space="0" w:color="auto"/>
            <w:right w:val="none" w:sz="0" w:space="0" w:color="auto"/>
          </w:divBdr>
        </w:div>
      </w:divsChild>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718431235">
      <w:bodyDiv w:val="1"/>
      <w:marLeft w:val="0"/>
      <w:marRight w:val="0"/>
      <w:marTop w:val="0"/>
      <w:marBottom w:val="0"/>
      <w:divBdr>
        <w:top w:val="none" w:sz="0" w:space="0" w:color="auto"/>
        <w:left w:val="none" w:sz="0" w:space="0" w:color="auto"/>
        <w:bottom w:val="none" w:sz="0" w:space="0" w:color="auto"/>
        <w:right w:val="none" w:sz="0" w:space="0" w:color="auto"/>
      </w:divBdr>
      <w:divsChild>
        <w:div w:id="225074464">
          <w:marLeft w:val="418"/>
          <w:marRight w:val="0"/>
          <w:marTop w:val="0"/>
          <w:marBottom w:val="120"/>
          <w:divBdr>
            <w:top w:val="none" w:sz="0" w:space="0" w:color="auto"/>
            <w:left w:val="none" w:sz="0" w:space="0" w:color="auto"/>
            <w:bottom w:val="none" w:sz="0" w:space="0" w:color="auto"/>
            <w:right w:val="none" w:sz="0" w:space="0" w:color="auto"/>
          </w:divBdr>
        </w:div>
        <w:div w:id="17198799">
          <w:marLeft w:val="418"/>
          <w:marRight w:val="0"/>
          <w:marTop w:val="0"/>
          <w:marBottom w:val="120"/>
          <w:divBdr>
            <w:top w:val="none" w:sz="0" w:space="0" w:color="auto"/>
            <w:left w:val="none" w:sz="0" w:space="0" w:color="auto"/>
            <w:bottom w:val="none" w:sz="0" w:space="0" w:color="auto"/>
            <w:right w:val="none" w:sz="0" w:space="0" w:color="auto"/>
          </w:divBdr>
        </w:div>
        <w:div w:id="1550342348">
          <w:marLeft w:val="418"/>
          <w:marRight w:val="0"/>
          <w:marTop w:val="0"/>
          <w:marBottom w:val="120"/>
          <w:divBdr>
            <w:top w:val="none" w:sz="0" w:space="0" w:color="auto"/>
            <w:left w:val="none" w:sz="0" w:space="0" w:color="auto"/>
            <w:bottom w:val="none" w:sz="0" w:space="0" w:color="auto"/>
            <w:right w:val="none" w:sz="0" w:space="0" w:color="auto"/>
          </w:divBdr>
        </w:div>
        <w:div w:id="1689330455">
          <w:marLeft w:val="418"/>
          <w:marRight w:val="0"/>
          <w:marTop w:val="0"/>
          <w:marBottom w:val="120"/>
          <w:divBdr>
            <w:top w:val="none" w:sz="0" w:space="0" w:color="auto"/>
            <w:left w:val="none" w:sz="0" w:space="0" w:color="auto"/>
            <w:bottom w:val="none" w:sz="0" w:space="0" w:color="auto"/>
            <w:right w:val="none" w:sz="0" w:space="0" w:color="auto"/>
          </w:divBdr>
        </w:div>
        <w:div w:id="947541603">
          <w:marLeft w:val="418"/>
          <w:marRight w:val="0"/>
          <w:marTop w:val="0"/>
          <w:marBottom w:val="120"/>
          <w:divBdr>
            <w:top w:val="none" w:sz="0" w:space="0" w:color="auto"/>
            <w:left w:val="none" w:sz="0" w:space="0" w:color="auto"/>
            <w:bottom w:val="none" w:sz="0" w:space="0" w:color="auto"/>
            <w:right w:val="none" w:sz="0" w:space="0" w:color="auto"/>
          </w:divBdr>
        </w:div>
        <w:div w:id="1811746502">
          <w:marLeft w:val="418"/>
          <w:marRight w:val="0"/>
          <w:marTop w:val="0"/>
          <w:marBottom w:val="120"/>
          <w:divBdr>
            <w:top w:val="none" w:sz="0" w:space="0" w:color="auto"/>
            <w:left w:val="none" w:sz="0" w:space="0" w:color="auto"/>
            <w:bottom w:val="none" w:sz="0" w:space="0" w:color="auto"/>
            <w:right w:val="none" w:sz="0" w:space="0" w:color="auto"/>
          </w:divBdr>
        </w:div>
        <w:div w:id="830414811">
          <w:marLeft w:val="418"/>
          <w:marRight w:val="0"/>
          <w:marTop w:val="0"/>
          <w:marBottom w:val="120"/>
          <w:divBdr>
            <w:top w:val="none" w:sz="0" w:space="0" w:color="auto"/>
            <w:left w:val="none" w:sz="0" w:space="0" w:color="auto"/>
            <w:bottom w:val="none" w:sz="0" w:space="0" w:color="auto"/>
            <w:right w:val="none" w:sz="0" w:space="0" w:color="auto"/>
          </w:divBdr>
        </w:div>
      </w:divsChild>
    </w:div>
    <w:div w:id="787044206">
      <w:bodyDiv w:val="1"/>
      <w:marLeft w:val="0"/>
      <w:marRight w:val="0"/>
      <w:marTop w:val="0"/>
      <w:marBottom w:val="0"/>
      <w:divBdr>
        <w:top w:val="none" w:sz="0" w:space="0" w:color="auto"/>
        <w:left w:val="none" w:sz="0" w:space="0" w:color="auto"/>
        <w:bottom w:val="none" w:sz="0" w:space="0" w:color="auto"/>
        <w:right w:val="none" w:sz="0" w:space="0" w:color="auto"/>
      </w:divBdr>
      <w:divsChild>
        <w:div w:id="660932321">
          <w:marLeft w:val="418"/>
          <w:marRight w:val="0"/>
          <w:marTop w:val="0"/>
          <w:marBottom w:val="360"/>
          <w:divBdr>
            <w:top w:val="none" w:sz="0" w:space="0" w:color="auto"/>
            <w:left w:val="none" w:sz="0" w:space="0" w:color="auto"/>
            <w:bottom w:val="none" w:sz="0" w:space="0" w:color="auto"/>
            <w:right w:val="none" w:sz="0" w:space="0" w:color="auto"/>
          </w:divBdr>
        </w:div>
        <w:div w:id="154954909">
          <w:marLeft w:val="418"/>
          <w:marRight w:val="0"/>
          <w:marTop w:val="0"/>
          <w:marBottom w:val="360"/>
          <w:divBdr>
            <w:top w:val="none" w:sz="0" w:space="0" w:color="auto"/>
            <w:left w:val="none" w:sz="0" w:space="0" w:color="auto"/>
            <w:bottom w:val="none" w:sz="0" w:space="0" w:color="auto"/>
            <w:right w:val="none" w:sz="0" w:space="0" w:color="auto"/>
          </w:divBdr>
        </w:div>
        <w:div w:id="1355040358">
          <w:marLeft w:val="418"/>
          <w:marRight w:val="0"/>
          <w:marTop w:val="0"/>
          <w:marBottom w:val="360"/>
          <w:divBdr>
            <w:top w:val="none" w:sz="0" w:space="0" w:color="auto"/>
            <w:left w:val="none" w:sz="0" w:space="0" w:color="auto"/>
            <w:bottom w:val="none" w:sz="0" w:space="0" w:color="auto"/>
            <w:right w:val="none" w:sz="0" w:space="0" w:color="auto"/>
          </w:divBdr>
        </w:div>
        <w:div w:id="33893413">
          <w:marLeft w:val="418"/>
          <w:marRight w:val="0"/>
          <w:marTop w:val="0"/>
          <w:marBottom w:val="360"/>
          <w:divBdr>
            <w:top w:val="none" w:sz="0" w:space="0" w:color="auto"/>
            <w:left w:val="none" w:sz="0" w:space="0" w:color="auto"/>
            <w:bottom w:val="none" w:sz="0" w:space="0" w:color="auto"/>
            <w:right w:val="none" w:sz="0" w:space="0" w:color="auto"/>
          </w:divBdr>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03134168">
      <w:bodyDiv w:val="1"/>
      <w:marLeft w:val="0"/>
      <w:marRight w:val="0"/>
      <w:marTop w:val="0"/>
      <w:marBottom w:val="0"/>
      <w:divBdr>
        <w:top w:val="none" w:sz="0" w:space="0" w:color="auto"/>
        <w:left w:val="none" w:sz="0" w:space="0" w:color="auto"/>
        <w:bottom w:val="none" w:sz="0" w:space="0" w:color="auto"/>
        <w:right w:val="none" w:sz="0" w:space="0" w:color="auto"/>
      </w:divBdr>
      <w:divsChild>
        <w:div w:id="1059011995">
          <w:marLeft w:val="418"/>
          <w:marRight w:val="0"/>
          <w:marTop w:val="0"/>
          <w:marBottom w:val="60"/>
          <w:divBdr>
            <w:top w:val="none" w:sz="0" w:space="0" w:color="auto"/>
            <w:left w:val="none" w:sz="0" w:space="0" w:color="auto"/>
            <w:bottom w:val="none" w:sz="0" w:space="0" w:color="auto"/>
            <w:right w:val="none" w:sz="0" w:space="0" w:color="auto"/>
          </w:divBdr>
        </w:div>
        <w:div w:id="445538341">
          <w:marLeft w:val="418"/>
          <w:marRight w:val="0"/>
          <w:marTop w:val="0"/>
          <w:marBottom w:val="60"/>
          <w:divBdr>
            <w:top w:val="none" w:sz="0" w:space="0" w:color="auto"/>
            <w:left w:val="none" w:sz="0" w:space="0" w:color="auto"/>
            <w:bottom w:val="none" w:sz="0" w:space="0" w:color="auto"/>
            <w:right w:val="none" w:sz="0" w:space="0" w:color="auto"/>
          </w:divBdr>
        </w:div>
        <w:div w:id="1062557301">
          <w:marLeft w:val="418"/>
          <w:marRight w:val="0"/>
          <w:marTop w:val="0"/>
          <w:marBottom w:val="60"/>
          <w:divBdr>
            <w:top w:val="none" w:sz="0" w:space="0" w:color="auto"/>
            <w:left w:val="none" w:sz="0" w:space="0" w:color="auto"/>
            <w:bottom w:val="none" w:sz="0" w:space="0" w:color="auto"/>
            <w:right w:val="none" w:sz="0" w:space="0" w:color="auto"/>
          </w:divBdr>
        </w:div>
        <w:div w:id="1642539049">
          <w:marLeft w:val="418"/>
          <w:marRight w:val="0"/>
          <w:marTop w:val="0"/>
          <w:marBottom w:val="60"/>
          <w:divBdr>
            <w:top w:val="none" w:sz="0" w:space="0" w:color="auto"/>
            <w:left w:val="none" w:sz="0" w:space="0" w:color="auto"/>
            <w:bottom w:val="none" w:sz="0" w:space="0" w:color="auto"/>
            <w:right w:val="none" w:sz="0" w:space="0" w:color="auto"/>
          </w:divBdr>
        </w:div>
        <w:div w:id="166405255">
          <w:marLeft w:val="418"/>
          <w:marRight w:val="0"/>
          <w:marTop w:val="0"/>
          <w:marBottom w:val="60"/>
          <w:divBdr>
            <w:top w:val="none" w:sz="0" w:space="0" w:color="auto"/>
            <w:left w:val="none" w:sz="0" w:space="0" w:color="auto"/>
            <w:bottom w:val="none" w:sz="0" w:space="0" w:color="auto"/>
            <w:right w:val="none" w:sz="0" w:space="0" w:color="auto"/>
          </w:divBdr>
        </w:div>
        <w:div w:id="971835208">
          <w:marLeft w:val="418"/>
          <w:marRight w:val="0"/>
          <w:marTop w:val="0"/>
          <w:marBottom w:val="60"/>
          <w:divBdr>
            <w:top w:val="none" w:sz="0" w:space="0" w:color="auto"/>
            <w:left w:val="none" w:sz="0" w:space="0" w:color="auto"/>
            <w:bottom w:val="none" w:sz="0" w:space="0" w:color="auto"/>
            <w:right w:val="none" w:sz="0" w:space="0" w:color="auto"/>
          </w:divBdr>
        </w:div>
        <w:div w:id="1880317640">
          <w:marLeft w:val="418"/>
          <w:marRight w:val="0"/>
          <w:marTop w:val="0"/>
          <w:marBottom w:val="60"/>
          <w:divBdr>
            <w:top w:val="none" w:sz="0" w:space="0" w:color="auto"/>
            <w:left w:val="none" w:sz="0" w:space="0" w:color="auto"/>
            <w:bottom w:val="none" w:sz="0" w:space="0" w:color="auto"/>
            <w:right w:val="none" w:sz="0" w:space="0" w:color="auto"/>
          </w:divBdr>
        </w:div>
        <w:div w:id="829718097">
          <w:marLeft w:val="418"/>
          <w:marRight w:val="0"/>
          <w:marTop w:val="0"/>
          <w:marBottom w:val="60"/>
          <w:divBdr>
            <w:top w:val="none" w:sz="0" w:space="0" w:color="auto"/>
            <w:left w:val="none" w:sz="0" w:space="0" w:color="auto"/>
            <w:bottom w:val="none" w:sz="0" w:space="0" w:color="auto"/>
            <w:right w:val="none" w:sz="0" w:space="0" w:color="auto"/>
          </w:divBdr>
        </w:div>
        <w:div w:id="390539222">
          <w:marLeft w:val="418"/>
          <w:marRight w:val="0"/>
          <w:marTop w:val="0"/>
          <w:marBottom w:val="60"/>
          <w:divBdr>
            <w:top w:val="none" w:sz="0" w:space="0" w:color="auto"/>
            <w:left w:val="none" w:sz="0" w:space="0" w:color="auto"/>
            <w:bottom w:val="none" w:sz="0" w:space="0" w:color="auto"/>
            <w:right w:val="none" w:sz="0" w:space="0" w:color="auto"/>
          </w:divBdr>
        </w:div>
      </w:divsChild>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40039765">
      <w:bodyDiv w:val="1"/>
      <w:marLeft w:val="0"/>
      <w:marRight w:val="0"/>
      <w:marTop w:val="0"/>
      <w:marBottom w:val="0"/>
      <w:divBdr>
        <w:top w:val="none" w:sz="0" w:space="0" w:color="auto"/>
        <w:left w:val="none" w:sz="0" w:space="0" w:color="auto"/>
        <w:bottom w:val="none" w:sz="0" w:space="0" w:color="auto"/>
        <w:right w:val="none" w:sz="0" w:space="0" w:color="auto"/>
      </w:divBdr>
      <w:divsChild>
        <w:div w:id="985470035">
          <w:marLeft w:val="418"/>
          <w:marRight w:val="0"/>
          <w:marTop w:val="0"/>
          <w:marBottom w:val="40"/>
          <w:divBdr>
            <w:top w:val="none" w:sz="0" w:space="0" w:color="auto"/>
            <w:left w:val="none" w:sz="0" w:space="0" w:color="auto"/>
            <w:bottom w:val="none" w:sz="0" w:space="0" w:color="auto"/>
            <w:right w:val="none" w:sz="0" w:space="0" w:color="auto"/>
          </w:divBdr>
        </w:div>
        <w:div w:id="257325453">
          <w:marLeft w:val="418"/>
          <w:marRight w:val="0"/>
          <w:marTop w:val="0"/>
          <w:marBottom w:val="40"/>
          <w:divBdr>
            <w:top w:val="none" w:sz="0" w:space="0" w:color="auto"/>
            <w:left w:val="none" w:sz="0" w:space="0" w:color="auto"/>
            <w:bottom w:val="none" w:sz="0" w:space="0" w:color="auto"/>
            <w:right w:val="none" w:sz="0" w:space="0" w:color="auto"/>
          </w:divBdr>
        </w:div>
        <w:div w:id="1945647077">
          <w:marLeft w:val="418"/>
          <w:marRight w:val="0"/>
          <w:marTop w:val="0"/>
          <w:marBottom w:val="40"/>
          <w:divBdr>
            <w:top w:val="none" w:sz="0" w:space="0" w:color="auto"/>
            <w:left w:val="none" w:sz="0" w:space="0" w:color="auto"/>
            <w:bottom w:val="none" w:sz="0" w:space="0" w:color="auto"/>
            <w:right w:val="none" w:sz="0" w:space="0" w:color="auto"/>
          </w:divBdr>
        </w:div>
        <w:div w:id="2027753882">
          <w:marLeft w:val="418"/>
          <w:marRight w:val="0"/>
          <w:marTop w:val="0"/>
          <w:marBottom w:val="40"/>
          <w:divBdr>
            <w:top w:val="none" w:sz="0" w:space="0" w:color="auto"/>
            <w:left w:val="none" w:sz="0" w:space="0" w:color="auto"/>
            <w:bottom w:val="none" w:sz="0" w:space="0" w:color="auto"/>
            <w:right w:val="none" w:sz="0" w:space="0" w:color="auto"/>
          </w:divBdr>
        </w:div>
        <w:div w:id="1508595049">
          <w:marLeft w:val="418"/>
          <w:marRight w:val="0"/>
          <w:marTop w:val="0"/>
          <w:marBottom w:val="40"/>
          <w:divBdr>
            <w:top w:val="none" w:sz="0" w:space="0" w:color="auto"/>
            <w:left w:val="none" w:sz="0" w:space="0" w:color="auto"/>
            <w:bottom w:val="none" w:sz="0" w:space="0" w:color="auto"/>
            <w:right w:val="none" w:sz="0" w:space="0" w:color="auto"/>
          </w:divBdr>
        </w:div>
        <w:div w:id="114064064">
          <w:marLeft w:val="418"/>
          <w:marRight w:val="0"/>
          <w:marTop w:val="0"/>
          <w:marBottom w:val="40"/>
          <w:divBdr>
            <w:top w:val="none" w:sz="0" w:space="0" w:color="auto"/>
            <w:left w:val="none" w:sz="0" w:space="0" w:color="auto"/>
            <w:bottom w:val="none" w:sz="0" w:space="0" w:color="auto"/>
            <w:right w:val="none" w:sz="0" w:space="0" w:color="auto"/>
          </w:divBdr>
        </w:div>
        <w:div w:id="626396442">
          <w:marLeft w:val="418"/>
          <w:marRight w:val="0"/>
          <w:marTop w:val="0"/>
          <w:marBottom w:val="40"/>
          <w:divBdr>
            <w:top w:val="none" w:sz="0" w:space="0" w:color="auto"/>
            <w:left w:val="none" w:sz="0" w:space="0" w:color="auto"/>
            <w:bottom w:val="none" w:sz="0" w:space="0" w:color="auto"/>
            <w:right w:val="none" w:sz="0" w:space="0" w:color="auto"/>
          </w:divBdr>
        </w:div>
        <w:div w:id="136194276">
          <w:marLeft w:val="418"/>
          <w:marRight w:val="0"/>
          <w:marTop w:val="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mailto:s.asylbekov@energo.gov.kz"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mailto:Gerald.Mutisya@unep.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fritznau@yahoo.fr"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Gilbert.Bankobeza@une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Tina.Birmpili@unep.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DC74287274045BB0164DC4E500D0D" ma:contentTypeVersion="" ma:contentTypeDescription="Create a new document." ma:contentTypeScope="" ma:versionID="f884a5a2b773e3af7f0d87dd5c75882c">
  <xsd:schema xmlns:xsd="http://www.w3.org/2001/XMLSchema" xmlns:xs="http://www.w3.org/2001/XMLSchema" xmlns:p="http://schemas.microsoft.com/office/2006/metadata/properties" xmlns:ns2="AAA2AD5D-8951-4871-A6D4-B709005F00D9" targetNamespace="http://schemas.microsoft.com/office/2006/metadata/properties" ma:root="true" ma:fieldsID="e43974f6bebb348a596c03b0cb467744" ns2:_="">
    <xsd:import namespace="AAA2AD5D-8951-4871-A6D4-B709005F00D9"/>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2AD5D-8951-4871-A6D4-B709005F00D9"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AAA2AD5D-8951-4871-A6D4-B709005F00D9">UNEP/OzL.Pro/ImpCom/59/4</Document_x0020_Symbol>
  </documentManagement>
</p:properties>
</file>

<file path=customXml/itemProps1.xml><?xml version="1.0" encoding="utf-8"?>
<ds:datastoreItem xmlns:ds="http://schemas.openxmlformats.org/officeDocument/2006/customXml" ds:itemID="{7DAEA1DA-DAD3-48F3-B69B-2A9C8C4B8910}"/>
</file>

<file path=customXml/itemProps2.xml><?xml version="1.0" encoding="utf-8"?>
<ds:datastoreItem xmlns:ds="http://schemas.openxmlformats.org/officeDocument/2006/customXml" ds:itemID="{E2D08D47-ED59-4AE2-82BE-E03E13E7A7E7}"/>
</file>

<file path=customXml/itemProps3.xml><?xml version="1.0" encoding="utf-8"?>
<ds:datastoreItem xmlns:ds="http://schemas.openxmlformats.org/officeDocument/2006/customXml" ds:itemID="{646D0486-1515-4F8F-B6E9-844E51833086}"/>
</file>

<file path=customXml/itemProps4.xml><?xml version="1.0" encoding="utf-8"?>
<ds:datastoreItem xmlns:ds="http://schemas.openxmlformats.org/officeDocument/2006/customXml" ds:itemID="{3769FA34-CE21-4C41-8E9B-2AA0B0414F67}"/>
</file>

<file path=docProps/app.xml><?xml version="1.0" encoding="utf-8"?>
<Properties xmlns="http://schemas.openxmlformats.org/officeDocument/2006/extended-properties" xmlns:vt="http://schemas.openxmlformats.org/officeDocument/2006/docPropsVTypes">
  <Template>normal.dotm</Template>
  <TotalTime>1</TotalTime>
  <Pages>16</Pages>
  <Words>8250</Words>
  <Characters>46567</Characters>
  <Application>Microsoft Office Word</Application>
  <DocSecurity>0</DocSecurity>
  <Lines>2217</Lines>
  <Paragraphs>1713</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53104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Implementation Committee under the Non Compliance Procedure for the Montreal Protocol on the work of its fifty-ninth meeting</dc:title>
  <dc:creator>Cynthia Mwanza</dc:creator>
  <cp:lastModifiedBy>Cynthia Mwanza</cp:lastModifiedBy>
  <cp:revision>6</cp:revision>
  <cp:lastPrinted>2017-12-05T16:52:00Z</cp:lastPrinted>
  <dcterms:created xsi:type="dcterms:W3CDTF">2018-01-10T12:48:00Z</dcterms:created>
  <dcterms:modified xsi:type="dcterms:W3CDTF">2018-01-19T07:58:00Z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0x0101003BDDC74287274045BB0164DC4E500D0D</vt:lpwstr>
  </property>
</Properties>
</file>