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9.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right"/>
        <w:tblLayout w:type="fixed"/>
        <w:tblLook w:val="0000" w:firstRow="0" w:lastRow="0" w:firstColumn="0" w:lastColumn="0" w:noHBand="0" w:noVBand="0"/>
      </w:tblPr>
      <w:tblGrid>
        <w:gridCol w:w="1533"/>
        <w:gridCol w:w="3326"/>
        <w:gridCol w:w="1460"/>
        <w:gridCol w:w="3393"/>
      </w:tblGrid>
      <w:tr w:rsidR="0031269C" w:rsidRPr="00DB6883" w:rsidTr="00210198">
        <w:trPr>
          <w:cantSplit/>
          <w:trHeight w:val="850"/>
          <w:jc w:val="right"/>
        </w:trPr>
        <w:tc>
          <w:tcPr>
            <w:tcW w:w="1498" w:type="dxa"/>
          </w:tcPr>
          <w:p w:rsidR="0031269C" w:rsidRPr="00DB6883" w:rsidRDefault="0031269C" w:rsidP="004B04D7">
            <w:pPr>
              <w:tabs>
                <w:tab w:val="left" w:pos="624"/>
                <w:tab w:val="left" w:pos="1871"/>
                <w:tab w:val="left" w:pos="2495"/>
                <w:tab w:val="left" w:pos="3119"/>
              </w:tabs>
              <w:rPr>
                <w:rFonts w:ascii="Arial" w:hAnsi="Arial" w:cs="Arial"/>
                <w:b/>
                <w:sz w:val="27"/>
              </w:rPr>
            </w:pPr>
            <w:bookmarkStart w:id="0" w:name="_GoBack"/>
            <w:bookmarkEnd w:id="0"/>
            <w:r w:rsidRPr="00DB6883">
              <w:rPr>
                <w:rFonts w:ascii="Arial" w:hAnsi="Arial" w:cs="Arial"/>
                <w:b/>
                <w:sz w:val="27"/>
              </w:rPr>
              <w:t>UNITED</w:t>
            </w:r>
            <w:r w:rsidRPr="00DB6883">
              <w:rPr>
                <w:rFonts w:ascii="Arial" w:hAnsi="Arial" w:cs="Arial"/>
                <w:b/>
                <w:sz w:val="27"/>
              </w:rPr>
              <w:br/>
              <w:t>NATIONS</w:t>
            </w:r>
          </w:p>
        </w:tc>
        <w:tc>
          <w:tcPr>
            <w:tcW w:w="4680" w:type="dxa"/>
            <w:gridSpan w:val="2"/>
          </w:tcPr>
          <w:p w:rsidR="0031269C" w:rsidRPr="00DB6883" w:rsidRDefault="0031269C" w:rsidP="004B04D7">
            <w:pPr>
              <w:tabs>
                <w:tab w:val="left" w:pos="624"/>
                <w:tab w:val="left" w:pos="1871"/>
                <w:tab w:val="left" w:pos="2495"/>
                <w:tab w:val="left" w:pos="3119"/>
              </w:tabs>
              <w:rPr>
                <w:rFonts w:ascii="Univers" w:hAnsi="Univers"/>
                <w:b/>
                <w:sz w:val="27"/>
              </w:rPr>
            </w:pPr>
          </w:p>
        </w:tc>
        <w:tc>
          <w:tcPr>
            <w:tcW w:w="3318" w:type="dxa"/>
          </w:tcPr>
          <w:p w:rsidR="0031269C" w:rsidRPr="00DB6883" w:rsidRDefault="0031269C" w:rsidP="004B04D7">
            <w:pPr>
              <w:tabs>
                <w:tab w:val="left" w:pos="624"/>
                <w:tab w:val="left" w:pos="1871"/>
                <w:tab w:val="left" w:pos="2495"/>
                <w:tab w:val="left" w:pos="3119"/>
              </w:tabs>
              <w:jc w:val="right"/>
              <w:rPr>
                <w:rFonts w:ascii="Arial" w:hAnsi="Arial" w:cs="Arial"/>
                <w:b/>
                <w:sz w:val="64"/>
                <w:szCs w:val="64"/>
              </w:rPr>
            </w:pPr>
            <w:r w:rsidRPr="00DB6883">
              <w:rPr>
                <w:rFonts w:ascii="Arial" w:hAnsi="Arial" w:cs="Arial"/>
                <w:b/>
                <w:sz w:val="64"/>
                <w:szCs w:val="64"/>
              </w:rPr>
              <w:t>EP</w:t>
            </w:r>
          </w:p>
        </w:tc>
      </w:tr>
      <w:tr w:rsidR="0031269C" w:rsidRPr="00DB6883" w:rsidTr="00210198">
        <w:trPr>
          <w:cantSplit/>
          <w:trHeight w:val="281"/>
          <w:jc w:val="right"/>
        </w:trPr>
        <w:tc>
          <w:tcPr>
            <w:tcW w:w="1498" w:type="dxa"/>
            <w:tcBorders>
              <w:bottom w:val="single" w:sz="4" w:space="0" w:color="auto"/>
            </w:tcBorders>
          </w:tcPr>
          <w:p w:rsidR="0031269C" w:rsidRPr="00DB6883" w:rsidRDefault="0031269C" w:rsidP="004B04D7">
            <w:pPr>
              <w:tabs>
                <w:tab w:val="left" w:pos="624"/>
                <w:tab w:val="left" w:pos="1871"/>
                <w:tab w:val="left" w:pos="2495"/>
                <w:tab w:val="left" w:pos="3119"/>
              </w:tabs>
              <w:rPr>
                <w:noProof/>
                <w:sz w:val="18"/>
              </w:rPr>
            </w:pPr>
          </w:p>
        </w:tc>
        <w:tc>
          <w:tcPr>
            <w:tcW w:w="4680" w:type="dxa"/>
            <w:gridSpan w:val="2"/>
            <w:tcBorders>
              <w:bottom w:val="single" w:sz="4" w:space="0" w:color="auto"/>
            </w:tcBorders>
          </w:tcPr>
          <w:p w:rsidR="0031269C" w:rsidRPr="00DB6883" w:rsidRDefault="0031269C" w:rsidP="004B04D7">
            <w:pPr>
              <w:tabs>
                <w:tab w:val="left" w:pos="624"/>
                <w:tab w:val="left" w:pos="1871"/>
                <w:tab w:val="left" w:pos="2495"/>
                <w:tab w:val="left" w:pos="3119"/>
              </w:tabs>
              <w:rPr>
                <w:noProof/>
                <w:sz w:val="18"/>
              </w:rPr>
            </w:pPr>
          </w:p>
        </w:tc>
        <w:tc>
          <w:tcPr>
            <w:tcW w:w="3318" w:type="dxa"/>
            <w:tcBorders>
              <w:bottom w:val="single" w:sz="4" w:space="0" w:color="auto"/>
            </w:tcBorders>
          </w:tcPr>
          <w:p w:rsidR="0031269C" w:rsidRPr="00DB6883" w:rsidRDefault="0031269C" w:rsidP="0010641C">
            <w:pPr>
              <w:tabs>
                <w:tab w:val="left" w:pos="624"/>
                <w:tab w:val="left" w:pos="1871"/>
                <w:tab w:val="left" w:pos="2495"/>
                <w:tab w:val="left" w:pos="3119"/>
              </w:tabs>
              <w:rPr>
                <w:noProof/>
                <w:sz w:val="18"/>
              </w:rPr>
            </w:pPr>
            <w:r w:rsidRPr="00DB6883">
              <w:rPr>
                <w:b/>
                <w:sz w:val="28"/>
              </w:rPr>
              <w:t>UNEP</w:t>
            </w:r>
            <w:r w:rsidR="00210198" w:rsidRPr="00DB6883">
              <w:t>/OzL.Conv.11/</w:t>
            </w:r>
            <w:r w:rsidR="00F845F5" w:rsidRPr="00DB6883">
              <w:t>7</w:t>
            </w:r>
            <w:r w:rsidR="00EF63D8" w:rsidRPr="00DB6883">
              <w:sym w:font="Symbol" w:char="F02D"/>
            </w:r>
            <w:r w:rsidR="0010641C">
              <w:br/>
            </w:r>
            <w:r w:rsidRPr="00E861A7">
              <w:rPr>
                <w:b/>
                <w:sz w:val="28"/>
                <w:szCs w:val="28"/>
              </w:rPr>
              <w:t>UNEP</w:t>
            </w:r>
            <w:r w:rsidR="00210198" w:rsidRPr="00E861A7">
              <w:t>/OzL.Pro.29/</w:t>
            </w:r>
            <w:r w:rsidR="00F845F5" w:rsidRPr="00DB6883">
              <w:t>8</w:t>
            </w:r>
          </w:p>
        </w:tc>
      </w:tr>
      <w:bookmarkStart w:id="1" w:name="_MON_1381242272"/>
      <w:bookmarkEnd w:id="1"/>
      <w:tr w:rsidR="0031269C" w:rsidRPr="00DB6883" w:rsidTr="00210198">
        <w:trPr>
          <w:cantSplit/>
          <w:trHeight w:val="2219"/>
          <w:jc w:val="right"/>
        </w:trPr>
        <w:tc>
          <w:tcPr>
            <w:tcW w:w="1498" w:type="dxa"/>
            <w:tcBorders>
              <w:top w:val="single" w:sz="4" w:space="0" w:color="auto"/>
              <w:bottom w:val="single" w:sz="24" w:space="0" w:color="auto"/>
            </w:tcBorders>
          </w:tcPr>
          <w:p w:rsidR="0031269C" w:rsidRPr="00DB6883" w:rsidRDefault="0031269C" w:rsidP="004B04D7">
            <w:pPr>
              <w:tabs>
                <w:tab w:val="left" w:pos="624"/>
                <w:tab w:val="left" w:pos="1871"/>
                <w:tab w:val="left" w:pos="2495"/>
                <w:tab w:val="left" w:pos="3119"/>
              </w:tabs>
            </w:pPr>
            <w:r w:rsidRPr="00F65FC9">
              <w:rPr>
                <w:noProof/>
              </w:rPr>
              <w:object w:dxaOrig="1831" w:dyaOrig="1726" w14:anchorId="300624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65.4pt" o:ole="" fillcolor="window">
                  <v:imagedata r:id="rId9" o:title=""/>
                </v:shape>
                <o:OLEObject Type="Embed" ProgID="Word.Picture.8" ShapeID="_x0000_i1025" DrawAspect="Content" ObjectID="_1579608812" r:id="rId10"/>
              </w:object>
            </w:r>
            <w:r w:rsidRPr="00F65FC9">
              <w:rPr>
                <w:noProof/>
                <w:lang w:val="en-US"/>
              </w:rPr>
              <w:drawing>
                <wp:inline distT="0" distB="0" distL="0" distR="0" wp14:anchorId="76ADDCB9" wp14:editId="06F9965A">
                  <wp:extent cx="71437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762000"/>
                          </a:xfrm>
                          <a:prstGeom prst="rect">
                            <a:avLst/>
                          </a:prstGeom>
                          <a:noFill/>
                          <a:ln>
                            <a:noFill/>
                          </a:ln>
                        </pic:spPr>
                      </pic:pic>
                    </a:graphicData>
                  </a:graphic>
                </wp:inline>
              </w:drawing>
            </w:r>
          </w:p>
        </w:tc>
        <w:tc>
          <w:tcPr>
            <w:tcW w:w="4680" w:type="dxa"/>
            <w:gridSpan w:val="2"/>
            <w:tcBorders>
              <w:top w:val="single" w:sz="4" w:space="0" w:color="auto"/>
              <w:bottom w:val="single" w:sz="24" w:space="0" w:color="auto"/>
            </w:tcBorders>
          </w:tcPr>
          <w:p w:rsidR="0031269C" w:rsidRPr="00DB6883" w:rsidRDefault="0031269C" w:rsidP="004B04D7">
            <w:pPr>
              <w:tabs>
                <w:tab w:val="left" w:pos="624"/>
                <w:tab w:val="left" w:pos="1871"/>
                <w:tab w:val="left" w:pos="2495"/>
                <w:tab w:val="left" w:pos="3119"/>
              </w:tabs>
              <w:spacing w:before="1400"/>
              <w:rPr>
                <w:rFonts w:ascii="Univers" w:hAnsi="Univers"/>
                <w:b/>
                <w:sz w:val="28"/>
              </w:rPr>
            </w:pPr>
            <w:r w:rsidRPr="00DB6883">
              <w:rPr>
                <w:rFonts w:ascii="Arial" w:hAnsi="Arial" w:cs="Arial"/>
                <w:b/>
                <w:sz w:val="28"/>
                <w:szCs w:val="28"/>
              </w:rPr>
              <w:t>United Nations</w:t>
            </w:r>
            <w:r w:rsidRPr="00DB6883">
              <w:rPr>
                <w:rFonts w:ascii="Arial" w:hAnsi="Arial" w:cs="Arial"/>
                <w:b/>
                <w:sz w:val="28"/>
                <w:szCs w:val="28"/>
              </w:rPr>
              <w:br/>
              <w:t xml:space="preserve">Environment </w:t>
            </w:r>
            <w:r w:rsidRPr="00DB6883">
              <w:rPr>
                <w:rFonts w:ascii="Arial" w:hAnsi="Arial" w:cs="Arial"/>
                <w:b/>
                <w:sz w:val="28"/>
                <w:szCs w:val="28"/>
              </w:rPr>
              <w:br/>
              <w:t>Programme</w:t>
            </w:r>
          </w:p>
        </w:tc>
        <w:tc>
          <w:tcPr>
            <w:tcW w:w="3318" w:type="dxa"/>
            <w:tcBorders>
              <w:top w:val="single" w:sz="4" w:space="0" w:color="auto"/>
              <w:bottom w:val="single" w:sz="24" w:space="0" w:color="auto"/>
            </w:tcBorders>
          </w:tcPr>
          <w:p w:rsidR="0031269C" w:rsidRPr="00DB6883" w:rsidRDefault="0031269C" w:rsidP="004B04D7">
            <w:pPr>
              <w:tabs>
                <w:tab w:val="left" w:pos="624"/>
                <w:tab w:val="left" w:pos="1871"/>
                <w:tab w:val="left" w:pos="2495"/>
                <w:tab w:val="left" w:pos="3119"/>
              </w:tabs>
              <w:spacing w:before="120"/>
            </w:pPr>
            <w:r w:rsidRPr="00DB6883">
              <w:t xml:space="preserve">Distr.: </w:t>
            </w:r>
            <w:r w:rsidR="00F845F5" w:rsidRPr="00DB6883">
              <w:t>General</w:t>
            </w:r>
            <w:r w:rsidRPr="00DB6883">
              <w:br/>
            </w:r>
            <w:r w:rsidR="006B5CD4">
              <w:t>4 December</w:t>
            </w:r>
            <w:r w:rsidR="00210198" w:rsidRPr="00DB6883">
              <w:t xml:space="preserve"> </w:t>
            </w:r>
            <w:r w:rsidRPr="00DB6883">
              <w:t>2017</w:t>
            </w:r>
          </w:p>
          <w:p w:rsidR="0031269C" w:rsidRPr="00DB6883" w:rsidRDefault="0031269C" w:rsidP="004B04D7">
            <w:pPr>
              <w:tabs>
                <w:tab w:val="left" w:pos="624"/>
                <w:tab w:val="left" w:pos="1871"/>
                <w:tab w:val="left" w:pos="2495"/>
                <w:tab w:val="left" w:pos="3119"/>
              </w:tabs>
              <w:spacing w:before="120"/>
            </w:pPr>
            <w:r w:rsidRPr="00DB6883">
              <w:t>Original: English</w:t>
            </w:r>
          </w:p>
        </w:tc>
      </w:tr>
      <w:tr w:rsidR="0031269C" w:rsidRPr="00DB6883" w:rsidTr="00210198">
        <w:trPr>
          <w:cantSplit/>
          <w:trHeight w:val="820"/>
          <w:jc w:val="right"/>
        </w:trPr>
        <w:tc>
          <w:tcPr>
            <w:tcW w:w="4750" w:type="dxa"/>
            <w:gridSpan w:val="2"/>
            <w:tcBorders>
              <w:top w:val="single" w:sz="24" w:space="0" w:color="auto"/>
            </w:tcBorders>
          </w:tcPr>
          <w:p w:rsidR="0031269C" w:rsidRPr="00DB6883" w:rsidRDefault="0031269C" w:rsidP="004B04D7">
            <w:pPr>
              <w:tabs>
                <w:tab w:val="left" w:pos="624"/>
                <w:tab w:val="left" w:pos="1871"/>
                <w:tab w:val="left" w:pos="2495"/>
                <w:tab w:val="left" w:pos="3119"/>
              </w:tabs>
            </w:pPr>
            <w:r w:rsidRPr="00DB6883">
              <w:rPr>
                <w:b/>
                <w:bCs/>
                <w:color w:val="000000"/>
              </w:rPr>
              <w:t xml:space="preserve">Eleventh </w:t>
            </w:r>
            <w:r w:rsidR="0074431D" w:rsidRPr="00DB6883">
              <w:rPr>
                <w:b/>
                <w:bCs/>
                <w:color w:val="000000"/>
              </w:rPr>
              <w:t>m</w:t>
            </w:r>
            <w:r w:rsidRPr="00DB6883">
              <w:rPr>
                <w:b/>
                <w:bCs/>
                <w:color w:val="000000"/>
              </w:rPr>
              <w:t xml:space="preserve">eeting of the Conference of </w:t>
            </w:r>
            <w:r w:rsidRPr="00DB6883">
              <w:rPr>
                <w:b/>
                <w:bCs/>
                <w:color w:val="000000"/>
              </w:rPr>
              <w:br/>
              <w:t xml:space="preserve">the Parties to the Vienna Convention </w:t>
            </w:r>
            <w:r w:rsidRPr="00DB6883">
              <w:rPr>
                <w:b/>
                <w:bCs/>
                <w:color w:val="000000"/>
              </w:rPr>
              <w:br/>
              <w:t>for the Protection of the Ozone Layer</w:t>
            </w:r>
          </w:p>
        </w:tc>
        <w:tc>
          <w:tcPr>
            <w:tcW w:w="4746" w:type="dxa"/>
            <w:gridSpan w:val="2"/>
            <w:tcBorders>
              <w:top w:val="single" w:sz="24" w:space="0" w:color="auto"/>
            </w:tcBorders>
          </w:tcPr>
          <w:p w:rsidR="0031269C" w:rsidRPr="00DB6883" w:rsidRDefault="0031269C" w:rsidP="004B04D7">
            <w:pPr>
              <w:tabs>
                <w:tab w:val="left" w:pos="624"/>
                <w:tab w:val="left" w:pos="1871"/>
                <w:tab w:val="left" w:pos="2495"/>
                <w:tab w:val="left" w:pos="3119"/>
              </w:tabs>
            </w:pPr>
            <w:r w:rsidRPr="00DB6883">
              <w:rPr>
                <w:b/>
                <w:bCs/>
                <w:color w:val="000000"/>
              </w:rPr>
              <w:t xml:space="preserve">Twenty-Ninth Meeting of the Parties to </w:t>
            </w:r>
            <w:r w:rsidRPr="00DB6883">
              <w:rPr>
                <w:b/>
                <w:bCs/>
                <w:color w:val="000000"/>
              </w:rPr>
              <w:br/>
              <w:t xml:space="preserve">the Montreal Protocol on Substances  </w:t>
            </w:r>
            <w:r w:rsidRPr="00DB6883">
              <w:rPr>
                <w:b/>
                <w:bCs/>
                <w:color w:val="000000"/>
              </w:rPr>
              <w:br/>
              <w:t>that Deplete the Ozone Layer</w:t>
            </w:r>
          </w:p>
        </w:tc>
      </w:tr>
      <w:tr w:rsidR="0031269C" w:rsidRPr="00DB6883" w:rsidTr="00210198">
        <w:trPr>
          <w:cantSplit/>
          <w:trHeight w:val="327"/>
          <w:jc w:val="right"/>
        </w:trPr>
        <w:tc>
          <w:tcPr>
            <w:tcW w:w="9496" w:type="dxa"/>
            <w:gridSpan w:val="4"/>
          </w:tcPr>
          <w:p w:rsidR="0031269C" w:rsidRPr="00DB6883" w:rsidRDefault="0031269C" w:rsidP="004B04D7">
            <w:pPr>
              <w:tabs>
                <w:tab w:val="left" w:pos="624"/>
                <w:tab w:val="left" w:pos="1871"/>
                <w:tab w:val="left" w:pos="2495"/>
                <w:tab w:val="left" w:pos="3119"/>
              </w:tabs>
              <w:spacing w:before="40" w:after="40"/>
              <w:jc w:val="center"/>
              <w:rPr>
                <w:b/>
                <w:bCs/>
                <w:color w:val="000000"/>
              </w:rPr>
            </w:pPr>
            <w:r w:rsidRPr="00DB6883">
              <w:t xml:space="preserve">Montreal, </w:t>
            </w:r>
            <w:r w:rsidR="0074431D" w:rsidRPr="00DB6883">
              <w:t xml:space="preserve">Canada, </w:t>
            </w:r>
            <w:r w:rsidRPr="00DB6883">
              <w:t>20–24 November 2017</w:t>
            </w:r>
          </w:p>
        </w:tc>
      </w:tr>
    </w:tbl>
    <w:p w:rsidR="00210198" w:rsidRPr="00DB6883" w:rsidRDefault="00F845F5" w:rsidP="009E7709">
      <w:pPr>
        <w:pStyle w:val="BBTitle"/>
      </w:pPr>
      <w:r w:rsidRPr="00DB6883">
        <w:t>R</w:t>
      </w:r>
      <w:r w:rsidR="00210198" w:rsidRPr="00DB6883">
        <w:t xml:space="preserve">eport of the </w:t>
      </w:r>
      <w:r w:rsidR="00AA55BD" w:rsidRPr="00DB6883">
        <w:t xml:space="preserve">combined </w:t>
      </w:r>
      <w:r w:rsidR="002576DC" w:rsidRPr="00DB6883">
        <w:t>e</w:t>
      </w:r>
      <w:r w:rsidR="00210198" w:rsidRPr="00DB6883">
        <w:rPr>
          <w:bCs/>
          <w:color w:val="000000"/>
        </w:rPr>
        <w:t>leventh meeting of the Conference of</w:t>
      </w:r>
      <w:r w:rsidR="00E642EA" w:rsidRPr="00DB6883">
        <w:rPr>
          <w:bCs/>
          <w:color w:val="000000"/>
        </w:rPr>
        <w:t xml:space="preserve"> </w:t>
      </w:r>
      <w:r w:rsidR="00210198" w:rsidRPr="00DB6883">
        <w:rPr>
          <w:bCs/>
          <w:color w:val="000000"/>
        </w:rPr>
        <w:t>the Parties to the Vienna Convention for the Protection of the Ozone Layer</w:t>
      </w:r>
      <w:r w:rsidR="00210198" w:rsidRPr="00DB6883">
        <w:t xml:space="preserve"> and the Twenty-Ninth Meeting of the Parties to the Montreal Protocol on Substances that Deplete the Ozone Layer</w:t>
      </w:r>
    </w:p>
    <w:p w:rsidR="00210198" w:rsidRPr="00DB6883" w:rsidRDefault="00210198" w:rsidP="009E7709">
      <w:pPr>
        <w:pStyle w:val="CH1"/>
      </w:pPr>
      <w:r w:rsidRPr="00DB6883">
        <w:tab/>
      </w:r>
      <w:r w:rsidR="00937E4E" w:rsidRPr="00DB6883">
        <w:tab/>
      </w:r>
      <w:r w:rsidRPr="00DB6883">
        <w:t>Introduction</w:t>
      </w:r>
    </w:p>
    <w:p w:rsidR="00210198" w:rsidRPr="00DB6883" w:rsidRDefault="00210198" w:rsidP="00830585">
      <w:pPr>
        <w:pStyle w:val="Normalnumber"/>
        <w:tabs>
          <w:tab w:val="clear" w:pos="567"/>
          <w:tab w:val="clear" w:pos="1247"/>
          <w:tab w:val="clear" w:pos="1814"/>
          <w:tab w:val="clear" w:pos="2381"/>
          <w:tab w:val="clear" w:pos="2948"/>
          <w:tab w:val="clear" w:pos="3515"/>
          <w:tab w:val="left" w:pos="624"/>
        </w:tabs>
      </w:pPr>
      <w:r w:rsidRPr="00DB6883">
        <w:t>The combined eleventh meeting of the Conference of the Parties to the Vienna Convention</w:t>
      </w:r>
      <w:r w:rsidR="002576DC" w:rsidRPr="00DB6883">
        <w:t xml:space="preserve"> for the Protection of the Ozone Layer</w:t>
      </w:r>
      <w:r w:rsidRPr="00DB6883">
        <w:t xml:space="preserve"> and </w:t>
      </w:r>
      <w:r w:rsidR="002576DC" w:rsidRPr="00DB6883">
        <w:t xml:space="preserve">the </w:t>
      </w:r>
      <w:r w:rsidRPr="00DB6883">
        <w:t xml:space="preserve">Twenty-Ninth Meeting of the Parties to the Montreal Protocol </w:t>
      </w:r>
      <w:r w:rsidR="002576DC" w:rsidRPr="00DB6883">
        <w:t xml:space="preserve">on Substances that Deplete the Ozone Layer </w:t>
      </w:r>
      <w:r w:rsidR="0031602F" w:rsidRPr="00DB6883">
        <w:t>were</w:t>
      </w:r>
      <w:r w:rsidRPr="00DB6883">
        <w:t xml:space="preserve"> held at the </w:t>
      </w:r>
      <w:r w:rsidR="002576DC" w:rsidRPr="00DB6883">
        <w:t xml:space="preserve">Conference Centre of the </w:t>
      </w:r>
      <w:r w:rsidRPr="00DB6883">
        <w:t>International Civil Aviation Organization</w:t>
      </w:r>
      <w:r w:rsidR="002576DC" w:rsidRPr="00DB6883">
        <w:t xml:space="preserve"> in Montreal, Canada,</w:t>
      </w:r>
      <w:r w:rsidRPr="00DB6883">
        <w:t xml:space="preserve"> from 20 to 24 November 2017. </w:t>
      </w:r>
    </w:p>
    <w:p w:rsidR="00210198" w:rsidRPr="00DB6883" w:rsidRDefault="00210198" w:rsidP="004E7D79">
      <w:pPr>
        <w:pStyle w:val="Normalnumber"/>
        <w:tabs>
          <w:tab w:val="clear" w:pos="1814"/>
          <w:tab w:val="clear" w:pos="2381"/>
          <w:tab w:val="clear" w:pos="2948"/>
          <w:tab w:val="clear" w:pos="3515"/>
          <w:tab w:val="left" w:pos="624"/>
          <w:tab w:val="left" w:pos="1871"/>
          <w:tab w:val="left" w:pos="2495"/>
          <w:tab w:val="left" w:pos="3119"/>
        </w:tabs>
      </w:pPr>
      <w:r w:rsidRPr="00DB6883">
        <w:t>The present report reflects the deliberations under the items included on the single agenda used for the combined meetings; any references to the current meeting should be understood to denote the combined meeting of the two bodies.</w:t>
      </w:r>
    </w:p>
    <w:p w:rsidR="00210198" w:rsidRPr="00DB6883" w:rsidRDefault="00210198" w:rsidP="009E7709">
      <w:pPr>
        <w:pStyle w:val="CH1"/>
      </w:pPr>
      <w:r w:rsidRPr="00DB6883">
        <w:tab/>
      </w:r>
      <w:r w:rsidR="00DC1520" w:rsidRPr="00DB6883">
        <w:tab/>
      </w:r>
      <w:r w:rsidRPr="00DB6883">
        <w:t xml:space="preserve">Part </w:t>
      </w:r>
      <w:r w:rsidR="002F2500" w:rsidRPr="00DB6883">
        <w:t>one</w:t>
      </w:r>
      <w:r w:rsidRPr="00DB6883">
        <w:t>: preparatory segment (20–2</w:t>
      </w:r>
      <w:r w:rsidR="009E60E8" w:rsidRPr="00DB6883">
        <w:t>2</w:t>
      </w:r>
      <w:r w:rsidRPr="00DB6883">
        <w:t xml:space="preserve"> November 2017)</w:t>
      </w:r>
    </w:p>
    <w:p w:rsidR="00210198" w:rsidRPr="00DB6883" w:rsidRDefault="009E7709" w:rsidP="009E7709">
      <w:pPr>
        <w:pStyle w:val="CH1"/>
      </w:pPr>
      <w:r w:rsidRPr="00DB6883">
        <w:tab/>
        <w:t>I.</w:t>
      </w:r>
      <w:r w:rsidRPr="00DB6883">
        <w:tab/>
      </w:r>
      <w:r w:rsidR="00210198" w:rsidRPr="00DB6883">
        <w:t>Opening of the preparatory segment</w:t>
      </w:r>
      <w:r w:rsidR="00210198" w:rsidRPr="00DB6883">
        <w:tab/>
      </w:r>
    </w:p>
    <w:p w:rsidR="00210198" w:rsidRPr="00DB6883" w:rsidRDefault="00210198" w:rsidP="004E7D79">
      <w:pPr>
        <w:pStyle w:val="Normalnumber"/>
        <w:tabs>
          <w:tab w:val="clear" w:pos="567"/>
          <w:tab w:val="clear" w:pos="1247"/>
          <w:tab w:val="clear" w:pos="1814"/>
          <w:tab w:val="clear" w:pos="2381"/>
          <w:tab w:val="clear" w:pos="2948"/>
          <w:tab w:val="clear" w:pos="3515"/>
          <w:tab w:val="left" w:pos="624"/>
        </w:tabs>
      </w:pPr>
      <w:r w:rsidRPr="00DB6883">
        <w:t xml:space="preserve">The preparatory segment was opened by its </w:t>
      </w:r>
      <w:r w:rsidR="00DE1CF2">
        <w:t>c</w:t>
      </w:r>
      <w:r w:rsidR="004C7A6D" w:rsidRPr="00DB6883">
        <w:t>o-</w:t>
      </w:r>
      <w:r w:rsidR="00DE1CF2">
        <w:t>c</w:t>
      </w:r>
      <w:r w:rsidR="00DE1CF2" w:rsidRPr="00DB6883">
        <w:t>hairs</w:t>
      </w:r>
      <w:r w:rsidRPr="00DB6883">
        <w:t xml:space="preserve">, </w:t>
      </w:r>
      <w:r w:rsidR="002576DC" w:rsidRPr="00DB6883">
        <w:t>Cheikh Ndiaye Sylla (Senegal) and Cynthia Newberg (United States of America)</w:t>
      </w:r>
      <w:r w:rsidRPr="00DB6883">
        <w:t xml:space="preserve">, on Monday, </w:t>
      </w:r>
      <w:r w:rsidR="000E7DB2" w:rsidRPr="00DB6883">
        <w:t>20 November 2017</w:t>
      </w:r>
      <w:r w:rsidRPr="00DB6883">
        <w:t>, at 10.</w:t>
      </w:r>
      <w:r w:rsidR="00B726DE" w:rsidRPr="00DB6883">
        <w:t>1</w:t>
      </w:r>
      <w:r w:rsidRPr="00DB6883">
        <w:t>0 a.m.</w:t>
      </w:r>
    </w:p>
    <w:p w:rsidR="00B726DE" w:rsidRPr="00DB6883" w:rsidRDefault="00B726DE" w:rsidP="004E7D79">
      <w:pPr>
        <w:pStyle w:val="Normalnumber"/>
        <w:tabs>
          <w:tab w:val="clear" w:pos="567"/>
          <w:tab w:val="clear" w:pos="1247"/>
          <w:tab w:val="clear" w:pos="1814"/>
          <w:tab w:val="clear" w:pos="2381"/>
          <w:tab w:val="clear" w:pos="2948"/>
          <w:tab w:val="clear" w:pos="3515"/>
          <w:tab w:val="left" w:pos="624"/>
        </w:tabs>
      </w:pPr>
      <w:r w:rsidRPr="00DB6883">
        <w:t>The parties were led in prayer by an elder from the community of Kanehsatà</w:t>
      </w:r>
      <w:proofErr w:type="gramStart"/>
      <w:r w:rsidRPr="00DB6883">
        <w:t>:ke</w:t>
      </w:r>
      <w:proofErr w:type="gramEnd"/>
      <w:r w:rsidRPr="00DB6883">
        <w:t xml:space="preserve">, representing the Mohawk </w:t>
      </w:r>
      <w:r w:rsidR="006420D4" w:rsidRPr="00DB6883">
        <w:t>nation</w:t>
      </w:r>
      <w:r w:rsidRPr="00DB6883">
        <w:t>. He then presented the Minister of Environment and Climate Change of Canada, Catherine McKenna, with a gift of a</w:t>
      </w:r>
      <w:r w:rsidR="00E86D36" w:rsidRPr="00DB6883">
        <w:t xml:space="preserve"> piece of artwork representing</w:t>
      </w:r>
      <w:r w:rsidRPr="00DB6883">
        <w:t xml:space="preserve"> the Tree of Life.</w:t>
      </w:r>
    </w:p>
    <w:p w:rsidR="00210198" w:rsidRPr="00DB6883" w:rsidRDefault="00B726DE" w:rsidP="004E7D79">
      <w:pPr>
        <w:pStyle w:val="Normalnumber"/>
        <w:tabs>
          <w:tab w:val="clear" w:pos="567"/>
          <w:tab w:val="clear" w:pos="1247"/>
          <w:tab w:val="clear" w:pos="1814"/>
          <w:tab w:val="clear" w:pos="2381"/>
          <w:tab w:val="clear" w:pos="2948"/>
          <w:tab w:val="clear" w:pos="3515"/>
          <w:tab w:val="left" w:pos="624"/>
        </w:tabs>
      </w:pPr>
      <w:r w:rsidRPr="00DB6883">
        <w:t>Opening remarks were delivered by Ms. McKenna</w:t>
      </w:r>
      <w:r w:rsidR="002D7B64" w:rsidRPr="00DB6883">
        <w:t>,</w:t>
      </w:r>
      <w:r w:rsidRPr="00DB6883">
        <w:t xml:space="preserve"> the former Prime Minister of Canada, Brian</w:t>
      </w:r>
      <w:r w:rsidR="009E7709" w:rsidRPr="00DB6883">
        <w:t> </w:t>
      </w:r>
      <w:r w:rsidRPr="00DB6883">
        <w:t>Mulroney, and the Executive Secretary of the Ozone Secretariat, Tina Birmpili</w:t>
      </w:r>
      <w:r w:rsidR="002576DC" w:rsidRPr="00DB6883">
        <w:t>.</w:t>
      </w:r>
    </w:p>
    <w:p w:rsidR="004D7051" w:rsidRPr="00DB6883" w:rsidRDefault="004D7051" w:rsidP="004E7D79">
      <w:pPr>
        <w:pStyle w:val="Normalnumber"/>
        <w:tabs>
          <w:tab w:val="clear" w:pos="567"/>
          <w:tab w:val="clear" w:pos="1247"/>
          <w:tab w:val="clear" w:pos="1814"/>
          <w:tab w:val="clear" w:pos="2381"/>
          <w:tab w:val="clear" w:pos="2948"/>
          <w:tab w:val="clear" w:pos="3515"/>
          <w:tab w:val="left" w:pos="624"/>
        </w:tabs>
      </w:pPr>
      <w:r w:rsidRPr="00DB6883">
        <w:t>In her</w:t>
      </w:r>
      <w:r w:rsidR="002576DC" w:rsidRPr="00DB6883">
        <w:t xml:space="preserve"> statement</w:t>
      </w:r>
      <w:r w:rsidRPr="00DB6883">
        <w:t xml:space="preserve">, Ms. </w:t>
      </w:r>
      <w:r w:rsidR="002576DC" w:rsidRPr="00DB6883">
        <w:t>McKenna</w:t>
      </w:r>
      <w:r w:rsidRPr="00DB6883">
        <w:t xml:space="preserve"> acknowledg</w:t>
      </w:r>
      <w:r w:rsidR="00C92F56" w:rsidRPr="00DB6883">
        <w:t>ed</w:t>
      </w:r>
      <w:r w:rsidRPr="00DB6883">
        <w:t xml:space="preserve"> the thirtieth anniversary of the Montreal Protocol, </w:t>
      </w:r>
      <w:r w:rsidR="00C92F56" w:rsidRPr="00DB6883">
        <w:t>terming it</w:t>
      </w:r>
      <w:r w:rsidRPr="00DB6883">
        <w:t xml:space="preserve"> the most successful international environmental treaty and likely </w:t>
      </w:r>
      <w:r w:rsidR="00DE2C19" w:rsidRPr="00DB6883">
        <w:t xml:space="preserve">to be </w:t>
      </w:r>
      <w:r w:rsidRPr="00DB6883">
        <w:t xml:space="preserve">the most successful international treaty ever. </w:t>
      </w:r>
      <w:r w:rsidR="00A170F4" w:rsidRPr="00DB6883">
        <w:t>Between 1987 and</w:t>
      </w:r>
      <w:r w:rsidRPr="00DB6883">
        <w:t xml:space="preserve"> 2010, the Protocol had led to the elimination </w:t>
      </w:r>
      <w:r w:rsidR="005714D4" w:rsidRPr="00DB6883">
        <w:t xml:space="preserve">of more than </w:t>
      </w:r>
      <w:r w:rsidRPr="00DB6883">
        <w:t xml:space="preserve">135 billion tonnes of carbon dioxide equivalent and the phase-out of </w:t>
      </w:r>
      <w:r w:rsidR="00C403BA" w:rsidRPr="00DB6883">
        <w:t xml:space="preserve">close to </w:t>
      </w:r>
      <w:r w:rsidRPr="00DB6883">
        <w:t>100</w:t>
      </w:r>
      <w:r w:rsidR="00EF63D8" w:rsidRPr="00DB6883">
        <w:t> </w:t>
      </w:r>
      <w:r w:rsidRPr="00DB6883">
        <w:t>ozone</w:t>
      </w:r>
      <w:r w:rsidR="00F90E99" w:rsidRPr="00DB6883">
        <w:noBreakHyphen/>
      </w:r>
      <w:r w:rsidRPr="00DB6883">
        <w:t xml:space="preserve">depleting substances, and the ozone layer was healing. For countries endeavouring to tackle climate change, the Protocol carried the message of the importance of good science, of listening to </w:t>
      </w:r>
      <w:r w:rsidRPr="00DB6883">
        <w:lastRenderedPageBreak/>
        <w:t>experts, of innovation and</w:t>
      </w:r>
      <w:r w:rsidR="005714D4" w:rsidRPr="00DB6883">
        <w:t>,</w:t>
      </w:r>
      <w:r w:rsidRPr="00DB6883">
        <w:t xml:space="preserve"> most importantly, of leadership, and ultimately, the message that solutions could be found.</w:t>
      </w:r>
    </w:p>
    <w:p w:rsidR="004D7051" w:rsidRPr="00DB6883" w:rsidRDefault="005714D4" w:rsidP="004E7D79">
      <w:pPr>
        <w:pStyle w:val="Normalnumber"/>
        <w:tabs>
          <w:tab w:val="clear" w:pos="567"/>
          <w:tab w:val="clear" w:pos="1247"/>
          <w:tab w:val="clear" w:pos="1814"/>
          <w:tab w:val="clear" w:pos="2381"/>
          <w:tab w:val="clear" w:pos="2948"/>
          <w:tab w:val="clear" w:pos="3515"/>
          <w:tab w:val="left" w:pos="624"/>
        </w:tabs>
      </w:pPr>
      <w:r w:rsidRPr="00DB6883">
        <w:t>She</w:t>
      </w:r>
      <w:r w:rsidR="004D7051" w:rsidRPr="00DB6883">
        <w:t xml:space="preserve"> announce</w:t>
      </w:r>
      <w:r w:rsidRPr="00DB6883">
        <w:t>d</w:t>
      </w:r>
      <w:r w:rsidR="004D7051" w:rsidRPr="00DB6883">
        <w:t xml:space="preserve"> that the Kigali Amendment had </w:t>
      </w:r>
      <w:r w:rsidRPr="00DB6883">
        <w:t>obtained</w:t>
      </w:r>
      <w:r w:rsidR="004D7051" w:rsidRPr="00DB6883">
        <w:t xml:space="preserve"> the 20 ratification</w:t>
      </w:r>
      <w:r w:rsidRPr="00DB6883">
        <w:t>s</w:t>
      </w:r>
      <w:r w:rsidR="004D7051" w:rsidRPr="00DB6883">
        <w:t xml:space="preserve"> </w:t>
      </w:r>
      <w:r w:rsidRPr="00DB6883">
        <w:t>that</w:t>
      </w:r>
      <w:r w:rsidR="004D7051" w:rsidRPr="00DB6883">
        <w:t xml:space="preserve"> it required to </w:t>
      </w:r>
      <w:r w:rsidR="007357C8" w:rsidRPr="00DB6883">
        <w:t>enter</w:t>
      </w:r>
      <w:r w:rsidR="004D7051" w:rsidRPr="00DB6883">
        <w:t xml:space="preserve"> into force</w:t>
      </w:r>
      <w:r w:rsidR="007357C8" w:rsidRPr="00DB6883">
        <w:t>, and</w:t>
      </w:r>
      <w:r w:rsidR="004D7051" w:rsidRPr="00DB6883">
        <w:t xml:space="preserve"> more </w:t>
      </w:r>
      <w:r w:rsidR="007357C8" w:rsidRPr="00DB6883">
        <w:t>swiftly</w:t>
      </w:r>
      <w:r w:rsidR="004D7051" w:rsidRPr="00DB6883">
        <w:t xml:space="preserve"> than expected. The Amendment was particularly important because the global community was </w:t>
      </w:r>
      <w:r w:rsidR="007357C8" w:rsidRPr="00DB6883">
        <w:t>endeavouring</w:t>
      </w:r>
      <w:r w:rsidR="004D7051" w:rsidRPr="00DB6883">
        <w:t xml:space="preserve"> to keep global warming well below 2°C, and the </w:t>
      </w:r>
      <w:r w:rsidR="00742AEA" w:rsidRPr="00DB6883">
        <w:t xml:space="preserve">work undertaken under the </w:t>
      </w:r>
      <w:r w:rsidR="007357C8" w:rsidRPr="00DB6883">
        <w:t xml:space="preserve">Amendment </w:t>
      </w:r>
      <w:r w:rsidR="00742AEA" w:rsidRPr="00DB6883">
        <w:t xml:space="preserve">would </w:t>
      </w:r>
      <w:r w:rsidR="004D7051" w:rsidRPr="00DB6883">
        <w:t>represent</w:t>
      </w:r>
      <w:r w:rsidR="00742AEA" w:rsidRPr="00DB6883">
        <w:t xml:space="preserve"> a reduction of</w:t>
      </w:r>
      <w:r w:rsidR="004D7051" w:rsidRPr="00DB6883">
        <w:t xml:space="preserve"> 0.5°C or more </w:t>
      </w:r>
      <w:r w:rsidR="00B92B52" w:rsidRPr="00DB6883">
        <w:t xml:space="preserve">in the level </w:t>
      </w:r>
      <w:r w:rsidR="004D7051" w:rsidRPr="00DB6883">
        <w:t xml:space="preserve">of warming. If the world was </w:t>
      </w:r>
      <w:r w:rsidR="001B75ED" w:rsidRPr="00DB6883">
        <w:t xml:space="preserve">truly </w:t>
      </w:r>
      <w:r w:rsidR="0063244C" w:rsidRPr="00DB6883">
        <w:t>determined to</w:t>
      </w:r>
      <w:r w:rsidR="004D7051" w:rsidRPr="00DB6883">
        <w:t xml:space="preserve"> keep </w:t>
      </w:r>
      <w:r w:rsidR="00DE2DEC" w:rsidRPr="00DB6883">
        <w:t xml:space="preserve">any rise in </w:t>
      </w:r>
      <w:r w:rsidR="004D7051" w:rsidRPr="00DB6883">
        <w:t>temperature below 2°C, it would</w:t>
      </w:r>
      <w:r w:rsidR="007357C8" w:rsidRPr="00DB6883">
        <w:t>, in particular,</w:t>
      </w:r>
      <w:r w:rsidR="004D7051" w:rsidRPr="00DB6883">
        <w:t xml:space="preserve"> have to stop using thermal coal; Canada had </w:t>
      </w:r>
      <w:r w:rsidR="007357C8" w:rsidRPr="00DB6883">
        <w:t>begun to</w:t>
      </w:r>
      <w:r w:rsidR="004D7051" w:rsidRPr="00DB6883">
        <w:t xml:space="preserve"> phas</w:t>
      </w:r>
      <w:r w:rsidR="007357C8" w:rsidRPr="00DB6883">
        <w:t>e</w:t>
      </w:r>
      <w:r w:rsidR="004D7051" w:rsidRPr="00DB6883">
        <w:t xml:space="preserve"> out coal and was taking other steps to put a price on pollution and foster innovation. Renewable energy sources such as solar and wind power were competitive with or </w:t>
      </w:r>
      <w:r w:rsidR="007357C8" w:rsidRPr="00DB6883">
        <w:t>less expensive</w:t>
      </w:r>
      <w:r w:rsidR="004D7051" w:rsidRPr="00DB6883">
        <w:t xml:space="preserve"> than coal, and those </w:t>
      </w:r>
      <w:r w:rsidR="007357C8" w:rsidRPr="00DB6883">
        <w:t>countries that</w:t>
      </w:r>
      <w:r w:rsidR="004D7051" w:rsidRPr="00DB6883">
        <w:t xml:space="preserve"> had not yet done so </w:t>
      </w:r>
      <w:r w:rsidR="007357C8" w:rsidRPr="00DB6883">
        <w:t>should</w:t>
      </w:r>
      <w:r w:rsidR="004D7051" w:rsidRPr="00DB6883">
        <w:t xml:space="preserve"> join the </w:t>
      </w:r>
      <w:r w:rsidR="007357C8" w:rsidRPr="00DB6883">
        <w:t xml:space="preserve">Powering Past Coal alliance, announced at the twenty-third session of the Conference of the Parties to the United Nations Framework </w:t>
      </w:r>
      <w:r w:rsidR="00615352" w:rsidRPr="00DB6883">
        <w:t>Convention</w:t>
      </w:r>
      <w:r w:rsidR="007357C8" w:rsidRPr="00DB6883">
        <w:t xml:space="preserve"> on Climate Change, held in Bonn, Germany, in November 2017</w:t>
      </w:r>
      <w:r w:rsidR="00615352" w:rsidRPr="00DB6883">
        <w:t>,</w:t>
      </w:r>
      <w:r w:rsidR="007357C8" w:rsidRPr="00DB6883">
        <w:t xml:space="preserve"> and co-founded by Canada</w:t>
      </w:r>
      <w:r w:rsidR="004D7051" w:rsidRPr="00DB6883">
        <w:t xml:space="preserve">. </w:t>
      </w:r>
    </w:p>
    <w:p w:rsidR="004D7051" w:rsidRPr="00DB6883" w:rsidRDefault="004D7051" w:rsidP="004E7D79">
      <w:pPr>
        <w:pStyle w:val="Normalnumber"/>
        <w:tabs>
          <w:tab w:val="clear" w:pos="567"/>
          <w:tab w:val="clear" w:pos="1247"/>
          <w:tab w:val="clear" w:pos="1814"/>
          <w:tab w:val="clear" w:pos="2381"/>
          <w:tab w:val="clear" w:pos="2948"/>
          <w:tab w:val="clear" w:pos="3515"/>
          <w:tab w:val="left" w:pos="624"/>
        </w:tabs>
      </w:pPr>
      <w:r w:rsidRPr="00DB6883">
        <w:t>Mr.</w:t>
      </w:r>
      <w:r w:rsidR="00F6300A" w:rsidRPr="00DB6883">
        <w:t xml:space="preserve"> Mulroney</w:t>
      </w:r>
      <w:r w:rsidRPr="00DB6883">
        <w:t>, in his statement, welcomed the opportunity to help</w:t>
      </w:r>
      <w:r w:rsidR="00ED44D7" w:rsidRPr="00DB6883">
        <w:t xml:space="preserve"> to</w:t>
      </w:r>
      <w:r w:rsidRPr="00DB6883">
        <w:t xml:space="preserve"> celebrate the thirtieth anniversary of the Montreal Protocol. The only </w:t>
      </w:r>
      <w:r w:rsidR="00C94EA7" w:rsidRPr="00DB6883">
        <w:t xml:space="preserve">agreement under the auspices of the </w:t>
      </w:r>
      <w:r w:rsidRPr="00DB6883">
        <w:t>United Nations</w:t>
      </w:r>
      <w:r w:rsidR="00C94EA7" w:rsidRPr="00DB6883">
        <w:t xml:space="preserve"> to have attained universal ratification</w:t>
      </w:r>
      <w:r w:rsidRPr="00DB6883">
        <w:t xml:space="preserve">, the Protocol had resulted from prioritized, proactive leadership </w:t>
      </w:r>
      <w:r w:rsidR="000C22D0" w:rsidRPr="00DB6883">
        <w:t>from</w:t>
      </w:r>
      <w:r w:rsidRPr="00DB6883">
        <w:t xml:space="preserve"> both the developed and the developing world. </w:t>
      </w:r>
      <w:r w:rsidR="00513373" w:rsidRPr="00DB6883">
        <w:t>T</w:t>
      </w:r>
      <w:r w:rsidRPr="00DB6883">
        <w:t xml:space="preserve">he Protocol </w:t>
      </w:r>
      <w:r w:rsidR="00513373" w:rsidRPr="00DB6883">
        <w:t xml:space="preserve">not only </w:t>
      </w:r>
      <w:r w:rsidR="00615352" w:rsidRPr="00DB6883">
        <w:t xml:space="preserve">had </w:t>
      </w:r>
      <w:r w:rsidRPr="00DB6883">
        <w:t xml:space="preserve">led to the elimination of </w:t>
      </w:r>
      <w:r w:rsidR="00513373" w:rsidRPr="00DB6883">
        <w:t>more than</w:t>
      </w:r>
      <w:r w:rsidRPr="00DB6883">
        <w:t xml:space="preserve"> 99 per cent of ozone-depleting substances, </w:t>
      </w:r>
      <w:r w:rsidR="00414C96" w:rsidRPr="00DB6883">
        <w:t>but</w:t>
      </w:r>
      <w:r w:rsidRPr="00DB6883">
        <w:t xml:space="preserve"> also </w:t>
      </w:r>
      <w:r w:rsidR="00615352" w:rsidRPr="00DB6883">
        <w:t xml:space="preserve">had </w:t>
      </w:r>
      <w:r w:rsidRPr="00DB6883">
        <w:t>avoided a quantity of greenhouse gas emissions five to six times higher than the target of the Kyoto Protocol</w:t>
      </w:r>
      <w:r w:rsidR="00245C5E" w:rsidRPr="00DB6883">
        <w:t xml:space="preserve"> to the United Nations Framework Convention on Climate Change</w:t>
      </w:r>
      <w:r w:rsidRPr="00DB6883">
        <w:t xml:space="preserve">, which represented a huge value-added benefit. </w:t>
      </w:r>
    </w:p>
    <w:p w:rsidR="00F6300A" w:rsidRPr="008F2AB5" w:rsidRDefault="007F60CB" w:rsidP="004E7D79">
      <w:pPr>
        <w:pStyle w:val="Normalnumber"/>
        <w:tabs>
          <w:tab w:val="clear" w:pos="567"/>
          <w:tab w:val="clear" w:pos="1247"/>
          <w:tab w:val="clear" w:pos="1814"/>
          <w:tab w:val="clear" w:pos="2381"/>
          <w:tab w:val="clear" w:pos="2948"/>
          <w:tab w:val="clear" w:pos="3515"/>
          <w:tab w:val="left" w:pos="624"/>
        </w:tabs>
      </w:pPr>
      <w:r w:rsidRPr="00DB6883">
        <w:t>After r</w:t>
      </w:r>
      <w:r w:rsidR="004D7051" w:rsidRPr="00DB6883">
        <w:t xml:space="preserve">eviewing the </w:t>
      </w:r>
      <w:r w:rsidR="004D7051" w:rsidRPr="00373731">
        <w:t>history of the</w:t>
      </w:r>
      <w:r w:rsidR="00615352" w:rsidRPr="00DB6883">
        <w:t xml:space="preserve"> Montreal</w:t>
      </w:r>
      <w:r w:rsidR="004D7051" w:rsidRPr="00DB6883">
        <w:t xml:space="preserve"> Protocol and the reasons for its success, </w:t>
      </w:r>
      <w:r w:rsidRPr="00DB6883">
        <w:t xml:space="preserve">he stressed that </w:t>
      </w:r>
      <w:r w:rsidR="004D7051" w:rsidRPr="00DB6883">
        <w:t>countries had a</w:t>
      </w:r>
      <w:r w:rsidR="00B64C61" w:rsidRPr="00DB6883">
        <w:t>n</w:t>
      </w:r>
      <w:r w:rsidR="004D7051" w:rsidRPr="00DB6883">
        <w:t xml:space="preserve"> historic opportunity to ratify the Kigali Amendment, </w:t>
      </w:r>
      <w:r w:rsidR="00F46A82" w:rsidRPr="00DB6883">
        <w:t xml:space="preserve">and their efforts </w:t>
      </w:r>
      <w:r w:rsidR="00733EAE" w:rsidRPr="00DB6883">
        <w:t>in that regard</w:t>
      </w:r>
      <w:r w:rsidR="00F46A82" w:rsidRPr="00DB6883">
        <w:t xml:space="preserve"> </w:t>
      </w:r>
      <w:r w:rsidR="004D7051" w:rsidRPr="00DB6883">
        <w:t xml:space="preserve">would make a </w:t>
      </w:r>
      <w:r w:rsidR="00F46A82" w:rsidRPr="00DB6883">
        <w:t>significant</w:t>
      </w:r>
      <w:r w:rsidR="004D7051" w:rsidRPr="00DB6883">
        <w:t xml:space="preserve"> contribution to achieving the goal of limiting global warming to 2°C and meeting the targets of the Paris Agreement. As had been the case for the Protocol 30 years </w:t>
      </w:r>
      <w:r w:rsidR="00F46A82" w:rsidRPr="00DB6883">
        <w:t>previously</w:t>
      </w:r>
      <w:r w:rsidR="004D7051" w:rsidRPr="00DB6883">
        <w:t xml:space="preserve">, political engagement and the involvement of industry could make the Amendment a success. In closing, he noted that the science of climate change was incontrovertible, with the </w:t>
      </w:r>
      <w:r w:rsidR="00F46A82" w:rsidRPr="00DB6883">
        <w:t>p</w:t>
      </w:r>
      <w:r w:rsidR="004D7051" w:rsidRPr="00DB6883">
        <w:t>ast three years on record as the warmest in world history</w:t>
      </w:r>
      <w:r w:rsidR="003D76C3" w:rsidRPr="00DB6883">
        <w:t>. He</w:t>
      </w:r>
      <w:r w:rsidR="004D7051" w:rsidRPr="00DB6883">
        <w:t xml:space="preserve"> urg</w:t>
      </w:r>
      <w:r w:rsidR="003D76C3" w:rsidRPr="00DB6883">
        <w:t>ed</w:t>
      </w:r>
      <w:r w:rsidR="004D7051" w:rsidRPr="00DB6883">
        <w:t xml:space="preserve"> parties to minimize partisan lines as much as humanly </w:t>
      </w:r>
      <w:r w:rsidR="004D7051" w:rsidRPr="008F2AB5">
        <w:t>possible in their effort to leave a better world and a more pristine environment to future generations</w:t>
      </w:r>
      <w:r w:rsidR="005B4B41" w:rsidRPr="008F2AB5">
        <w:t>, citing the agreement struck between Canada and the United States in the 1990s to curb acid rain as an example of how political engagement could be fostered to solve environmental challenges</w:t>
      </w:r>
      <w:r w:rsidR="004D7051" w:rsidRPr="008F2AB5">
        <w:t>.</w:t>
      </w:r>
    </w:p>
    <w:p w:rsidR="004D7051" w:rsidRPr="00DB6883" w:rsidRDefault="0063463F" w:rsidP="004E7D79">
      <w:pPr>
        <w:pStyle w:val="Normalnumber"/>
        <w:tabs>
          <w:tab w:val="clear" w:pos="567"/>
          <w:tab w:val="clear" w:pos="1247"/>
          <w:tab w:val="clear" w:pos="1814"/>
          <w:tab w:val="clear" w:pos="2381"/>
          <w:tab w:val="clear" w:pos="2948"/>
          <w:tab w:val="clear" w:pos="3515"/>
          <w:tab w:val="left" w:pos="624"/>
        </w:tabs>
      </w:pPr>
      <w:r w:rsidRPr="00DB6883">
        <w:t>In her statement, t</w:t>
      </w:r>
      <w:r w:rsidR="00F6300A" w:rsidRPr="00DB6883">
        <w:t xml:space="preserve">he Executive Secretary </w:t>
      </w:r>
      <w:r w:rsidRPr="00DB6883">
        <w:t>reviewed</w:t>
      </w:r>
      <w:r w:rsidR="00AC0F68" w:rsidRPr="00DB6883">
        <w:t xml:space="preserve"> </w:t>
      </w:r>
      <w:r w:rsidR="004D7051" w:rsidRPr="00DB6883">
        <w:t>the 30</w:t>
      </w:r>
      <w:r w:rsidR="00AC0F68" w:rsidRPr="00DB6883">
        <w:t>-</w:t>
      </w:r>
      <w:r w:rsidR="004D7051" w:rsidRPr="00DB6883">
        <w:t>year history of the Montreal Protocol, during which it had thrived on the interaction between science, policy and diplomacy, mobili</w:t>
      </w:r>
      <w:r w:rsidR="00850FCF" w:rsidRPr="00DB6883">
        <w:t>z</w:t>
      </w:r>
      <w:r w:rsidR="004D7051" w:rsidRPr="00DB6883">
        <w:t xml:space="preserve">ed financial resources and prompted industrial research to pursue alternatives </w:t>
      </w:r>
      <w:r w:rsidR="00CA714E" w:rsidRPr="00DB6883">
        <w:t>to</w:t>
      </w:r>
      <w:r w:rsidR="004D7051" w:rsidRPr="00DB6883">
        <w:t xml:space="preserve"> chemicals that were thought to be indispensable. The Protocol’s governance structure, with its assessment panels that helped nations </w:t>
      </w:r>
      <w:r w:rsidR="00132557" w:rsidRPr="00DB6883">
        <w:t xml:space="preserve">to </w:t>
      </w:r>
      <w:r w:rsidR="004D7051" w:rsidRPr="00DB6883">
        <w:t xml:space="preserve">strengthen </w:t>
      </w:r>
      <w:r w:rsidR="00CA714E" w:rsidRPr="00DB6883">
        <w:t>its</w:t>
      </w:r>
      <w:r w:rsidR="004D7051" w:rsidRPr="00DB6883">
        <w:t xml:space="preserve"> provisions, public-private partnerships that disseminated new </w:t>
      </w:r>
      <w:r w:rsidR="002F717E" w:rsidRPr="00DB6883">
        <w:t xml:space="preserve">forms of </w:t>
      </w:r>
      <w:r w:rsidR="004D7051" w:rsidRPr="00DB6883">
        <w:t>technolog</w:t>
      </w:r>
      <w:r w:rsidR="002F717E" w:rsidRPr="00DB6883">
        <w:t>y</w:t>
      </w:r>
      <w:r w:rsidR="004D7051" w:rsidRPr="00DB6883">
        <w:t xml:space="preserve">, </w:t>
      </w:r>
      <w:r w:rsidR="00BC46D9" w:rsidRPr="00DB6883">
        <w:t xml:space="preserve">the </w:t>
      </w:r>
      <w:r w:rsidR="004D7051" w:rsidRPr="00DB6883">
        <w:t>Multilateral Fund</w:t>
      </w:r>
      <w:r w:rsidR="001E1E02" w:rsidRPr="00DB6883">
        <w:t xml:space="preserve"> for the Implementation of the Montreal Protocol</w:t>
      </w:r>
      <w:r w:rsidR="004D7051" w:rsidRPr="00DB6883">
        <w:t xml:space="preserve"> that helped developing countries </w:t>
      </w:r>
      <w:r w:rsidR="002F717E" w:rsidRPr="00DB6883">
        <w:t>to a</w:t>
      </w:r>
      <w:r w:rsidR="004D7051" w:rsidRPr="00DB6883">
        <w:t>cquire new technolog</w:t>
      </w:r>
      <w:r w:rsidR="00C87B52" w:rsidRPr="00DB6883">
        <w:t>y</w:t>
      </w:r>
      <w:r w:rsidR="004D7051" w:rsidRPr="00DB6883">
        <w:t xml:space="preserve">, clearly defined targets and schedules for phasing out specific controlled substances and a compliance </w:t>
      </w:r>
      <w:r w:rsidR="007313B5" w:rsidRPr="00DB6883">
        <w:t xml:space="preserve">regime </w:t>
      </w:r>
      <w:r w:rsidR="004D7051" w:rsidRPr="00DB6883">
        <w:t xml:space="preserve">that facilitated compliance rather than punishing non-compliance, had remained essentially unchanged in 30 years and was a credit to its </w:t>
      </w:r>
      <w:r w:rsidR="00733EAE" w:rsidRPr="00DB6883">
        <w:t>drafters</w:t>
      </w:r>
      <w:r w:rsidR="004D7051" w:rsidRPr="00DB6883">
        <w:t xml:space="preserve">, who had allowed for the tightening of existing controls and </w:t>
      </w:r>
      <w:r w:rsidR="00733EAE" w:rsidRPr="00DB6883">
        <w:t xml:space="preserve">the </w:t>
      </w:r>
      <w:r w:rsidR="004D7051" w:rsidRPr="00DB6883">
        <w:t xml:space="preserve">inclusion of new measures.  </w:t>
      </w:r>
    </w:p>
    <w:p w:rsidR="004D7051" w:rsidRPr="00DB6883" w:rsidRDefault="00A53E38" w:rsidP="004E7D79">
      <w:pPr>
        <w:pStyle w:val="Normalnumber"/>
        <w:tabs>
          <w:tab w:val="clear" w:pos="567"/>
          <w:tab w:val="clear" w:pos="1247"/>
          <w:tab w:val="clear" w:pos="1814"/>
          <w:tab w:val="clear" w:pos="2381"/>
          <w:tab w:val="clear" w:pos="2948"/>
          <w:tab w:val="clear" w:pos="3515"/>
          <w:tab w:val="left" w:pos="624"/>
        </w:tabs>
      </w:pPr>
      <w:r w:rsidRPr="00DB6883">
        <w:t>O</w:t>
      </w:r>
      <w:r w:rsidR="004D7051" w:rsidRPr="00DB6883">
        <w:t xml:space="preserve">n the thirtieth anniversary of the </w:t>
      </w:r>
      <w:r w:rsidR="000F23F3" w:rsidRPr="00DB6883">
        <w:t xml:space="preserve">Montreal </w:t>
      </w:r>
      <w:r w:rsidR="004D7051" w:rsidRPr="00DB6883">
        <w:t xml:space="preserve">Protocol, parties could also celebrate the entry into force of the Kigali Amendment in 2019, </w:t>
      </w:r>
      <w:r w:rsidR="00B74BE9" w:rsidRPr="00DB6883">
        <w:t>with</w:t>
      </w:r>
      <w:r w:rsidR="004D7051" w:rsidRPr="00DB6883">
        <w:t xml:space="preserve"> the condition</w:t>
      </w:r>
      <w:r w:rsidR="00B74BE9" w:rsidRPr="00DB6883">
        <w:t>s</w:t>
      </w:r>
      <w:r w:rsidR="004D7051" w:rsidRPr="00DB6883">
        <w:t xml:space="preserve"> for entry into force ha</w:t>
      </w:r>
      <w:r w:rsidR="00B74BE9" w:rsidRPr="00DB6883">
        <w:t>ving</w:t>
      </w:r>
      <w:r w:rsidR="004D7051" w:rsidRPr="00DB6883">
        <w:t xml:space="preserve"> </w:t>
      </w:r>
      <w:r w:rsidR="004A333E" w:rsidRPr="00DB6883">
        <w:t xml:space="preserve">already </w:t>
      </w:r>
      <w:r w:rsidR="004D7051" w:rsidRPr="00DB6883">
        <w:t xml:space="preserve">been met. </w:t>
      </w:r>
      <w:r w:rsidR="00B74BE9" w:rsidRPr="00DB6883">
        <w:t>To date, 21</w:t>
      </w:r>
      <w:r w:rsidR="004D7051" w:rsidRPr="00DB6883">
        <w:t xml:space="preserve"> parties had ratified the Amendment, and the goal for </w:t>
      </w:r>
      <w:r w:rsidR="00733EAE" w:rsidRPr="00DB6883">
        <w:t xml:space="preserve">the </w:t>
      </w:r>
      <w:r w:rsidR="00B74BE9" w:rsidRPr="00DB6883">
        <w:t>future</w:t>
      </w:r>
      <w:r w:rsidR="004D7051" w:rsidRPr="00DB6883">
        <w:t xml:space="preserve"> would be universal ratification. Wide ratification would</w:t>
      </w:r>
      <w:r w:rsidR="00167CA8" w:rsidRPr="00DB6883">
        <w:t>, among other things,</w:t>
      </w:r>
      <w:r w:rsidR="004D7051" w:rsidRPr="00DB6883">
        <w:t xml:space="preserve"> allow assistance at the national level for technology transfer and to improve skills and maintain servicing sector </w:t>
      </w:r>
      <w:r w:rsidR="00E4551C" w:rsidRPr="00DB6883">
        <w:t>employment</w:t>
      </w:r>
      <w:r w:rsidR="004D7051" w:rsidRPr="00DB6883">
        <w:t xml:space="preserve"> that might otherwise be lost</w:t>
      </w:r>
      <w:r w:rsidR="00261385" w:rsidRPr="00DB6883">
        <w:t>,</w:t>
      </w:r>
      <w:r w:rsidR="004D7051" w:rsidRPr="00DB6883">
        <w:t xml:space="preserve"> </w:t>
      </w:r>
      <w:r w:rsidR="00261385" w:rsidRPr="00DB6883">
        <w:t>as well as</w:t>
      </w:r>
      <w:r w:rsidR="004D7051" w:rsidRPr="00DB6883">
        <w:t xml:space="preserve"> nurture national markets, inspire innovation and enhance competition globally. </w:t>
      </w:r>
    </w:p>
    <w:p w:rsidR="004D7051" w:rsidRPr="00DB6883" w:rsidRDefault="004D7051" w:rsidP="004E7D79">
      <w:pPr>
        <w:pStyle w:val="Normalnumber"/>
        <w:tabs>
          <w:tab w:val="clear" w:pos="567"/>
          <w:tab w:val="clear" w:pos="1247"/>
          <w:tab w:val="clear" w:pos="1814"/>
          <w:tab w:val="clear" w:pos="2381"/>
          <w:tab w:val="clear" w:pos="2948"/>
          <w:tab w:val="clear" w:pos="3515"/>
          <w:tab w:val="left" w:pos="624"/>
        </w:tabs>
      </w:pPr>
      <w:r w:rsidRPr="00DB6883">
        <w:t xml:space="preserve">Turning to the current meeting, </w:t>
      </w:r>
      <w:r w:rsidR="00D46B50" w:rsidRPr="00655E73">
        <w:t>she</w:t>
      </w:r>
      <w:r w:rsidRPr="00655E73">
        <w:t xml:space="preserve"> noted</w:t>
      </w:r>
      <w:r w:rsidRPr="00DB6883">
        <w:t xml:space="preserve"> the science-policy linkage that connected the </w:t>
      </w:r>
      <w:r w:rsidR="00EE5F40" w:rsidRPr="00DB6883">
        <w:t xml:space="preserve">Vienna </w:t>
      </w:r>
      <w:r w:rsidRPr="00DB6883">
        <w:t xml:space="preserve">Convention and the </w:t>
      </w:r>
      <w:r w:rsidR="00EE5F40" w:rsidRPr="00DB6883">
        <w:t xml:space="preserve">Montreal </w:t>
      </w:r>
      <w:r w:rsidRPr="00DB6883">
        <w:t xml:space="preserve">Protocol. Scientists on the Scientific Assessment Panel and at the </w:t>
      </w:r>
      <w:r w:rsidR="00535539" w:rsidRPr="00DB6883">
        <w:t xml:space="preserve">meetings of the </w:t>
      </w:r>
      <w:r w:rsidRPr="00DB6883">
        <w:t xml:space="preserve">Ozone Research Managers had always been able to translate science into solutions that policymakers could understand and use. She encouraged </w:t>
      </w:r>
      <w:r w:rsidR="00825E70" w:rsidRPr="00DB6883">
        <w:t>discussion</w:t>
      </w:r>
      <w:r w:rsidRPr="00DB6883">
        <w:t xml:space="preserve"> of the monitoring-related issues </w:t>
      </w:r>
      <w:r w:rsidR="00825E70" w:rsidRPr="00DB6883">
        <w:t>raised</w:t>
      </w:r>
      <w:r w:rsidRPr="00DB6883">
        <w:t xml:space="preserve"> at the tenth meeting of the Ozone Research Managers. The stratosphere was a critical part of the </w:t>
      </w:r>
      <w:r w:rsidR="00733EAE" w:rsidRPr="00DB6883">
        <w:t xml:space="preserve">Earth’s </w:t>
      </w:r>
      <w:r w:rsidRPr="00DB6883">
        <w:t xml:space="preserve">system, and continued observation and monitoring of ozone would reveal interlinkages with other </w:t>
      </w:r>
      <w:r w:rsidR="00733EAE" w:rsidRPr="00DB6883">
        <w:t>major</w:t>
      </w:r>
      <w:r w:rsidRPr="00DB6883">
        <w:t xml:space="preserve"> challenges such as climate change.</w:t>
      </w:r>
      <w:r w:rsidR="00C22224" w:rsidRPr="00DB6883">
        <w:t xml:space="preserve"> She then reviewed other significant items on the agenda.</w:t>
      </w:r>
    </w:p>
    <w:p w:rsidR="000E7DB2" w:rsidRPr="00DB6883" w:rsidRDefault="008F1623" w:rsidP="004E7D79">
      <w:pPr>
        <w:pStyle w:val="Normalnumber"/>
        <w:tabs>
          <w:tab w:val="clear" w:pos="567"/>
          <w:tab w:val="clear" w:pos="1247"/>
          <w:tab w:val="clear" w:pos="1814"/>
          <w:tab w:val="clear" w:pos="2381"/>
          <w:tab w:val="clear" w:pos="2948"/>
          <w:tab w:val="clear" w:pos="3515"/>
          <w:tab w:val="left" w:pos="624"/>
        </w:tabs>
      </w:pPr>
      <w:r w:rsidRPr="00DB6883">
        <w:t>In closing, she paid</w:t>
      </w:r>
      <w:r w:rsidR="004D7051" w:rsidRPr="00DB6883">
        <w:t xml:space="preserve"> tribute to Rolf Engelhardt </w:t>
      </w:r>
      <w:r w:rsidRPr="00DB6883">
        <w:t>(</w:t>
      </w:r>
      <w:r w:rsidR="004D7051" w:rsidRPr="00DB6883">
        <w:t>Germany</w:t>
      </w:r>
      <w:r w:rsidRPr="00DB6883">
        <w:t>)</w:t>
      </w:r>
      <w:r w:rsidR="004D7051" w:rsidRPr="00DB6883">
        <w:t xml:space="preserve">, </w:t>
      </w:r>
      <w:r w:rsidR="00FC478C" w:rsidRPr="00DB6883">
        <w:t xml:space="preserve">Gudi Alkemade (Netherlands) and </w:t>
      </w:r>
      <w:r w:rsidR="004D7051" w:rsidRPr="00DB6883">
        <w:t>Husam</w:t>
      </w:r>
      <w:r w:rsidR="007313B5" w:rsidRPr="00DB6883">
        <w:t>uddin</w:t>
      </w:r>
      <w:r w:rsidR="004D7051" w:rsidRPr="00DB6883">
        <w:t xml:space="preserve"> Ahmadzai </w:t>
      </w:r>
      <w:r w:rsidRPr="00DB6883">
        <w:t>(</w:t>
      </w:r>
      <w:r w:rsidR="004D7051" w:rsidRPr="00DB6883">
        <w:t>Sweden</w:t>
      </w:r>
      <w:r w:rsidRPr="00DB6883">
        <w:t>)</w:t>
      </w:r>
      <w:r w:rsidR="004D7051" w:rsidRPr="00DB6883">
        <w:t>, who were participating in a meeting of the parties for the last time</w:t>
      </w:r>
      <w:r w:rsidRPr="00DB6883">
        <w:t xml:space="preserve"> after many years of distinguished service</w:t>
      </w:r>
      <w:r w:rsidR="004D7051" w:rsidRPr="00DB6883">
        <w:t>.</w:t>
      </w:r>
      <w:r w:rsidR="00F6300A" w:rsidRPr="00DB6883">
        <w:t xml:space="preserve"> </w:t>
      </w:r>
    </w:p>
    <w:p w:rsidR="000E7DB2" w:rsidRPr="00DB6883" w:rsidRDefault="000E7DB2" w:rsidP="00EC2399">
      <w:pPr>
        <w:pStyle w:val="CH1"/>
        <w:tabs>
          <w:tab w:val="left" w:pos="624"/>
          <w:tab w:val="left" w:pos="1871"/>
          <w:tab w:val="left" w:pos="2495"/>
          <w:tab w:val="left" w:pos="3119"/>
        </w:tabs>
      </w:pPr>
      <w:r w:rsidRPr="00DB6883">
        <w:lastRenderedPageBreak/>
        <w:tab/>
        <w:t>II.</w:t>
      </w:r>
      <w:r w:rsidRPr="00DB6883">
        <w:tab/>
        <w:t>Organizational matters</w:t>
      </w:r>
    </w:p>
    <w:p w:rsidR="000E7DB2" w:rsidRPr="00DB6883" w:rsidRDefault="000E7DB2" w:rsidP="009E7709">
      <w:pPr>
        <w:pStyle w:val="CH2"/>
      </w:pPr>
      <w:r w:rsidRPr="00DB6883">
        <w:tab/>
        <w:t>A.</w:t>
      </w:r>
      <w:r w:rsidRPr="00DB6883">
        <w:tab/>
        <w:t>Attendance</w:t>
      </w:r>
    </w:p>
    <w:p w:rsidR="008D048B" w:rsidRPr="00554B0C" w:rsidRDefault="008D048B" w:rsidP="004E7D79">
      <w:pPr>
        <w:pStyle w:val="Normalnumber"/>
        <w:tabs>
          <w:tab w:val="clear" w:pos="567"/>
          <w:tab w:val="clear" w:pos="1247"/>
          <w:tab w:val="clear" w:pos="1814"/>
          <w:tab w:val="clear" w:pos="2381"/>
          <w:tab w:val="clear" w:pos="2948"/>
          <w:tab w:val="clear" w:pos="3515"/>
          <w:tab w:val="left" w:pos="624"/>
        </w:tabs>
      </w:pPr>
      <w:r w:rsidRPr="00DB6883">
        <w:t xml:space="preserve">The </w:t>
      </w:r>
      <w:r w:rsidR="00A90D5A">
        <w:t xml:space="preserve">eleventh meeting of the Conference of the Parties to the Vienna Convention and the </w:t>
      </w:r>
      <w:r w:rsidRPr="00DB6883">
        <w:t xml:space="preserve">Twenty-Ninth </w:t>
      </w:r>
      <w:r w:rsidRPr="00F72612">
        <w:t>Meeting of the</w:t>
      </w:r>
      <w:r w:rsidRPr="00DB6883">
        <w:t xml:space="preserve"> Parties to the Montreal Protocol </w:t>
      </w:r>
      <w:r w:rsidR="00A90D5A" w:rsidRPr="00DB6883">
        <w:t>w</w:t>
      </w:r>
      <w:r w:rsidR="00A90D5A">
        <w:t>ere</w:t>
      </w:r>
      <w:r w:rsidR="00A90D5A" w:rsidRPr="00DB6883">
        <w:t xml:space="preserve"> </w:t>
      </w:r>
      <w:r w:rsidRPr="00DB6883">
        <w:t xml:space="preserve">attended by representatives of the following parties: </w:t>
      </w:r>
      <w:r w:rsidR="002574DF" w:rsidRPr="00554B0C">
        <w:t>Albania, Algeria</w:t>
      </w:r>
      <w:r w:rsidRPr="00554B0C">
        <w:t xml:space="preserve">, Argentina, </w:t>
      </w:r>
      <w:r w:rsidR="002574DF" w:rsidRPr="00554B0C">
        <w:t xml:space="preserve">Armenia, </w:t>
      </w:r>
      <w:r w:rsidRPr="00554B0C">
        <w:t xml:space="preserve">Australia, Austria, </w:t>
      </w:r>
      <w:r w:rsidR="00736990" w:rsidRPr="00554B0C">
        <w:t xml:space="preserve">Azerbaijan, Bahamas, </w:t>
      </w:r>
      <w:r w:rsidRPr="00554B0C">
        <w:t xml:space="preserve">Bahrain, Bangladesh, Belarus, Belgium, Benin, </w:t>
      </w:r>
      <w:r w:rsidR="00736990" w:rsidRPr="00554B0C">
        <w:t xml:space="preserve">Bhutan, Bolivia (Plurinational State of), </w:t>
      </w:r>
      <w:r w:rsidRPr="00554B0C">
        <w:t xml:space="preserve">Bosnia and Herzegovina, Botswana, Brazil, </w:t>
      </w:r>
      <w:r w:rsidR="00736990" w:rsidRPr="00554B0C">
        <w:t xml:space="preserve">Brunei Darussalam, Bulgaria, </w:t>
      </w:r>
      <w:r w:rsidRPr="00554B0C">
        <w:t xml:space="preserve">Burkina Faso, </w:t>
      </w:r>
      <w:r w:rsidR="00736990" w:rsidRPr="00554B0C">
        <w:t>Cabo Verde,</w:t>
      </w:r>
      <w:r w:rsidRPr="00554B0C">
        <w:t xml:space="preserve"> Cambodia, Cameroon, Canada, </w:t>
      </w:r>
      <w:r w:rsidR="00736990" w:rsidRPr="00554B0C">
        <w:t xml:space="preserve">Central African Republic, </w:t>
      </w:r>
      <w:r w:rsidRPr="00554B0C">
        <w:t xml:space="preserve">Chad, Chile, </w:t>
      </w:r>
      <w:r w:rsidRPr="004D038D">
        <w:t xml:space="preserve">China, Colombia, Comoros, Cook Islands, Costa Rica, Côte d’Ivoire, </w:t>
      </w:r>
      <w:r w:rsidR="00736990" w:rsidRPr="004D038D">
        <w:t xml:space="preserve">Croatia, </w:t>
      </w:r>
      <w:r w:rsidRPr="004D038D">
        <w:t xml:space="preserve">Cuba, Czechia, Denmark, Djibouti, Dominica, Dominican Republic, Ecuador, </w:t>
      </w:r>
      <w:r w:rsidRPr="0056244F">
        <w:t xml:space="preserve">Egypt, El Salvador, Estonia, Ethiopia, European Union, Finland, France, Gabon, Gambia, Georgia, Germany, Ghana, </w:t>
      </w:r>
      <w:r w:rsidR="00736990" w:rsidRPr="0056244F">
        <w:t xml:space="preserve">Greece, </w:t>
      </w:r>
      <w:r w:rsidRPr="0056244F">
        <w:t xml:space="preserve">Grenada, </w:t>
      </w:r>
      <w:r w:rsidRPr="00D43BE0">
        <w:t>Guatemala, Guinea, Guinea</w:t>
      </w:r>
      <w:r w:rsidRPr="00D43BE0">
        <w:noBreakHyphen/>
        <w:t xml:space="preserve">Bissau, Guyana, Haiti, Holy See, Honduras, Hungary, India, Indonesia, Iraq, Ireland, </w:t>
      </w:r>
      <w:r w:rsidR="00736990" w:rsidRPr="00D43BE0">
        <w:t xml:space="preserve">Israel, </w:t>
      </w:r>
      <w:r w:rsidRPr="00D43BE0">
        <w:t xml:space="preserve">Italy, </w:t>
      </w:r>
      <w:r w:rsidR="00736990" w:rsidRPr="00D43BE0">
        <w:t xml:space="preserve">Jamaica, </w:t>
      </w:r>
      <w:r w:rsidRPr="00D43BE0">
        <w:t xml:space="preserve">Japan, Jordan, Kazakhstan, Kenya, </w:t>
      </w:r>
      <w:r w:rsidR="00736990" w:rsidRPr="00D43BE0">
        <w:t xml:space="preserve">Kiribati, </w:t>
      </w:r>
      <w:r w:rsidRPr="00D43BE0">
        <w:t xml:space="preserve">Kuwait, Kyrgyzstan, Lao People’s Democratic Republic, </w:t>
      </w:r>
      <w:r w:rsidR="00736990" w:rsidRPr="00D43BE0">
        <w:t xml:space="preserve">Latvia, </w:t>
      </w:r>
      <w:r w:rsidRPr="00D43BE0">
        <w:t xml:space="preserve">Lebanon, Lesotho, </w:t>
      </w:r>
      <w:r w:rsidR="00736990" w:rsidRPr="00D43BE0">
        <w:t>Libya</w:t>
      </w:r>
      <w:r w:rsidRPr="00554B0C">
        <w:t>,</w:t>
      </w:r>
      <w:r w:rsidR="00736990" w:rsidRPr="00554B0C">
        <w:t xml:space="preserve"> </w:t>
      </w:r>
      <w:r w:rsidR="00B365BC">
        <w:t xml:space="preserve">Liechtenstein, </w:t>
      </w:r>
      <w:r w:rsidR="00736990" w:rsidRPr="00D43BE0">
        <w:t>Lithuania,</w:t>
      </w:r>
      <w:r w:rsidRPr="00D43BE0">
        <w:t xml:space="preserve"> Luxembourg, Malawi, Malaysia, Maldives, Mali, </w:t>
      </w:r>
      <w:r w:rsidRPr="00F27B53">
        <w:t xml:space="preserve">Mauritius, Mexico, Micronesia (Federated States of), Mongolia, </w:t>
      </w:r>
      <w:r w:rsidR="00736990" w:rsidRPr="00F27B53">
        <w:t xml:space="preserve">Montenegro, </w:t>
      </w:r>
      <w:r w:rsidRPr="00F27B53">
        <w:t>Morocco, Nepal, Netherlands, New Zealand, Niger</w:t>
      </w:r>
      <w:r w:rsidR="00736990" w:rsidRPr="00F27B53">
        <w:t>,</w:t>
      </w:r>
      <w:r w:rsidRPr="00F27B53">
        <w:t xml:space="preserve"> Nigeria, Norway, Pakistan, Panama, Paraguay, Philippines, Poland, Portugal, </w:t>
      </w:r>
      <w:r w:rsidRPr="00D43BE0">
        <w:t xml:space="preserve">Republic of Korea, </w:t>
      </w:r>
      <w:r w:rsidR="00736990" w:rsidRPr="00F27B53">
        <w:t xml:space="preserve">Romania, </w:t>
      </w:r>
      <w:r w:rsidRPr="00F27B53">
        <w:t>Russian Federation, Rwanda, Samoa,</w:t>
      </w:r>
      <w:r w:rsidR="00736990" w:rsidRPr="00F27B53">
        <w:t xml:space="preserve"> Sao Tome and Principe,</w:t>
      </w:r>
      <w:r w:rsidRPr="00F27B53">
        <w:t xml:space="preserve"> Saudi Arabia, Senegal, </w:t>
      </w:r>
      <w:r w:rsidR="00736990" w:rsidRPr="00F27B53">
        <w:t xml:space="preserve">Serbia, </w:t>
      </w:r>
      <w:r w:rsidRPr="00F27B53">
        <w:t xml:space="preserve">Seychelles, Sierra Leone, Singapore, Slovakia, </w:t>
      </w:r>
      <w:r w:rsidR="00736990" w:rsidRPr="00F27B53">
        <w:t>Solomon Islands</w:t>
      </w:r>
      <w:r w:rsidRPr="00F27B53">
        <w:t xml:space="preserve">, South Africa, South Sudan, Spain, Sri Lanka, Sudan, Swaziland, Sweden, Switzerland, Syrian Arab Republic, Thailand, </w:t>
      </w:r>
      <w:r w:rsidR="00736990" w:rsidRPr="00F27B53">
        <w:t xml:space="preserve">the former Yugoslav Republic of Macedonia, </w:t>
      </w:r>
      <w:r w:rsidRPr="00F27B53">
        <w:t>Timor</w:t>
      </w:r>
      <w:r w:rsidRPr="00F27B53">
        <w:noBreakHyphen/>
        <w:t>Leste, Togo, Tunisia, Turkey, Tuvalu, Uganda, Ukraine, United Arab Emirates, United</w:t>
      </w:r>
      <w:r w:rsidR="00764764" w:rsidRPr="00F27B53">
        <w:t> </w:t>
      </w:r>
      <w:r w:rsidRPr="00F27B53">
        <w:t xml:space="preserve">Kingdom of Great Britain and Northern Ireland, </w:t>
      </w:r>
      <w:r w:rsidR="006A67BA" w:rsidRPr="00F27B53">
        <w:t xml:space="preserve">United Republic of Tanzania, </w:t>
      </w:r>
      <w:r w:rsidRPr="00F27B53">
        <w:t xml:space="preserve">United States of America, Uruguay, </w:t>
      </w:r>
      <w:r w:rsidR="00736990" w:rsidRPr="00F27B53">
        <w:t xml:space="preserve">Uzbekistan, </w:t>
      </w:r>
      <w:r w:rsidRPr="00F27B53">
        <w:t>Venezuela (Bolivarian Republic of), Viet Nam and Zimbabwe</w:t>
      </w:r>
      <w:r w:rsidRPr="00554B0C">
        <w:t xml:space="preserve">. </w:t>
      </w:r>
    </w:p>
    <w:p w:rsidR="008D048B" w:rsidRPr="00554B0C" w:rsidRDefault="008D048B" w:rsidP="004E7D79">
      <w:pPr>
        <w:pStyle w:val="Normalnumber"/>
        <w:tabs>
          <w:tab w:val="clear" w:pos="567"/>
          <w:tab w:val="clear" w:pos="1247"/>
          <w:tab w:val="clear" w:pos="1814"/>
          <w:tab w:val="clear" w:pos="2381"/>
          <w:tab w:val="clear" w:pos="2948"/>
          <w:tab w:val="clear" w:pos="3515"/>
          <w:tab w:val="left" w:pos="624"/>
        </w:tabs>
      </w:pPr>
      <w:r w:rsidRPr="00554B0C">
        <w:t xml:space="preserve">Representatives of </w:t>
      </w:r>
      <w:r w:rsidRPr="00B869E0">
        <w:t>the following</w:t>
      </w:r>
      <w:r w:rsidRPr="00554B0C">
        <w:t xml:space="preserve"> United Nations bodies and specialized agencies also attended: </w:t>
      </w:r>
      <w:r w:rsidR="00BE5348" w:rsidRPr="00554B0C">
        <w:t xml:space="preserve">International Civil Aviation Organization, secretariat of the Convention on Biological Diversity, </w:t>
      </w:r>
      <w:r w:rsidRPr="00554B0C">
        <w:t>secretariat of the Multilateral Fund for the Implementation of the Montreal Protocol, United Nations Development Programme, United Nations Environment Programme, United Nations Industrial Development Organization</w:t>
      </w:r>
      <w:r w:rsidR="00720BC9" w:rsidRPr="00554B0C">
        <w:t>, United Nations Information Centre</w:t>
      </w:r>
      <w:r w:rsidR="00DD08E3" w:rsidRPr="00554B0C">
        <w:t>,</w:t>
      </w:r>
      <w:r w:rsidRPr="00554B0C">
        <w:t xml:space="preserve"> World Bank</w:t>
      </w:r>
      <w:r w:rsidR="00DD08E3" w:rsidRPr="00554B0C">
        <w:t xml:space="preserve"> and World Meteorological Organization</w:t>
      </w:r>
      <w:r w:rsidRPr="00554B0C">
        <w:t xml:space="preserve">. </w:t>
      </w:r>
    </w:p>
    <w:p w:rsidR="00EF52FE" w:rsidRPr="00554B0C" w:rsidRDefault="008D048B" w:rsidP="004E7D79">
      <w:pPr>
        <w:pStyle w:val="Normalnumber"/>
        <w:tabs>
          <w:tab w:val="clear" w:pos="567"/>
          <w:tab w:val="clear" w:pos="1247"/>
          <w:tab w:val="clear" w:pos="1814"/>
          <w:tab w:val="clear" w:pos="2381"/>
          <w:tab w:val="clear" w:pos="2948"/>
          <w:tab w:val="clear" w:pos="3515"/>
          <w:tab w:val="left" w:pos="624"/>
        </w:tabs>
      </w:pPr>
      <w:r w:rsidRPr="00554B0C">
        <w:t xml:space="preserve">The following </w:t>
      </w:r>
      <w:r w:rsidRPr="001124E8">
        <w:t>intergovernmental, non-governmental</w:t>
      </w:r>
      <w:r w:rsidRPr="00554B0C">
        <w:t>, industry, academic and other bodies were also represented:</w:t>
      </w:r>
      <w:r w:rsidR="005D1A04" w:rsidRPr="00554B0C">
        <w:t xml:space="preserve"> 3M Science Applied to Life</w:t>
      </w:r>
      <w:r w:rsidR="00AF5E7A" w:rsidRPr="00554B0C">
        <w:t>;</w:t>
      </w:r>
      <w:r w:rsidR="005D1A04" w:rsidRPr="00554B0C">
        <w:t xml:space="preserve"> ACT Commodities</w:t>
      </w:r>
      <w:r w:rsidR="00AF5E7A" w:rsidRPr="00554B0C">
        <w:t>;</w:t>
      </w:r>
      <w:r w:rsidR="005D1A04" w:rsidRPr="00554B0C">
        <w:t xml:space="preserve"> </w:t>
      </w:r>
      <w:r w:rsidR="00AF5E7A" w:rsidRPr="00554B0C">
        <w:t>Air Conditioning, Heating, and Refrigeration Institute;</w:t>
      </w:r>
      <w:r w:rsidR="005D1A04" w:rsidRPr="00554B0C">
        <w:t xml:space="preserve"> </w:t>
      </w:r>
      <w:r w:rsidR="00E16054" w:rsidRPr="00FE1505">
        <w:t>Alliance for Responsible Atmospheric Policy</w:t>
      </w:r>
      <w:r w:rsidR="00AF5E7A" w:rsidRPr="00FE1505">
        <w:t>;</w:t>
      </w:r>
      <w:r w:rsidR="00E16054" w:rsidRPr="00FE1505">
        <w:t xml:space="preserve"> </w:t>
      </w:r>
      <w:r w:rsidR="00AF5E7A" w:rsidRPr="00FE1505">
        <w:t>American Society of Heating, Refrigerating and Air-Conditioning Engineers;</w:t>
      </w:r>
      <w:r w:rsidR="00E16054" w:rsidRPr="00FE1505">
        <w:t xml:space="preserve"> Cefic</w:t>
      </w:r>
      <w:r w:rsidR="00AF5E7A" w:rsidRPr="00FE1505">
        <w:t>;</w:t>
      </w:r>
      <w:r w:rsidR="00E16054" w:rsidRPr="00FE1505">
        <w:t xml:space="preserve"> </w:t>
      </w:r>
      <w:r w:rsidR="00B365BC">
        <w:t xml:space="preserve"> the Chemours Company, </w:t>
      </w:r>
      <w:r w:rsidR="00E16054" w:rsidRPr="00A33A13">
        <w:t>China Household Electrical Appliance Association</w:t>
      </w:r>
      <w:r w:rsidR="00AF5E7A" w:rsidRPr="00A33A13">
        <w:t>;</w:t>
      </w:r>
      <w:r w:rsidR="00E16054" w:rsidRPr="00A33A13">
        <w:t xml:space="preserve"> China Refrigeration and Air-Conditioning Industry Association</w:t>
      </w:r>
      <w:r w:rsidR="00AF5E7A" w:rsidRPr="00A33A13">
        <w:t>;</w:t>
      </w:r>
      <w:r w:rsidR="00E16054" w:rsidRPr="00A33A13">
        <w:t xml:space="preserve"> Christian Aid</w:t>
      </w:r>
      <w:r w:rsidR="00AF5E7A" w:rsidRPr="00A33A13">
        <w:t>;</w:t>
      </w:r>
      <w:r w:rsidR="00E16054" w:rsidRPr="00A33A13">
        <w:t xml:space="preserve"> </w:t>
      </w:r>
      <w:r w:rsidR="00A33A13" w:rsidRPr="00A33A13">
        <w:t>Climalife;</w:t>
      </w:r>
      <w:r w:rsidR="00A33A13">
        <w:t xml:space="preserve"> </w:t>
      </w:r>
      <w:r w:rsidR="00E16054" w:rsidRPr="000C7C65">
        <w:t>Colorado State University</w:t>
      </w:r>
      <w:r w:rsidR="00AF5E7A" w:rsidRPr="000C7C65">
        <w:t>;</w:t>
      </w:r>
      <w:r w:rsidR="00E16054" w:rsidRPr="000C7C65">
        <w:t xml:space="preserve"> Council on Energy Environment and Water</w:t>
      </w:r>
      <w:r w:rsidR="00AF5E7A" w:rsidRPr="000C7C65">
        <w:t>;</w:t>
      </w:r>
      <w:r w:rsidR="00E16054" w:rsidRPr="000C7C65">
        <w:t xml:space="preserve"> Daikin</w:t>
      </w:r>
      <w:r w:rsidR="00AF5E7A" w:rsidRPr="000C7C65">
        <w:t>;</w:t>
      </w:r>
      <w:r w:rsidR="00E16054" w:rsidRPr="000C7C65">
        <w:t xml:space="preserve"> </w:t>
      </w:r>
      <w:r w:rsidR="00E16054" w:rsidRPr="000A7510">
        <w:t>Energy Efficiency Services Limited</w:t>
      </w:r>
      <w:r w:rsidR="00AF5E7A" w:rsidRPr="000A7510">
        <w:t>;</w:t>
      </w:r>
      <w:r w:rsidR="00E16054" w:rsidRPr="000A7510">
        <w:t xml:space="preserve"> Environmental Investigation Agency-Global</w:t>
      </w:r>
      <w:r w:rsidR="00AF5E7A" w:rsidRPr="000A7510">
        <w:t>;</w:t>
      </w:r>
      <w:r w:rsidR="00E16054" w:rsidRPr="000A7510">
        <w:t xml:space="preserve"> European </w:t>
      </w:r>
      <w:r w:rsidR="00E16054" w:rsidRPr="00D839E1">
        <w:t>Environmental Citizens Organi</w:t>
      </w:r>
      <w:r w:rsidR="00D839E1">
        <w:t>s</w:t>
      </w:r>
      <w:r w:rsidR="00E16054" w:rsidRPr="00D839E1">
        <w:t>ation for Standardisation</w:t>
      </w:r>
      <w:r w:rsidR="00AF5E7A" w:rsidRPr="00D839E1">
        <w:t>;</w:t>
      </w:r>
      <w:r w:rsidR="00E16054" w:rsidRPr="00D839E1">
        <w:t xml:space="preserve"> European Partnership for Energy and the Environment</w:t>
      </w:r>
      <w:r w:rsidR="00AF5E7A" w:rsidRPr="00D839E1">
        <w:t>;</w:t>
      </w:r>
      <w:r w:rsidR="00E16054" w:rsidRPr="00D839E1">
        <w:t xml:space="preserve"> GIZ Proklima</w:t>
      </w:r>
      <w:r w:rsidR="00AF5E7A" w:rsidRPr="00D839E1">
        <w:t>;</w:t>
      </w:r>
      <w:r w:rsidR="00E16054" w:rsidRPr="00D839E1">
        <w:t xml:space="preserve"> Greenpeace</w:t>
      </w:r>
      <w:r w:rsidR="00017330">
        <w:t xml:space="preserve"> International</w:t>
      </w:r>
      <w:r w:rsidR="00AF5E7A" w:rsidRPr="00D839E1">
        <w:t>;</w:t>
      </w:r>
      <w:r w:rsidR="00E16054" w:rsidRPr="00D839E1">
        <w:t xml:space="preserve"> </w:t>
      </w:r>
      <w:r w:rsidR="00E16054" w:rsidRPr="0008286C">
        <w:t>Gujarat Fluorochemicals Limited</w:t>
      </w:r>
      <w:r w:rsidR="00AF5E7A" w:rsidRPr="0008286C">
        <w:t>;</w:t>
      </w:r>
      <w:r w:rsidR="00E16054" w:rsidRPr="0008286C">
        <w:t xml:space="preserve"> Hudson Technologies</w:t>
      </w:r>
      <w:r w:rsidR="00AF5E7A" w:rsidRPr="0008286C">
        <w:t>;</w:t>
      </w:r>
      <w:r w:rsidR="00E16054" w:rsidRPr="0008286C">
        <w:t xml:space="preserve"> ICF International</w:t>
      </w:r>
      <w:r w:rsidR="00AF5E7A" w:rsidRPr="0008286C">
        <w:t>;</w:t>
      </w:r>
      <w:r w:rsidR="00E16054" w:rsidRPr="0008286C">
        <w:t xml:space="preserve"> Industrial Technology Research Institute</w:t>
      </w:r>
      <w:r w:rsidR="00AF5E7A" w:rsidRPr="0008286C">
        <w:t>;</w:t>
      </w:r>
      <w:r w:rsidR="00E16054" w:rsidRPr="0008286C">
        <w:t xml:space="preserve"> </w:t>
      </w:r>
      <w:r w:rsidR="00E16054" w:rsidRPr="00344B2D">
        <w:t xml:space="preserve">Institute for Governance </w:t>
      </w:r>
      <w:r w:rsidR="00AF5E7A" w:rsidRPr="00344B2D">
        <w:t>and</w:t>
      </w:r>
      <w:r w:rsidR="00E16054" w:rsidRPr="00344B2D">
        <w:t xml:space="preserve"> Sustainable Development</w:t>
      </w:r>
      <w:r w:rsidR="00AF5E7A" w:rsidRPr="00344B2D">
        <w:t>;</w:t>
      </w:r>
      <w:r w:rsidR="00344B2D">
        <w:t xml:space="preserve"> </w:t>
      </w:r>
      <w:r w:rsidR="00344B2D" w:rsidRPr="0008286C">
        <w:t xml:space="preserve">Institute of Air Handling and Refrigeration; </w:t>
      </w:r>
      <w:r w:rsidR="00E16054" w:rsidRPr="00344B2D">
        <w:t xml:space="preserve"> </w:t>
      </w:r>
      <w:r w:rsidR="00E16054" w:rsidRPr="002266A7">
        <w:t>International Institute of Refrigeration</w:t>
      </w:r>
      <w:r w:rsidR="00AF5E7A" w:rsidRPr="002266A7">
        <w:t>;</w:t>
      </w:r>
      <w:r w:rsidR="00E16054" w:rsidRPr="002266A7">
        <w:t xml:space="preserve"> International Pharmaceutical Aerosol Consortium</w:t>
      </w:r>
      <w:r w:rsidR="00AF5E7A" w:rsidRPr="002266A7">
        <w:t>;</w:t>
      </w:r>
      <w:r w:rsidR="00E16054" w:rsidRPr="002266A7">
        <w:t xml:space="preserve"> </w:t>
      </w:r>
      <w:r w:rsidR="00E16054" w:rsidRPr="005A4C43">
        <w:t xml:space="preserve">Japan </w:t>
      </w:r>
      <w:r w:rsidR="005A4C43" w:rsidRPr="005A4C43">
        <w:t>Fluor</w:t>
      </w:r>
      <w:r w:rsidR="005A4C43">
        <w:t>o</w:t>
      </w:r>
      <w:r w:rsidR="005A4C43" w:rsidRPr="005A4C43">
        <w:t xml:space="preserve">carbon </w:t>
      </w:r>
      <w:r w:rsidR="00E16054" w:rsidRPr="005A4C43">
        <w:t>Manufacture</w:t>
      </w:r>
      <w:r w:rsidR="005A4C43">
        <w:t>s</w:t>
      </w:r>
      <w:r w:rsidR="00E16054" w:rsidRPr="005A4C43">
        <w:t xml:space="preserve"> Association</w:t>
      </w:r>
      <w:r w:rsidR="00AF5E7A" w:rsidRPr="005A4C43">
        <w:t>;</w:t>
      </w:r>
      <w:r w:rsidR="00E16054" w:rsidRPr="005A4C43">
        <w:t xml:space="preserve"> Japan Refrigeration and Air Conditioning Industry Association</w:t>
      </w:r>
      <w:r w:rsidR="00AF5E7A" w:rsidRPr="005A4C43">
        <w:t>;</w:t>
      </w:r>
      <w:r w:rsidR="00E16054" w:rsidRPr="005A4C43">
        <w:t xml:space="preserve"> Kigali Cooling </w:t>
      </w:r>
      <w:r w:rsidR="00AF5E7A" w:rsidRPr="005A4C43">
        <w:t>E</w:t>
      </w:r>
      <w:r w:rsidR="00E16054" w:rsidRPr="005A4C43">
        <w:t>fficiency Program</w:t>
      </w:r>
      <w:r w:rsidR="003A53F6" w:rsidRPr="005A4C43">
        <w:t>me</w:t>
      </w:r>
      <w:r w:rsidR="00AF5E7A" w:rsidRPr="005A4C43">
        <w:t>;</w:t>
      </w:r>
      <w:r w:rsidR="00E16054" w:rsidRPr="005A4C43">
        <w:t xml:space="preserve"> Kulthorn Group</w:t>
      </w:r>
      <w:r w:rsidR="00AF5E7A" w:rsidRPr="005A4C43">
        <w:t>;</w:t>
      </w:r>
      <w:r w:rsidR="00D16358" w:rsidRPr="005A4C43">
        <w:t xml:space="preserve"> </w:t>
      </w:r>
      <w:r w:rsidR="003A53F6" w:rsidRPr="00AB3B42">
        <w:t>Lawrence Berkeley National Laboratory</w:t>
      </w:r>
      <w:r w:rsidR="003A53F6" w:rsidRPr="00742A98">
        <w:t xml:space="preserve">; Lennox International; </w:t>
      </w:r>
      <w:r w:rsidR="00017330" w:rsidRPr="00742A98">
        <w:t>M</w:t>
      </w:r>
      <w:r w:rsidR="00017330">
        <w:t>ebrom</w:t>
      </w:r>
      <w:r w:rsidR="003A53F6" w:rsidRPr="00742A98">
        <w:t xml:space="preserve">; Mexichem UK Ltd.; </w:t>
      </w:r>
      <w:r w:rsidR="009079F4" w:rsidRPr="00742A98">
        <w:t>Manitoba Ozone Protection Industry Association (</w:t>
      </w:r>
      <w:r w:rsidR="00E52C83" w:rsidRPr="00742A98">
        <w:t>MOPIA</w:t>
      </w:r>
      <w:r w:rsidR="009079F4" w:rsidRPr="00742A98">
        <w:t>)</w:t>
      </w:r>
      <w:r w:rsidR="00AF5E7A" w:rsidRPr="00742A98">
        <w:t>;</w:t>
      </w:r>
      <w:r w:rsidR="00E52C83" w:rsidRPr="00742A98">
        <w:t xml:space="preserve"> </w:t>
      </w:r>
      <w:r w:rsidR="00C24D10" w:rsidRPr="00742A98">
        <w:t>Nagasaki University</w:t>
      </w:r>
      <w:r w:rsidR="00AF5E7A" w:rsidRPr="00742A98">
        <w:t>;</w:t>
      </w:r>
      <w:r w:rsidR="00C24D10" w:rsidRPr="00742A98">
        <w:t xml:space="preserve"> </w:t>
      </w:r>
      <w:r w:rsidR="005A4C43">
        <w:t xml:space="preserve">Nagpur </w:t>
      </w:r>
      <w:r w:rsidR="005A4C43" w:rsidRPr="00FE1505">
        <w:t xml:space="preserve">Chemical and Environmental Engineering; </w:t>
      </w:r>
      <w:r w:rsidR="00C24D10" w:rsidRPr="00742A98">
        <w:t>NASA Goddard Space Flight Cent</w:t>
      </w:r>
      <w:r w:rsidR="00360BF0" w:rsidRPr="00742A98">
        <w:t>re</w:t>
      </w:r>
      <w:r w:rsidR="00AF5E7A" w:rsidRPr="005F1D9B">
        <w:t>;</w:t>
      </w:r>
      <w:r w:rsidR="00C24D10" w:rsidRPr="005F1D9B">
        <w:t xml:space="preserve"> National Institute of Advanced Industrial Science and Technology</w:t>
      </w:r>
      <w:r w:rsidR="00AF5E7A" w:rsidRPr="005F1D9B">
        <w:t>;</w:t>
      </w:r>
      <w:r w:rsidR="00C24D10" w:rsidRPr="005F1D9B">
        <w:t xml:space="preserve"> Natural Resources Defense Council</w:t>
      </w:r>
      <w:r w:rsidR="00AF5E7A" w:rsidRPr="005F1D9B">
        <w:t>;</w:t>
      </w:r>
      <w:r w:rsidR="00C24D10" w:rsidRPr="005F1D9B">
        <w:t xml:space="preserve"> </w:t>
      </w:r>
      <w:r w:rsidR="00A005D2" w:rsidRPr="005F1D9B">
        <w:t>New York University</w:t>
      </w:r>
      <w:r w:rsidR="00AF5E7A" w:rsidRPr="005F1D9B">
        <w:t>;</w:t>
      </w:r>
      <w:r w:rsidR="005210D4" w:rsidRPr="005F1D9B">
        <w:t xml:space="preserve"> </w:t>
      </w:r>
      <w:r w:rsidR="00EF52FE" w:rsidRPr="005F1D9B">
        <w:t>Oak Ridge National Laboratory</w:t>
      </w:r>
      <w:r w:rsidR="00AF5E7A" w:rsidRPr="005F1D9B">
        <w:t>;</w:t>
      </w:r>
      <w:r w:rsidR="00EF52FE" w:rsidRPr="005F1D9B">
        <w:t xml:space="preserve"> Oeko-Recherche</w:t>
      </w:r>
      <w:r w:rsidR="00AF5E7A" w:rsidRPr="005F1D9B">
        <w:t>;</w:t>
      </w:r>
      <w:r w:rsidR="00EF52FE" w:rsidRPr="005F1D9B">
        <w:t xml:space="preserve"> PRODUVEN</w:t>
      </w:r>
      <w:r w:rsidR="00AF5E7A" w:rsidRPr="005F1D9B">
        <w:t>;</w:t>
      </w:r>
      <w:r w:rsidR="00EF52FE" w:rsidRPr="005F1D9B">
        <w:t xml:space="preserve"> PureSphera</w:t>
      </w:r>
      <w:r w:rsidR="00AF5E7A" w:rsidRPr="005F1D9B">
        <w:t>;</w:t>
      </w:r>
      <w:r w:rsidR="00EF52FE" w:rsidRPr="005F1D9B">
        <w:t xml:space="preserve"> Quimobásicos S.A. de C.V.</w:t>
      </w:r>
      <w:r w:rsidR="00AF5E7A" w:rsidRPr="005F1D9B">
        <w:t>;</w:t>
      </w:r>
      <w:r w:rsidR="00EF52FE" w:rsidRPr="005F1D9B">
        <w:t xml:space="preserve"> Refrigerant Gas Manufacturers Association</w:t>
      </w:r>
      <w:r w:rsidR="00AF5E7A" w:rsidRPr="005F1D9B">
        <w:t>;</w:t>
      </w:r>
      <w:r w:rsidR="00EF52FE" w:rsidRPr="005F1D9B">
        <w:t xml:space="preserve"> Refrigerants Australia</w:t>
      </w:r>
      <w:r w:rsidR="00AF5E7A" w:rsidRPr="005F1D9B">
        <w:t>;</w:t>
      </w:r>
      <w:r w:rsidR="00EF52FE" w:rsidRPr="005F1D9B">
        <w:t xml:space="preserve"> Refrigeration and Air Conditioning Manufacturers Association</w:t>
      </w:r>
      <w:r w:rsidR="00AF5E7A" w:rsidRPr="005F1D9B">
        <w:t>;</w:t>
      </w:r>
      <w:r w:rsidR="003E6697" w:rsidRPr="005F1D9B">
        <w:t xml:space="preserve"> </w:t>
      </w:r>
      <w:r w:rsidR="00D16358" w:rsidRPr="005F1D9B">
        <w:t>Shaffie Law and Policy, LLC.</w:t>
      </w:r>
      <w:r w:rsidR="00AF5E7A" w:rsidRPr="005F1D9B">
        <w:t>;</w:t>
      </w:r>
      <w:r w:rsidR="00D16358" w:rsidRPr="005F1D9B">
        <w:t xml:space="preserve"> SHECCO</w:t>
      </w:r>
      <w:r w:rsidR="00AF5E7A" w:rsidRPr="005F1D9B">
        <w:t>;</w:t>
      </w:r>
      <w:r w:rsidR="00D16358" w:rsidRPr="005F1D9B">
        <w:t xml:space="preserve"> </w:t>
      </w:r>
      <w:r w:rsidR="00E52C83" w:rsidRPr="005F1D9B">
        <w:t>TATA Motors L</w:t>
      </w:r>
      <w:r w:rsidR="00360BF0" w:rsidRPr="005F1D9B">
        <w:t>td</w:t>
      </w:r>
      <w:r w:rsidR="009079F4" w:rsidRPr="004543F7">
        <w:t>.</w:t>
      </w:r>
      <w:r w:rsidR="00AF5E7A" w:rsidRPr="004543F7">
        <w:t>;</w:t>
      </w:r>
      <w:r w:rsidR="00D16358" w:rsidRPr="004543F7">
        <w:t xml:space="preserve"> </w:t>
      </w:r>
      <w:r w:rsidR="004543F7">
        <w:t xml:space="preserve"> </w:t>
      </w:r>
      <w:r w:rsidR="00D16358" w:rsidRPr="001124E8">
        <w:t>The Energy and Resources Institute</w:t>
      </w:r>
      <w:r w:rsidR="00AF5E7A" w:rsidRPr="001124E8">
        <w:t>;</w:t>
      </w:r>
      <w:r w:rsidR="00D16358" w:rsidRPr="001124E8">
        <w:t xml:space="preserve"> The Gasana Group LLC</w:t>
      </w:r>
      <w:r w:rsidR="00AF5E7A" w:rsidRPr="001124E8">
        <w:t>;</w:t>
      </w:r>
      <w:r w:rsidR="00D16358" w:rsidRPr="001124E8">
        <w:t xml:space="preserve"> The Norris Group</w:t>
      </w:r>
      <w:r w:rsidR="00AF5E7A" w:rsidRPr="001124E8">
        <w:t>;</w:t>
      </w:r>
      <w:r w:rsidR="00D16358" w:rsidRPr="001124E8">
        <w:t xml:space="preserve"> University of Leeds</w:t>
      </w:r>
      <w:r w:rsidR="00AF5E7A" w:rsidRPr="001124E8">
        <w:t>;</w:t>
      </w:r>
      <w:r w:rsidR="00D16358" w:rsidRPr="001124E8">
        <w:t xml:space="preserve"> University of Massachusetts Boston</w:t>
      </w:r>
      <w:r w:rsidR="00AF5E7A" w:rsidRPr="001124E8">
        <w:t>;</w:t>
      </w:r>
      <w:r w:rsidR="00D16358" w:rsidRPr="001124E8">
        <w:t xml:space="preserve"> University of Southern California</w:t>
      </w:r>
      <w:r w:rsidR="00AF5E7A" w:rsidRPr="001124E8">
        <w:t>;</w:t>
      </w:r>
      <w:r w:rsidR="00D16358" w:rsidRPr="001124E8">
        <w:t xml:space="preserve"> Wagner </w:t>
      </w:r>
      <w:r w:rsidR="001124E8" w:rsidRPr="001124E8">
        <w:t>Consult</w:t>
      </w:r>
      <w:r w:rsidR="001124E8">
        <w:t>ing</w:t>
      </w:r>
      <w:r w:rsidR="00AF5E7A" w:rsidRPr="001124E8">
        <w:t>;</w:t>
      </w:r>
      <w:r w:rsidR="00D16358" w:rsidRPr="001124E8">
        <w:t xml:space="preserve"> Walton Hi Tech Industries Ltd</w:t>
      </w:r>
      <w:r w:rsidR="003E6697" w:rsidRPr="001124E8">
        <w:t>.</w:t>
      </w:r>
    </w:p>
    <w:p w:rsidR="000E7DB2" w:rsidRPr="004E7D79" w:rsidRDefault="000E7DB2" w:rsidP="00E52C83">
      <w:pPr>
        <w:pStyle w:val="CH2"/>
      </w:pPr>
      <w:r w:rsidRPr="00DB6883">
        <w:tab/>
        <w:t>B.</w:t>
      </w:r>
      <w:r w:rsidRPr="00DB6883">
        <w:tab/>
        <w:t xml:space="preserve">Officers </w:t>
      </w:r>
    </w:p>
    <w:p w:rsidR="000E7DB2" w:rsidRPr="00DB6883" w:rsidRDefault="000E7DB2" w:rsidP="004E7D79">
      <w:pPr>
        <w:pStyle w:val="Normalnumber"/>
        <w:tabs>
          <w:tab w:val="clear" w:pos="567"/>
          <w:tab w:val="clear" w:pos="1247"/>
          <w:tab w:val="clear" w:pos="1814"/>
          <w:tab w:val="clear" w:pos="2381"/>
          <w:tab w:val="clear" w:pos="2948"/>
          <w:tab w:val="clear" w:pos="3515"/>
          <w:tab w:val="left" w:pos="624"/>
        </w:tabs>
      </w:pPr>
      <w:r w:rsidRPr="00DF6D5C">
        <w:t xml:space="preserve">The preparatory segment was co-chaired by Mr. </w:t>
      </w:r>
      <w:r w:rsidR="00F6300A" w:rsidRPr="00E861A7">
        <w:t>Sylla</w:t>
      </w:r>
      <w:r w:rsidRPr="00DB6883">
        <w:t xml:space="preserve"> and </w:t>
      </w:r>
      <w:r w:rsidR="00F6300A" w:rsidRPr="00DB6883">
        <w:t>Ms</w:t>
      </w:r>
      <w:r w:rsidRPr="00DB6883">
        <w:t xml:space="preserve">. </w:t>
      </w:r>
      <w:r w:rsidR="00F6300A" w:rsidRPr="00DB6883">
        <w:t>Newberg</w:t>
      </w:r>
      <w:r w:rsidRPr="00DB6883">
        <w:t>.</w:t>
      </w:r>
    </w:p>
    <w:p w:rsidR="000E7DB2" w:rsidRPr="00DB6883" w:rsidRDefault="000E7DB2" w:rsidP="009E7709">
      <w:pPr>
        <w:pStyle w:val="CH2"/>
      </w:pPr>
      <w:r w:rsidRPr="00DB6883">
        <w:tab/>
        <w:t>C.</w:t>
      </w:r>
      <w:r w:rsidRPr="00DB6883">
        <w:tab/>
        <w:t>Adoption of the agenda of the preparatory segment</w:t>
      </w:r>
    </w:p>
    <w:p w:rsidR="000E7DB2" w:rsidRPr="00DB6883" w:rsidRDefault="000E7DB2" w:rsidP="004E7D79">
      <w:pPr>
        <w:pStyle w:val="Normalnumber"/>
        <w:tabs>
          <w:tab w:val="clear" w:pos="567"/>
          <w:tab w:val="clear" w:pos="1247"/>
          <w:tab w:val="clear" w:pos="1814"/>
          <w:tab w:val="clear" w:pos="2381"/>
          <w:tab w:val="clear" w:pos="2948"/>
          <w:tab w:val="clear" w:pos="3515"/>
          <w:tab w:val="left" w:pos="624"/>
        </w:tabs>
      </w:pPr>
      <w:r w:rsidRPr="00DB6883">
        <w:t xml:space="preserve">The </w:t>
      </w:r>
      <w:r w:rsidRPr="007D46DA">
        <w:t>following agenda</w:t>
      </w:r>
      <w:r w:rsidRPr="00DB6883">
        <w:t xml:space="preserve"> for the preparatory segment was adopted on the basis of the provisional agenda contained in document UNEP/OzL.Conv.11/1-UNEP/OzL.Pro.29/1:</w:t>
      </w:r>
    </w:p>
    <w:p w:rsidR="0031269C" w:rsidRPr="00DB6883" w:rsidRDefault="000E7DB2" w:rsidP="00764764">
      <w:pPr>
        <w:pStyle w:val="Normalnumber"/>
        <w:numPr>
          <w:ilvl w:val="0"/>
          <w:numId w:val="0"/>
        </w:numPr>
        <w:tabs>
          <w:tab w:val="clear" w:pos="1247"/>
          <w:tab w:val="clear" w:pos="1814"/>
          <w:tab w:val="clear" w:pos="2381"/>
          <w:tab w:val="clear" w:pos="2948"/>
          <w:tab w:val="clear" w:pos="3515"/>
          <w:tab w:val="left" w:pos="624"/>
        </w:tabs>
        <w:ind w:left="2495" w:hanging="624"/>
      </w:pPr>
      <w:r w:rsidRPr="00DB6883">
        <w:lastRenderedPageBreak/>
        <w:t>1.</w:t>
      </w:r>
      <w:r w:rsidRPr="00DB6883">
        <w:tab/>
      </w:r>
      <w:r w:rsidR="0031269C" w:rsidRPr="00DB6883">
        <w:t>Opening of the preparatory segment.</w:t>
      </w:r>
    </w:p>
    <w:p w:rsidR="0031269C" w:rsidRPr="00DB6883" w:rsidRDefault="000E7DB2" w:rsidP="00764764">
      <w:pPr>
        <w:pStyle w:val="Normalnumber"/>
        <w:numPr>
          <w:ilvl w:val="0"/>
          <w:numId w:val="0"/>
        </w:numPr>
        <w:tabs>
          <w:tab w:val="clear" w:pos="1247"/>
          <w:tab w:val="clear" w:pos="1814"/>
          <w:tab w:val="clear" w:pos="2381"/>
          <w:tab w:val="clear" w:pos="2948"/>
          <w:tab w:val="clear" w:pos="3515"/>
          <w:tab w:val="left" w:pos="624"/>
        </w:tabs>
        <w:ind w:left="2495" w:hanging="624"/>
      </w:pPr>
      <w:r w:rsidRPr="00DB6883">
        <w:t>2.</w:t>
      </w:r>
      <w:r w:rsidRPr="00DB6883">
        <w:tab/>
      </w:r>
      <w:r w:rsidR="0031269C" w:rsidRPr="00DB6883">
        <w:t xml:space="preserve">Organizational matters: </w:t>
      </w:r>
    </w:p>
    <w:p w:rsidR="0031269C" w:rsidRPr="00DB6883" w:rsidRDefault="000E7DB2" w:rsidP="004B04D7">
      <w:pPr>
        <w:pStyle w:val="Normalnumber"/>
        <w:numPr>
          <w:ilvl w:val="0"/>
          <w:numId w:val="0"/>
        </w:numPr>
        <w:tabs>
          <w:tab w:val="clear" w:pos="1814"/>
          <w:tab w:val="clear" w:pos="2381"/>
          <w:tab w:val="clear" w:pos="2948"/>
          <w:tab w:val="clear" w:pos="3515"/>
          <w:tab w:val="left" w:pos="624"/>
          <w:tab w:val="left" w:pos="1871"/>
          <w:tab w:val="left" w:pos="2495"/>
          <w:tab w:val="left" w:pos="3119"/>
        </w:tabs>
        <w:ind w:left="2495"/>
      </w:pPr>
      <w:r w:rsidRPr="00DB6883">
        <w:t>(a)</w:t>
      </w:r>
      <w:r w:rsidRPr="00DB6883">
        <w:tab/>
      </w:r>
      <w:r w:rsidR="0031269C" w:rsidRPr="00DB6883">
        <w:t>Adoption of the agenda of the preparatory segment;</w:t>
      </w:r>
    </w:p>
    <w:p w:rsidR="0031269C" w:rsidRPr="00DB6883" w:rsidRDefault="000E7DB2" w:rsidP="004B04D7">
      <w:pPr>
        <w:pStyle w:val="Normalnumber"/>
        <w:numPr>
          <w:ilvl w:val="0"/>
          <w:numId w:val="0"/>
        </w:numPr>
        <w:tabs>
          <w:tab w:val="clear" w:pos="1814"/>
          <w:tab w:val="clear" w:pos="2381"/>
          <w:tab w:val="clear" w:pos="2948"/>
          <w:tab w:val="clear" w:pos="3515"/>
          <w:tab w:val="left" w:pos="624"/>
          <w:tab w:val="left" w:pos="1871"/>
          <w:tab w:val="left" w:pos="2495"/>
          <w:tab w:val="left" w:pos="3119"/>
        </w:tabs>
        <w:ind w:left="2495"/>
      </w:pPr>
      <w:r w:rsidRPr="00DB6883">
        <w:t>(b)</w:t>
      </w:r>
      <w:r w:rsidRPr="00DB6883">
        <w:tab/>
      </w:r>
      <w:r w:rsidR="0031269C" w:rsidRPr="00DB6883">
        <w:t>Organization of work.</w:t>
      </w:r>
    </w:p>
    <w:p w:rsidR="0031269C" w:rsidRPr="00DB6883" w:rsidRDefault="00C40E62" w:rsidP="004E7D79">
      <w:pPr>
        <w:pStyle w:val="Normalnumber"/>
        <w:numPr>
          <w:ilvl w:val="0"/>
          <w:numId w:val="0"/>
        </w:numPr>
        <w:tabs>
          <w:tab w:val="clear" w:pos="1247"/>
          <w:tab w:val="clear" w:pos="1814"/>
          <w:tab w:val="clear" w:pos="2381"/>
          <w:tab w:val="clear" w:pos="2948"/>
          <w:tab w:val="clear" w:pos="3515"/>
          <w:tab w:val="left" w:pos="624"/>
        </w:tabs>
        <w:ind w:left="2495" w:hanging="624"/>
      </w:pPr>
      <w:r w:rsidRPr="00DB6883">
        <w:t>3.</w:t>
      </w:r>
      <w:r w:rsidRPr="00DB6883">
        <w:tab/>
      </w:r>
      <w:r w:rsidR="0031269C" w:rsidRPr="00DB6883">
        <w:t>Financial reports and budgets of the trust funds for the Vienna Convention and the Montreal Protocol.</w:t>
      </w:r>
    </w:p>
    <w:p w:rsidR="0031269C" w:rsidRPr="00DB6883" w:rsidRDefault="00C40E62" w:rsidP="00764764">
      <w:pPr>
        <w:pStyle w:val="Normalnumber"/>
        <w:numPr>
          <w:ilvl w:val="0"/>
          <w:numId w:val="0"/>
        </w:numPr>
        <w:tabs>
          <w:tab w:val="clear" w:pos="1247"/>
          <w:tab w:val="clear" w:pos="1814"/>
          <w:tab w:val="clear" w:pos="2381"/>
          <w:tab w:val="clear" w:pos="2948"/>
          <w:tab w:val="clear" w:pos="3515"/>
          <w:tab w:val="left" w:pos="624"/>
        </w:tabs>
        <w:ind w:left="2495" w:hanging="624"/>
      </w:pPr>
      <w:r w:rsidRPr="00DB6883">
        <w:t>4.</w:t>
      </w:r>
      <w:r w:rsidRPr="00DB6883">
        <w:tab/>
      </w:r>
      <w:r w:rsidR="0031269C" w:rsidRPr="00DB6883">
        <w:t>Montreal Protocol issues:</w:t>
      </w:r>
    </w:p>
    <w:p w:rsidR="0031269C" w:rsidRPr="00DB6883" w:rsidRDefault="00C40E62" w:rsidP="004B04D7">
      <w:pPr>
        <w:pStyle w:val="Normalnumber"/>
        <w:numPr>
          <w:ilvl w:val="0"/>
          <w:numId w:val="0"/>
        </w:numPr>
        <w:tabs>
          <w:tab w:val="clear" w:pos="1814"/>
          <w:tab w:val="clear" w:pos="2381"/>
          <w:tab w:val="clear" w:pos="2948"/>
          <w:tab w:val="clear" w:pos="3515"/>
          <w:tab w:val="left" w:pos="624"/>
          <w:tab w:val="left" w:pos="1871"/>
          <w:tab w:val="left" w:pos="2495"/>
          <w:tab w:val="left" w:pos="3119"/>
        </w:tabs>
        <w:ind w:left="3119" w:hanging="624"/>
      </w:pPr>
      <w:r w:rsidRPr="00DB6883">
        <w:t>(a)</w:t>
      </w:r>
      <w:r w:rsidRPr="00DB6883">
        <w:tab/>
      </w:r>
      <w:r w:rsidR="0031269C" w:rsidRPr="00DB6883">
        <w:t>Replenishment of the Multilateral Fund for the Implementation of the Montreal Protocol:</w:t>
      </w:r>
    </w:p>
    <w:p w:rsidR="0031269C" w:rsidRPr="00DB6883" w:rsidRDefault="00C40E62" w:rsidP="004B04D7">
      <w:pPr>
        <w:pStyle w:val="Normalnumber"/>
        <w:numPr>
          <w:ilvl w:val="0"/>
          <w:numId w:val="0"/>
        </w:numPr>
        <w:tabs>
          <w:tab w:val="clear" w:pos="1814"/>
          <w:tab w:val="clear" w:pos="2381"/>
          <w:tab w:val="clear" w:pos="2948"/>
          <w:tab w:val="clear" w:pos="3515"/>
          <w:tab w:val="left" w:pos="624"/>
          <w:tab w:val="left" w:pos="1871"/>
          <w:tab w:val="left" w:pos="2495"/>
          <w:tab w:val="left" w:pos="3119"/>
        </w:tabs>
        <w:ind w:left="3744" w:hanging="625"/>
      </w:pPr>
      <w:r w:rsidRPr="00DB6883">
        <w:t>(i)</w:t>
      </w:r>
      <w:r w:rsidRPr="00DB6883">
        <w:tab/>
      </w:r>
      <w:r w:rsidR="0031269C" w:rsidRPr="00DB6883">
        <w:t>Supplementary report of the Technology and Economic Assessment Panel replenishment task force;</w:t>
      </w:r>
    </w:p>
    <w:p w:rsidR="0031269C" w:rsidRPr="00DB6883" w:rsidRDefault="00C40E62" w:rsidP="004B04D7">
      <w:pPr>
        <w:pStyle w:val="Normalnumber"/>
        <w:numPr>
          <w:ilvl w:val="0"/>
          <w:numId w:val="0"/>
        </w:numPr>
        <w:tabs>
          <w:tab w:val="clear" w:pos="1814"/>
          <w:tab w:val="clear" w:pos="2381"/>
          <w:tab w:val="clear" w:pos="2948"/>
          <w:tab w:val="clear" w:pos="3515"/>
          <w:tab w:val="left" w:pos="624"/>
          <w:tab w:val="left" w:pos="1871"/>
          <w:tab w:val="left" w:pos="2495"/>
          <w:tab w:val="left" w:pos="3119"/>
        </w:tabs>
        <w:ind w:left="3119"/>
      </w:pPr>
      <w:r w:rsidRPr="00DB6883">
        <w:t>(ii)</w:t>
      </w:r>
      <w:r w:rsidRPr="00DB6883">
        <w:tab/>
      </w:r>
      <w:r w:rsidR="0031269C" w:rsidRPr="00DB6883">
        <w:t>Extension of the fixed-exchange-rate mechanism for 2018–2020</w:t>
      </w:r>
      <w:r w:rsidR="00304F33" w:rsidRPr="00DB6883">
        <w:t>;</w:t>
      </w:r>
    </w:p>
    <w:p w:rsidR="0031269C" w:rsidRPr="00DB6883" w:rsidRDefault="00C40E62" w:rsidP="00EC2399">
      <w:pPr>
        <w:pStyle w:val="Normalnumber"/>
        <w:numPr>
          <w:ilvl w:val="0"/>
          <w:numId w:val="0"/>
        </w:numPr>
        <w:tabs>
          <w:tab w:val="clear" w:pos="1814"/>
          <w:tab w:val="clear" w:pos="2381"/>
          <w:tab w:val="clear" w:pos="2948"/>
          <w:tab w:val="clear" w:pos="3515"/>
          <w:tab w:val="left" w:pos="624"/>
          <w:tab w:val="left" w:pos="1871"/>
          <w:tab w:val="left" w:pos="2495"/>
          <w:tab w:val="left" w:pos="3119"/>
        </w:tabs>
        <w:ind w:left="3119" w:hanging="624"/>
      </w:pPr>
      <w:r w:rsidRPr="00DB6883">
        <w:t>(b)</w:t>
      </w:r>
      <w:r w:rsidRPr="00DB6883">
        <w:tab/>
      </w:r>
      <w:r w:rsidR="0031269C" w:rsidRPr="00DB6883">
        <w:t>Kigali Amendment to the Montreal Protocol</w:t>
      </w:r>
      <w:r w:rsidR="005532BA" w:rsidRPr="00DB6883">
        <w:t xml:space="preserve"> to phase down hydrofluorocarbons</w:t>
      </w:r>
      <w:r w:rsidR="0031269C" w:rsidRPr="00DB6883">
        <w:t>:</w:t>
      </w:r>
    </w:p>
    <w:p w:rsidR="0031269C" w:rsidRPr="00DB6883" w:rsidRDefault="00C40E62" w:rsidP="000C0200">
      <w:pPr>
        <w:pStyle w:val="Normalnumber"/>
        <w:numPr>
          <w:ilvl w:val="0"/>
          <w:numId w:val="0"/>
        </w:numPr>
        <w:tabs>
          <w:tab w:val="clear" w:pos="1814"/>
          <w:tab w:val="clear" w:pos="2381"/>
          <w:tab w:val="clear" w:pos="2948"/>
          <w:tab w:val="clear" w:pos="3515"/>
          <w:tab w:val="left" w:pos="624"/>
          <w:tab w:val="left" w:pos="1871"/>
          <w:tab w:val="left" w:pos="2495"/>
          <w:tab w:val="left" w:pos="3119"/>
        </w:tabs>
        <w:ind w:left="3744" w:hanging="625"/>
      </w:pPr>
      <w:r w:rsidRPr="00DB6883">
        <w:t>(i)</w:t>
      </w:r>
      <w:r w:rsidRPr="00DB6883">
        <w:tab/>
      </w:r>
      <w:r w:rsidR="0031269C" w:rsidRPr="00DB6883">
        <w:t>Status of ratification of the Kigali Amendment to the Montreal Protocol;</w:t>
      </w:r>
    </w:p>
    <w:p w:rsidR="0031269C" w:rsidRPr="00E861A7" w:rsidRDefault="00C40E62" w:rsidP="004B04D7">
      <w:pPr>
        <w:pStyle w:val="Normalnumber"/>
        <w:numPr>
          <w:ilvl w:val="0"/>
          <w:numId w:val="0"/>
        </w:numPr>
        <w:tabs>
          <w:tab w:val="clear" w:pos="1814"/>
          <w:tab w:val="clear" w:pos="2381"/>
          <w:tab w:val="clear" w:pos="2948"/>
          <w:tab w:val="clear" w:pos="3515"/>
          <w:tab w:val="left" w:pos="624"/>
          <w:tab w:val="left" w:pos="1871"/>
          <w:tab w:val="left" w:pos="2495"/>
          <w:tab w:val="left" w:pos="3119"/>
        </w:tabs>
        <w:ind w:left="3744" w:hanging="625"/>
      </w:pPr>
      <w:r w:rsidRPr="00DB6883">
        <w:t>(ii)</w:t>
      </w:r>
      <w:r w:rsidRPr="00DB6883">
        <w:tab/>
      </w:r>
      <w:r w:rsidR="005532BA" w:rsidRPr="00DB6883">
        <w:t>Data r</w:t>
      </w:r>
      <w:r w:rsidR="0031269C" w:rsidRPr="00DB6883">
        <w:t>eporting under Article 7 of the Montreal Protocol</w:t>
      </w:r>
      <w:r w:rsidR="005532BA" w:rsidRPr="00DB6883">
        <w:t>,</w:t>
      </w:r>
      <w:r w:rsidR="0031269C" w:rsidRPr="00DB6883">
        <w:t xml:space="preserve"> including related issues and destruction technologies for substances in Annex F to the Montreal Protocol</w:t>
      </w:r>
      <w:r w:rsidR="00304F33" w:rsidRPr="004E7D79">
        <w:t>;</w:t>
      </w:r>
    </w:p>
    <w:p w:rsidR="0031269C" w:rsidRPr="00DB6883" w:rsidRDefault="00C40E62" w:rsidP="004B04D7">
      <w:pPr>
        <w:pStyle w:val="Normalnumber"/>
        <w:numPr>
          <w:ilvl w:val="0"/>
          <w:numId w:val="0"/>
        </w:numPr>
        <w:tabs>
          <w:tab w:val="clear" w:pos="1814"/>
          <w:tab w:val="clear" w:pos="2381"/>
          <w:tab w:val="clear" w:pos="2948"/>
          <w:tab w:val="clear" w:pos="3515"/>
          <w:tab w:val="left" w:pos="624"/>
          <w:tab w:val="left" w:pos="1871"/>
          <w:tab w:val="left" w:pos="2495"/>
          <w:tab w:val="left" w:pos="3119"/>
        </w:tabs>
        <w:ind w:left="2495"/>
      </w:pPr>
      <w:r w:rsidRPr="00DB6883">
        <w:t>(c)</w:t>
      </w:r>
      <w:r w:rsidRPr="00DB6883">
        <w:tab/>
      </w:r>
      <w:r w:rsidR="0031269C" w:rsidRPr="00DB6883">
        <w:t>Issues related to exemptions from Article 2 of the Montreal Protocol:</w:t>
      </w:r>
    </w:p>
    <w:p w:rsidR="0031269C" w:rsidRPr="00DB6883" w:rsidRDefault="00C40E62" w:rsidP="000C0200">
      <w:pPr>
        <w:pStyle w:val="Normalnumber"/>
        <w:numPr>
          <w:ilvl w:val="0"/>
          <w:numId w:val="0"/>
        </w:numPr>
        <w:tabs>
          <w:tab w:val="clear" w:pos="1814"/>
          <w:tab w:val="clear" w:pos="2381"/>
          <w:tab w:val="clear" w:pos="2948"/>
          <w:tab w:val="clear" w:pos="3515"/>
          <w:tab w:val="left" w:pos="624"/>
          <w:tab w:val="left" w:pos="1871"/>
          <w:tab w:val="left" w:pos="2495"/>
          <w:tab w:val="left" w:pos="3119"/>
        </w:tabs>
        <w:ind w:left="3744" w:hanging="625"/>
      </w:pPr>
      <w:r w:rsidRPr="00DB6883">
        <w:t>(i)</w:t>
      </w:r>
      <w:r w:rsidRPr="00DB6883">
        <w:tab/>
      </w:r>
      <w:r w:rsidR="0031269C" w:rsidRPr="00DB6883">
        <w:t>Nominations for essential</w:t>
      </w:r>
      <w:r w:rsidR="0031269C" w:rsidRPr="00DB6883">
        <w:noBreakHyphen/>
        <w:t>use exemptions for 2018;</w:t>
      </w:r>
    </w:p>
    <w:p w:rsidR="0031269C" w:rsidRPr="00DB6883" w:rsidRDefault="00C40E62" w:rsidP="000C0200">
      <w:pPr>
        <w:pStyle w:val="Normalnumber"/>
        <w:numPr>
          <w:ilvl w:val="0"/>
          <w:numId w:val="0"/>
        </w:numPr>
        <w:tabs>
          <w:tab w:val="clear" w:pos="1814"/>
          <w:tab w:val="clear" w:pos="2381"/>
          <w:tab w:val="clear" w:pos="2948"/>
          <w:tab w:val="clear" w:pos="3515"/>
          <w:tab w:val="left" w:pos="624"/>
          <w:tab w:val="left" w:pos="1871"/>
          <w:tab w:val="left" w:pos="2495"/>
          <w:tab w:val="left" w:pos="3119"/>
        </w:tabs>
        <w:ind w:left="3744" w:hanging="625"/>
      </w:pPr>
      <w:r w:rsidRPr="00DB6883">
        <w:t>(ii)</w:t>
      </w:r>
      <w:r w:rsidRPr="00DB6883">
        <w:tab/>
      </w:r>
      <w:r w:rsidR="0031269C" w:rsidRPr="00DB6883">
        <w:t>Nominations for critical-use exemptions for 2018 and 2019;</w:t>
      </w:r>
    </w:p>
    <w:p w:rsidR="0031269C" w:rsidRPr="00DB6883" w:rsidRDefault="00C40E62" w:rsidP="004B04D7">
      <w:pPr>
        <w:pStyle w:val="Normalnumber"/>
        <w:numPr>
          <w:ilvl w:val="0"/>
          <w:numId w:val="0"/>
        </w:numPr>
        <w:tabs>
          <w:tab w:val="clear" w:pos="1814"/>
          <w:tab w:val="clear" w:pos="2381"/>
          <w:tab w:val="clear" w:pos="2948"/>
          <w:tab w:val="clear" w:pos="3515"/>
          <w:tab w:val="left" w:pos="624"/>
          <w:tab w:val="left" w:pos="1871"/>
          <w:tab w:val="left" w:pos="2495"/>
          <w:tab w:val="left" w:pos="3119"/>
        </w:tabs>
        <w:ind w:left="2495"/>
      </w:pPr>
      <w:r w:rsidRPr="00DB6883">
        <w:t>(d)</w:t>
      </w:r>
      <w:r w:rsidRPr="00DB6883">
        <w:tab/>
      </w:r>
      <w:r w:rsidR="0031269C" w:rsidRPr="00DB6883">
        <w:t>Use of controlled substances as process agents</w:t>
      </w:r>
      <w:r w:rsidR="00233E10" w:rsidRPr="00DB6883">
        <w:t>;</w:t>
      </w:r>
    </w:p>
    <w:p w:rsidR="0031269C" w:rsidRPr="00DB6883" w:rsidRDefault="00C40E62" w:rsidP="004B04D7">
      <w:pPr>
        <w:pStyle w:val="Normalnumber"/>
        <w:numPr>
          <w:ilvl w:val="0"/>
          <w:numId w:val="0"/>
        </w:numPr>
        <w:tabs>
          <w:tab w:val="clear" w:pos="1814"/>
          <w:tab w:val="clear" w:pos="2381"/>
          <w:tab w:val="clear" w:pos="2948"/>
          <w:tab w:val="clear" w:pos="3515"/>
          <w:tab w:val="left" w:pos="624"/>
          <w:tab w:val="left" w:pos="1871"/>
          <w:tab w:val="left" w:pos="2495"/>
          <w:tab w:val="left" w:pos="3119"/>
        </w:tabs>
        <w:ind w:left="3119" w:hanging="624"/>
      </w:pPr>
      <w:r w:rsidRPr="00DB6883">
        <w:t>(e)</w:t>
      </w:r>
      <w:r w:rsidRPr="00DB6883">
        <w:tab/>
      </w:r>
      <w:r w:rsidR="0031269C" w:rsidRPr="00DB6883">
        <w:t>Key messages from the Technology and Economic Assessment Panel</w:t>
      </w:r>
      <w:r w:rsidR="005532BA" w:rsidRPr="00DB6883">
        <w:t xml:space="preserve"> 2017 report</w:t>
      </w:r>
      <w:r w:rsidR="00233E10" w:rsidRPr="00DB6883">
        <w:t>;</w:t>
      </w:r>
    </w:p>
    <w:p w:rsidR="0031269C" w:rsidRPr="00DB6883" w:rsidRDefault="00C40E62" w:rsidP="004B04D7">
      <w:pPr>
        <w:pStyle w:val="Normalnumber"/>
        <w:numPr>
          <w:ilvl w:val="0"/>
          <w:numId w:val="0"/>
        </w:numPr>
        <w:tabs>
          <w:tab w:val="clear" w:pos="1814"/>
          <w:tab w:val="clear" w:pos="2381"/>
          <w:tab w:val="clear" w:pos="2948"/>
          <w:tab w:val="clear" w:pos="3515"/>
          <w:tab w:val="left" w:pos="624"/>
          <w:tab w:val="left" w:pos="1871"/>
          <w:tab w:val="left" w:pos="2495"/>
          <w:tab w:val="left" w:pos="3119"/>
        </w:tabs>
        <w:ind w:left="2495"/>
      </w:pPr>
      <w:r w:rsidRPr="00DB6883">
        <w:t>(f)</w:t>
      </w:r>
      <w:r w:rsidRPr="00DB6883">
        <w:tab/>
      </w:r>
      <w:r w:rsidR="0074431D" w:rsidRPr="00DB6883">
        <w:t>P</w:t>
      </w:r>
      <w:r w:rsidR="0031269C" w:rsidRPr="00DB6883">
        <w:t>hase</w:t>
      </w:r>
      <w:r w:rsidR="0074431D" w:rsidRPr="00DB6883">
        <w:t>-</w:t>
      </w:r>
      <w:r w:rsidR="0031269C" w:rsidRPr="00DB6883">
        <w:t>out of hydrochlorofluorocarbons</w:t>
      </w:r>
      <w:r w:rsidR="00233E10" w:rsidRPr="00DB6883">
        <w:t>;</w:t>
      </w:r>
    </w:p>
    <w:p w:rsidR="0031269C" w:rsidRPr="00DB6883" w:rsidRDefault="00C40E62" w:rsidP="004B04D7">
      <w:pPr>
        <w:pStyle w:val="Normalnumber"/>
        <w:numPr>
          <w:ilvl w:val="0"/>
          <w:numId w:val="0"/>
        </w:numPr>
        <w:tabs>
          <w:tab w:val="clear" w:pos="1814"/>
          <w:tab w:val="clear" w:pos="2381"/>
          <w:tab w:val="clear" w:pos="2948"/>
          <w:tab w:val="clear" w:pos="3515"/>
          <w:tab w:val="left" w:pos="624"/>
          <w:tab w:val="left" w:pos="1871"/>
          <w:tab w:val="left" w:pos="2495"/>
          <w:tab w:val="left" w:pos="3119"/>
        </w:tabs>
        <w:ind w:left="2495"/>
      </w:pPr>
      <w:r w:rsidRPr="00DB6883">
        <w:t>(g)</w:t>
      </w:r>
      <w:r w:rsidRPr="00DB6883">
        <w:tab/>
      </w:r>
      <w:r w:rsidR="0031269C" w:rsidRPr="00DB6883">
        <w:t>Energy efficiency (decision XXVIII/3):</w:t>
      </w:r>
    </w:p>
    <w:p w:rsidR="0031269C" w:rsidRPr="00DB6883" w:rsidRDefault="00C40E62" w:rsidP="004B04D7">
      <w:pPr>
        <w:pStyle w:val="Normalnumber"/>
        <w:numPr>
          <w:ilvl w:val="0"/>
          <w:numId w:val="0"/>
        </w:numPr>
        <w:tabs>
          <w:tab w:val="clear" w:pos="1814"/>
          <w:tab w:val="clear" w:pos="2381"/>
          <w:tab w:val="clear" w:pos="2948"/>
          <w:tab w:val="clear" w:pos="3515"/>
          <w:tab w:val="left" w:pos="624"/>
          <w:tab w:val="left" w:pos="1871"/>
          <w:tab w:val="left" w:pos="2495"/>
          <w:tab w:val="left" w:pos="3119"/>
        </w:tabs>
        <w:ind w:left="3744" w:hanging="625"/>
      </w:pPr>
      <w:r w:rsidRPr="00DB6883">
        <w:t>(</w:t>
      </w:r>
      <w:proofErr w:type="gramStart"/>
      <w:r w:rsidRPr="00DB6883">
        <w:t>i</w:t>
      </w:r>
      <w:proofErr w:type="gramEnd"/>
      <w:r w:rsidRPr="00DB6883">
        <w:t>)</w:t>
      </w:r>
      <w:r w:rsidRPr="00DB6883">
        <w:tab/>
      </w:r>
      <w:r w:rsidR="0031269C" w:rsidRPr="00DB6883">
        <w:t>Report by the Technology and Economic Assessment Panel on information submitted by parties on energy efficiency opportunities in the refrigeration and air-conditioning sector;</w:t>
      </w:r>
    </w:p>
    <w:p w:rsidR="0031269C" w:rsidRPr="00DB6883" w:rsidRDefault="00C40E62" w:rsidP="004B04D7">
      <w:pPr>
        <w:pStyle w:val="Normalnumber"/>
        <w:numPr>
          <w:ilvl w:val="0"/>
          <w:numId w:val="0"/>
        </w:numPr>
        <w:tabs>
          <w:tab w:val="clear" w:pos="1814"/>
          <w:tab w:val="clear" w:pos="2381"/>
          <w:tab w:val="clear" w:pos="2948"/>
          <w:tab w:val="clear" w:pos="3515"/>
          <w:tab w:val="left" w:pos="624"/>
          <w:tab w:val="left" w:pos="1871"/>
          <w:tab w:val="left" w:pos="2495"/>
          <w:tab w:val="left" w:pos="3119"/>
        </w:tabs>
        <w:ind w:left="3744" w:hanging="625"/>
      </w:pPr>
      <w:r w:rsidRPr="00DB6883">
        <w:t>(ii)</w:t>
      </w:r>
      <w:r w:rsidRPr="00DB6883">
        <w:tab/>
      </w:r>
      <w:r w:rsidR="0031269C" w:rsidRPr="00DB6883">
        <w:t xml:space="preserve">Issues related to financial and technical support for energy efficiency in </w:t>
      </w:r>
      <w:r w:rsidR="005532BA" w:rsidRPr="00DB6883">
        <w:t xml:space="preserve">parties </w:t>
      </w:r>
      <w:r w:rsidR="0031269C" w:rsidRPr="00DB6883">
        <w:t>operating under paragraph 1 of Article 5</w:t>
      </w:r>
      <w:r w:rsidR="00304F33" w:rsidRPr="00DB6883">
        <w:t>;</w:t>
      </w:r>
    </w:p>
    <w:p w:rsidR="0031269C" w:rsidRPr="00DB6883" w:rsidRDefault="00C40E62" w:rsidP="004B04D7">
      <w:pPr>
        <w:pStyle w:val="Normalnumber"/>
        <w:numPr>
          <w:ilvl w:val="0"/>
          <w:numId w:val="0"/>
        </w:numPr>
        <w:tabs>
          <w:tab w:val="clear" w:pos="1814"/>
          <w:tab w:val="clear" w:pos="2381"/>
          <w:tab w:val="clear" w:pos="2948"/>
          <w:tab w:val="clear" w:pos="3515"/>
          <w:tab w:val="left" w:pos="624"/>
          <w:tab w:val="left" w:pos="1871"/>
          <w:tab w:val="left" w:pos="2495"/>
          <w:tab w:val="left" w:pos="3119"/>
        </w:tabs>
        <w:ind w:left="2495"/>
      </w:pPr>
      <w:r w:rsidRPr="00DB6883">
        <w:t>(h)</w:t>
      </w:r>
      <w:r w:rsidRPr="00DB6883">
        <w:tab/>
      </w:r>
      <w:r w:rsidR="0031269C" w:rsidRPr="00DB6883">
        <w:t>Safety standards relevant to low-global-warming-potential alternatives</w:t>
      </w:r>
      <w:r w:rsidR="00233E10" w:rsidRPr="00DB6883">
        <w:t>;</w:t>
      </w:r>
    </w:p>
    <w:p w:rsidR="0031269C" w:rsidRPr="00DB6883" w:rsidRDefault="00C40E62" w:rsidP="004B04D7">
      <w:pPr>
        <w:pStyle w:val="Normalnumber"/>
        <w:numPr>
          <w:ilvl w:val="0"/>
          <w:numId w:val="0"/>
        </w:numPr>
        <w:tabs>
          <w:tab w:val="clear" w:pos="1814"/>
          <w:tab w:val="clear" w:pos="2381"/>
          <w:tab w:val="clear" w:pos="2948"/>
          <w:tab w:val="clear" w:pos="3515"/>
          <w:tab w:val="left" w:pos="624"/>
          <w:tab w:val="left" w:pos="1871"/>
          <w:tab w:val="left" w:pos="2495"/>
          <w:tab w:val="left" w:pos="3119"/>
        </w:tabs>
        <w:ind w:left="3119" w:hanging="624"/>
      </w:pPr>
      <w:r w:rsidRPr="00DB6883">
        <w:t>(i)</w:t>
      </w:r>
      <w:r w:rsidRPr="00DB6883">
        <w:tab/>
      </w:r>
      <w:r w:rsidR="0031269C" w:rsidRPr="00DB6883">
        <w:t>Consideration of hydrofluorocarbons not listed in Annex F to the Montreal Protocol</w:t>
      </w:r>
      <w:r w:rsidR="00233E10" w:rsidRPr="00DB6883">
        <w:t>;</w:t>
      </w:r>
    </w:p>
    <w:p w:rsidR="0031269C" w:rsidRPr="00DB6883" w:rsidRDefault="00C40E62" w:rsidP="004B04D7">
      <w:pPr>
        <w:pStyle w:val="Normalnumber"/>
        <w:numPr>
          <w:ilvl w:val="0"/>
          <w:numId w:val="0"/>
        </w:numPr>
        <w:tabs>
          <w:tab w:val="clear" w:pos="1814"/>
          <w:tab w:val="clear" w:pos="2381"/>
          <w:tab w:val="clear" w:pos="2948"/>
          <w:tab w:val="clear" w:pos="3515"/>
          <w:tab w:val="left" w:pos="624"/>
          <w:tab w:val="left" w:pos="1871"/>
          <w:tab w:val="left" w:pos="2495"/>
          <w:tab w:val="left" w:pos="3119"/>
        </w:tabs>
        <w:ind w:left="3119" w:hanging="624"/>
      </w:pPr>
      <w:r w:rsidRPr="00DB6883">
        <w:t>(j)</w:t>
      </w:r>
      <w:r w:rsidRPr="00DB6883">
        <w:tab/>
      </w:r>
      <w:r w:rsidR="0031269C" w:rsidRPr="00DB6883">
        <w:t>Nomination and appointment of co-chairs and members of the Technology and Economic Assessment Panel and its technical options committees</w:t>
      </w:r>
      <w:r w:rsidR="00233E10" w:rsidRPr="00DB6883">
        <w:t>;</w:t>
      </w:r>
    </w:p>
    <w:p w:rsidR="0031269C" w:rsidRPr="00DB6883" w:rsidRDefault="00C40E62" w:rsidP="004B04D7">
      <w:pPr>
        <w:pStyle w:val="Normalnumber"/>
        <w:numPr>
          <w:ilvl w:val="0"/>
          <w:numId w:val="0"/>
        </w:numPr>
        <w:tabs>
          <w:tab w:val="clear" w:pos="1814"/>
          <w:tab w:val="clear" w:pos="2381"/>
          <w:tab w:val="clear" w:pos="2948"/>
          <w:tab w:val="clear" w:pos="3515"/>
          <w:tab w:val="left" w:pos="624"/>
          <w:tab w:val="left" w:pos="1871"/>
          <w:tab w:val="left" w:pos="2495"/>
          <w:tab w:val="left" w:pos="3119"/>
        </w:tabs>
        <w:ind w:left="2495"/>
      </w:pPr>
      <w:r w:rsidRPr="00DB6883">
        <w:t>(k)</w:t>
      </w:r>
      <w:r w:rsidRPr="00DB6883">
        <w:tab/>
      </w:r>
      <w:r w:rsidR="0031269C" w:rsidRPr="00DB6883">
        <w:t xml:space="preserve">Consideration of the membership of Montreal Protocol bodies for 2018: </w:t>
      </w:r>
    </w:p>
    <w:p w:rsidR="0031269C" w:rsidRPr="00DB6883" w:rsidRDefault="00C40E62" w:rsidP="000C0200">
      <w:pPr>
        <w:pStyle w:val="Normalnumber"/>
        <w:numPr>
          <w:ilvl w:val="0"/>
          <w:numId w:val="0"/>
        </w:numPr>
        <w:tabs>
          <w:tab w:val="clear" w:pos="1814"/>
          <w:tab w:val="clear" w:pos="2381"/>
          <w:tab w:val="clear" w:pos="2948"/>
          <w:tab w:val="clear" w:pos="3515"/>
          <w:tab w:val="left" w:pos="624"/>
          <w:tab w:val="left" w:pos="1871"/>
          <w:tab w:val="left" w:pos="2495"/>
          <w:tab w:val="left" w:pos="3119"/>
        </w:tabs>
        <w:ind w:left="3744" w:hanging="625"/>
      </w:pPr>
      <w:r w:rsidRPr="00DB6883">
        <w:t>(i)</w:t>
      </w:r>
      <w:r w:rsidRPr="00DB6883">
        <w:tab/>
      </w:r>
      <w:r w:rsidR="0031269C" w:rsidRPr="00DB6883">
        <w:t xml:space="preserve">Members of the Implementation Committee; </w:t>
      </w:r>
    </w:p>
    <w:p w:rsidR="0031269C" w:rsidRPr="00DB6883" w:rsidRDefault="00C40E62" w:rsidP="000C0200">
      <w:pPr>
        <w:pStyle w:val="Normalnumber"/>
        <w:numPr>
          <w:ilvl w:val="0"/>
          <w:numId w:val="0"/>
        </w:numPr>
        <w:tabs>
          <w:tab w:val="clear" w:pos="1814"/>
          <w:tab w:val="clear" w:pos="2381"/>
          <w:tab w:val="clear" w:pos="2948"/>
          <w:tab w:val="clear" w:pos="3515"/>
          <w:tab w:val="left" w:pos="624"/>
          <w:tab w:val="left" w:pos="1871"/>
          <w:tab w:val="left" w:pos="2495"/>
          <w:tab w:val="left" w:pos="3119"/>
        </w:tabs>
        <w:ind w:left="3744" w:hanging="625"/>
      </w:pPr>
      <w:r w:rsidRPr="00DB6883">
        <w:t>(ii)</w:t>
      </w:r>
      <w:r w:rsidRPr="00DB6883">
        <w:tab/>
      </w:r>
      <w:r w:rsidR="0031269C" w:rsidRPr="00DB6883">
        <w:t xml:space="preserve">Members of the Executive Committee of the Multilateral Fund; </w:t>
      </w:r>
    </w:p>
    <w:p w:rsidR="0031269C" w:rsidRPr="00DB6883" w:rsidRDefault="00C40E62" w:rsidP="000C0200">
      <w:pPr>
        <w:pStyle w:val="Normalnumber"/>
        <w:numPr>
          <w:ilvl w:val="0"/>
          <w:numId w:val="0"/>
        </w:numPr>
        <w:tabs>
          <w:tab w:val="clear" w:pos="1814"/>
          <w:tab w:val="clear" w:pos="2381"/>
          <w:tab w:val="clear" w:pos="2948"/>
          <w:tab w:val="clear" w:pos="3515"/>
          <w:tab w:val="left" w:pos="624"/>
          <w:tab w:val="left" w:pos="1871"/>
          <w:tab w:val="left" w:pos="2495"/>
          <w:tab w:val="left" w:pos="3119"/>
        </w:tabs>
        <w:ind w:left="3744" w:hanging="625"/>
      </w:pPr>
      <w:r w:rsidRPr="00DB6883">
        <w:t>(</w:t>
      </w:r>
      <w:proofErr w:type="gramStart"/>
      <w:r w:rsidRPr="00DB6883">
        <w:t>iii</w:t>
      </w:r>
      <w:proofErr w:type="gramEnd"/>
      <w:r w:rsidRPr="00DB6883">
        <w:t>)</w:t>
      </w:r>
      <w:r w:rsidRPr="00DB6883">
        <w:tab/>
      </w:r>
      <w:r w:rsidR="0031269C" w:rsidRPr="00DB6883">
        <w:t>Co-chairs of the Open-ended Working Group</w:t>
      </w:r>
      <w:r w:rsidR="00304F33" w:rsidRPr="00DB6883">
        <w:t>;</w:t>
      </w:r>
    </w:p>
    <w:p w:rsidR="0031269C" w:rsidRPr="00DB6883" w:rsidRDefault="00C40E62" w:rsidP="00CA70A5">
      <w:pPr>
        <w:pStyle w:val="Normalnumber"/>
        <w:numPr>
          <w:ilvl w:val="0"/>
          <w:numId w:val="0"/>
        </w:numPr>
        <w:tabs>
          <w:tab w:val="clear" w:pos="1814"/>
          <w:tab w:val="clear" w:pos="2381"/>
          <w:tab w:val="clear" w:pos="2948"/>
          <w:tab w:val="clear" w:pos="3515"/>
          <w:tab w:val="left" w:pos="624"/>
          <w:tab w:val="left" w:pos="1871"/>
          <w:tab w:val="left" w:pos="2495"/>
          <w:tab w:val="left" w:pos="3119"/>
        </w:tabs>
        <w:ind w:left="3119" w:hanging="624"/>
      </w:pPr>
      <w:r w:rsidRPr="00DB6883">
        <w:t>(l)</w:t>
      </w:r>
      <w:r w:rsidRPr="00DB6883">
        <w:tab/>
      </w:r>
      <w:r w:rsidR="0031269C" w:rsidRPr="00DB6883">
        <w:t>Compliance and reporting issues considered by the Implementation Committee.</w:t>
      </w:r>
    </w:p>
    <w:p w:rsidR="0031269C" w:rsidRPr="00DB6883" w:rsidRDefault="00C40E62" w:rsidP="004B04D7">
      <w:pPr>
        <w:pStyle w:val="Normalnumber"/>
        <w:numPr>
          <w:ilvl w:val="0"/>
          <w:numId w:val="0"/>
        </w:numPr>
        <w:tabs>
          <w:tab w:val="clear" w:pos="1814"/>
          <w:tab w:val="clear" w:pos="2381"/>
          <w:tab w:val="clear" w:pos="2948"/>
          <w:tab w:val="clear" w:pos="3515"/>
          <w:tab w:val="left" w:pos="624"/>
          <w:tab w:val="left" w:pos="1871"/>
          <w:tab w:val="left" w:pos="2495"/>
          <w:tab w:val="left" w:pos="3119"/>
        </w:tabs>
        <w:ind w:left="1871"/>
      </w:pPr>
      <w:r w:rsidRPr="00DB6883">
        <w:t>5.</w:t>
      </w:r>
      <w:r w:rsidRPr="00DB6883">
        <w:tab/>
      </w:r>
      <w:r w:rsidR="0031269C" w:rsidRPr="00DB6883">
        <w:t>Vienna Convention issues:</w:t>
      </w:r>
    </w:p>
    <w:p w:rsidR="0031269C" w:rsidRPr="00DB6883" w:rsidRDefault="0031269C" w:rsidP="000C0200">
      <w:pPr>
        <w:pStyle w:val="Normalnumber"/>
        <w:numPr>
          <w:ilvl w:val="0"/>
          <w:numId w:val="0"/>
        </w:numPr>
        <w:tabs>
          <w:tab w:val="clear" w:pos="1814"/>
          <w:tab w:val="clear" w:pos="2381"/>
          <w:tab w:val="clear" w:pos="2948"/>
          <w:tab w:val="clear" w:pos="3515"/>
          <w:tab w:val="left" w:pos="624"/>
          <w:tab w:val="left" w:pos="1871"/>
          <w:tab w:val="left" w:pos="2495"/>
          <w:tab w:val="left" w:pos="3119"/>
        </w:tabs>
        <w:ind w:left="3119" w:hanging="624"/>
      </w:pPr>
      <w:r w:rsidRPr="00DB6883">
        <w:t>(a)</w:t>
      </w:r>
      <w:r w:rsidRPr="00DB6883">
        <w:tab/>
        <w:t>Report of the tenth meeting of the Ozone Research Managers of the Parties to the Vienna Convention;</w:t>
      </w:r>
    </w:p>
    <w:p w:rsidR="0031269C" w:rsidRPr="00DB6883" w:rsidRDefault="0031269C" w:rsidP="000C0200">
      <w:pPr>
        <w:pStyle w:val="Normalnumber"/>
        <w:numPr>
          <w:ilvl w:val="0"/>
          <w:numId w:val="0"/>
        </w:numPr>
        <w:tabs>
          <w:tab w:val="clear" w:pos="1814"/>
          <w:tab w:val="clear" w:pos="2381"/>
          <w:tab w:val="clear" w:pos="2948"/>
          <w:tab w:val="clear" w:pos="3515"/>
          <w:tab w:val="left" w:pos="624"/>
          <w:tab w:val="left" w:pos="1871"/>
          <w:tab w:val="left" w:pos="2495"/>
          <w:tab w:val="left" w:pos="3119"/>
        </w:tabs>
        <w:ind w:left="3119" w:hanging="624"/>
      </w:pPr>
      <w:r w:rsidRPr="00DB6883">
        <w:lastRenderedPageBreak/>
        <w:t>(b)</w:t>
      </w:r>
      <w:r w:rsidRPr="00DB6883">
        <w:tab/>
        <w:t>Status of the General Trust Fund for Financing Activities on Research and Systematic Observations Relevant to the Vienna Convention.</w:t>
      </w:r>
    </w:p>
    <w:p w:rsidR="0031269C" w:rsidRPr="00DB6883" w:rsidRDefault="00C40E62" w:rsidP="004B04D7">
      <w:pPr>
        <w:pStyle w:val="Normalnumber"/>
        <w:numPr>
          <w:ilvl w:val="0"/>
          <w:numId w:val="0"/>
        </w:numPr>
        <w:tabs>
          <w:tab w:val="clear" w:pos="1814"/>
          <w:tab w:val="clear" w:pos="2381"/>
          <w:tab w:val="clear" w:pos="2948"/>
          <w:tab w:val="clear" w:pos="3515"/>
          <w:tab w:val="left" w:pos="624"/>
          <w:tab w:val="left" w:pos="1871"/>
          <w:tab w:val="left" w:pos="2495"/>
          <w:tab w:val="left" w:pos="3119"/>
        </w:tabs>
        <w:ind w:left="1871"/>
      </w:pPr>
      <w:r w:rsidRPr="00DB6883">
        <w:t>6.</w:t>
      </w:r>
      <w:r w:rsidRPr="00DB6883">
        <w:tab/>
      </w:r>
      <w:r w:rsidR="0031269C" w:rsidRPr="00DB6883">
        <w:t>Other matters.</w:t>
      </w:r>
    </w:p>
    <w:p w:rsidR="0031269C" w:rsidRPr="00DB6883" w:rsidRDefault="00F6300A" w:rsidP="004E7D79">
      <w:pPr>
        <w:pStyle w:val="Normalnumber"/>
        <w:tabs>
          <w:tab w:val="clear" w:pos="567"/>
          <w:tab w:val="clear" w:pos="1247"/>
          <w:tab w:val="clear" w:pos="1814"/>
          <w:tab w:val="clear" w:pos="2381"/>
          <w:tab w:val="clear" w:pos="2948"/>
          <w:tab w:val="clear" w:pos="3515"/>
          <w:tab w:val="left" w:pos="624"/>
        </w:tabs>
      </w:pPr>
      <w:r w:rsidRPr="00DB6883">
        <w:t xml:space="preserve">Under </w:t>
      </w:r>
      <w:r w:rsidR="002D460B" w:rsidRPr="00DB6883">
        <w:t>agenda item 6, “</w:t>
      </w:r>
      <w:r w:rsidRPr="00DB6883">
        <w:t>Other matters</w:t>
      </w:r>
      <w:r w:rsidR="002D460B" w:rsidRPr="00DB6883">
        <w:t>”</w:t>
      </w:r>
      <w:r w:rsidRPr="00DB6883">
        <w:t xml:space="preserve">, the </w:t>
      </w:r>
      <w:r w:rsidR="00F21CE3" w:rsidRPr="00DB6883">
        <w:t>parties</w:t>
      </w:r>
      <w:r w:rsidRPr="00DB6883">
        <w:t xml:space="preserve"> agreed to discuss </w:t>
      </w:r>
      <w:r w:rsidR="00BA17EA" w:rsidRPr="00DB6883">
        <w:t>two issues: (a) matters relating to paragraphs 6–8 of decision XXVIII/2, covering the relationship between hydrochlorofluorocarbons</w:t>
      </w:r>
      <w:r w:rsidR="00A1137F" w:rsidRPr="00DB6883">
        <w:t xml:space="preserve"> (HCFCs)</w:t>
      </w:r>
      <w:r w:rsidR="00BA17EA" w:rsidRPr="00DB6883">
        <w:t xml:space="preserve"> and hydrofluorocarbons</w:t>
      </w:r>
      <w:r w:rsidR="00A1137F" w:rsidRPr="00DB6883">
        <w:t xml:space="preserve"> (HFCs)</w:t>
      </w:r>
      <w:r w:rsidR="00BA17EA" w:rsidRPr="00DB6883">
        <w:t>; and (b) the effects of</w:t>
      </w:r>
      <w:r w:rsidR="003D1956" w:rsidRPr="00DB6883">
        <w:t xml:space="preserve"> the 2017</w:t>
      </w:r>
      <w:r w:rsidR="00BA17EA" w:rsidRPr="00DB6883">
        <w:t xml:space="preserve"> hurricane</w:t>
      </w:r>
      <w:r w:rsidR="003D1956" w:rsidRPr="00DB6883">
        <w:t xml:space="preserve"> </w:t>
      </w:r>
      <w:r w:rsidR="00BA17EA" w:rsidRPr="00DB6883">
        <w:t>s</w:t>
      </w:r>
      <w:r w:rsidR="003D1956" w:rsidRPr="00DB6883">
        <w:t>eason</w:t>
      </w:r>
      <w:r w:rsidR="00BA17EA" w:rsidRPr="00DB6883">
        <w:t xml:space="preserve"> </w:t>
      </w:r>
      <w:r w:rsidR="003D1956" w:rsidRPr="00DB6883">
        <w:t>i</w:t>
      </w:r>
      <w:r w:rsidR="00BA17EA" w:rsidRPr="00DB6883">
        <w:t>n the Caribbean</w:t>
      </w:r>
      <w:r w:rsidR="003D1956" w:rsidRPr="00DB6883">
        <w:t xml:space="preserve"> on efforts to implement the ozone treaties</w:t>
      </w:r>
      <w:r w:rsidRPr="00DB6883">
        <w:t>.</w:t>
      </w:r>
    </w:p>
    <w:p w:rsidR="00EE34F1" w:rsidRPr="00DB6883" w:rsidRDefault="004B04D7" w:rsidP="009E7709">
      <w:pPr>
        <w:pStyle w:val="CH2"/>
      </w:pPr>
      <w:r w:rsidRPr="00DB6883">
        <w:tab/>
        <w:t>D.</w:t>
      </w:r>
      <w:r w:rsidRPr="00DB6883">
        <w:tab/>
        <w:t>Organization of work</w:t>
      </w:r>
    </w:p>
    <w:p w:rsidR="00EE34F1" w:rsidRPr="00DB6883" w:rsidRDefault="00DC1520" w:rsidP="004E7D79">
      <w:pPr>
        <w:pStyle w:val="Normalnumber"/>
        <w:tabs>
          <w:tab w:val="clear" w:pos="567"/>
          <w:tab w:val="clear" w:pos="1247"/>
          <w:tab w:val="clear" w:pos="1814"/>
          <w:tab w:val="clear" w:pos="2381"/>
          <w:tab w:val="clear" w:pos="2948"/>
          <w:tab w:val="clear" w:pos="3515"/>
          <w:tab w:val="left" w:pos="624"/>
        </w:tabs>
      </w:pPr>
      <w:r w:rsidRPr="00DB6883">
        <w:t>The parties agreed to follow their customary procedure and to establish contact groups as necessary</w:t>
      </w:r>
      <w:r w:rsidR="002D460B" w:rsidRPr="00DB6883">
        <w:t>.</w:t>
      </w:r>
    </w:p>
    <w:p w:rsidR="004B04D7" w:rsidRPr="00DB6883" w:rsidRDefault="004B04D7" w:rsidP="009E7709">
      <w:pPr>
        <w:pStyle w:val="CH1"/>
      </w:pPr>
      <w:r w:rsidRPr="00DB6883">
        <w:tab/>
        <w:t>III.</w:t>
      </w:r>
      <w:r w:rsidRPr="00DB6883">
        <w:tab/>
        <w:t>Financial reports and budgets of the trust funds for the Vienna Convention and the Montreal Protocol</w:t>
      </w:r>
    </w:p>
    <w:p w:rsidR="00F541DA" w:rsidRPr="00DB6883" w:rsidRDefault="008C5E54" w:rsidP="004E7D79">
      <w:pPr>
        <w:pStyle w:val="Normalnumber"/>
        <w:tabs>
          <w:tab w:val="clear" w:pos="567"/>
          <w:tab w:val="clear" w:pos="1247"/>
          <w:tab w:val="clear" w:pos="1814"/>
          <w:tab w:val="clear" w:pos="2381"/>
          <w:tab w:val="clear" w:pos="2948"/>
          <w:tab w:val="clear" w:pos="3515"/>
          <w:tab w:val="left" w:pos="624"/>
        </w:tabs>
      </w:pPr>
      <w:r w:rsidRPr="00DB6883">
        <w:t xml:space="preserve">In considering the item, the parties </w:t>
      </w:r>
      <w:r w:rsidRPr="00076101">
        <w:t>had before them</w:t>
      </w:r>
      <w:r w:rsidRPr="00DB6883">
        <w:t xml:space="preserve"> documents UNEP/OzL.Conv.11/4 and UNEP/OzL.Conv.11/4/Corr.1 and UNEP/OzL.Pro.29/4 containing the proposed budgets, together with the financial reports set out in documents UNEP/OzL.Conv.11/4/Add.1 and UNEP/OzL.Pro.29/4/Add.1. </w:t>
      </w:r>
    </w:p>
    <w:p w:rsidR="003A59D7" w:rsidRPr="00DB6883" w:rsidRDefault="00F541DA" w:rsidP="004E7D79">
      <w:pPr>
        <w:pStyle w:val="Normalnumber"/>
        <w:tabs>
          <w:tab w:val="clear" w:pos="567"/>
          <w:tab w:val="clear" w:pos="1247"/>
          <w:tab w:val="clear" w:pos="1814"/>
          <w:tab w:val="clear" w:pos="2381"/>
          <w:tab w:val="clear" w:pos="2948"/>
          <w:tab w:val="clear" w:pos="3515"/>
          <w:tab w:val="left" w:pos="624"/>
        </w:tabs>
      </w:pPr>
      <w:r w:rsidRPr="00DB6883">
        <w:t>T</w:t>
      </w:r>
      <w:r w:rsidR="008C5E54" w:rsidRPr="00DB6883">
        <w:t xml:space="preserve">he parties agreed to </w:t>
      </w:r>
      <w:r w:rsidRPr="00DB6883">
        <w:t xml:space="preserve">follow their standard practice and </w:t>
      </w:r>
      <w:r w:rsidR="008C5E54" w:rsidRPr="00DB6883">
        <w:t>establish a budget committee to review the proposed budgets and the financial reports for the Vienna Convention and the Montreal Protocol trust funds and to prepare draft decisions on financial matters for the Convention and the Protocol</w:t>
      </w:r>
      <w:r w:rsidR="003A59D7" w:rsidRPr="00DB6883">
        <w:t>.</w:t>
      </w:r>
      <w:r w:rsidR="00AA4BFE">
        <w:t xml:space="preserve"> The Committee was </w:t>
      </w:r>
      <w:r w:rsidR="00AA4BFE" w:rsidRPr="00DB6883">
        <w:t>facilitated by Jean Clarke (Ireland)</w:t>
      </w:r>
      <w:r w:rsidR="00AA4BFE">
        <w:t>.</w:t>
      </w:r>
    </w:p>
    <w:p w:rsidR="009973B2" w:rsidRPr="00DB6883" w:rsidRDefault="009973B2" w:rsidP="004E7D79">
      <w:pPr>
        <w:pStyle w:val="Normalnumber"/>
        <w:tabs>
          <w:tab w:val="clear" w:pos="567"/>
          <w:tab w:val="clear" w:pos="1247"/>
          <w:tab w:val="clear" w:pos="1814"/>
          <w:tab w:val="clear" w:pos="2381"/>
          <w:tab w:val="clear" w:pos="2948"/>
          <w:tab w:val="clear" w:pos="3515"/>
          <w:tab w:val="left" w:pos="624"/>
        </w:tabs>
      </w:pPr>
      <w:r w:rsidRPr="00DB6883">
        <w:t xml:space="preserve">Subsequently, the facilitator of the budget committee presented draft decisions on the financial reports and budgets of the trust funds for the Vienna Convention and the Montreal Protocol, set out in conference room papers, which the parties approved for consideration and adoption during the </w:t>
      </w:r>
      <w:r w:rsidRPr="00DB6883">
        <w:br/>
        <w:t>high-level segment.</w:t>
      </w:r>
    </w:p>
    <w:p w:rsidR="004B04D7" w:rsidRPr="00DB6883" w:rsidRDefault="004B04D7" w:rsidP="009E7709">
      <w:pPr>
        <w:pStyle w:val="CH1"/>
      </w:pPr>
      <w:r w:rsidRPr="00DB6883">
        <w:tab/>
        <w:t>IV.</w:t>
      </w:r>
      <w:r w:rsidRPr="00DB6883">
        <w:tab/>
        <w:t>Montreal Protocol issues</w:t>
      </w:r>
    </w:p>
    <w:p w:rsidR="004B04D7" w:rsidRPr="00DB6883" w:rsidRDefault="004B04D7" w:rsidP="009E7709">
      <w:pPr>
        <w:pStyle w:val="CH2"/>
      </w:pPr>
      <w:r w:rsidRPr="00DB6883">
        <w:tab/>
        <w:t>A.</w:t>
      </w:r>
      <w:r w:rsidRPr="00DB6883">
        <w:tab/>
        <w:t>Replenishment of the Multilateral Fund for the Implementation of the Montreal Protocol</w:t>
      </w:r>
    </w:p>
    <w:p w:rsidR="004B04D7" w:rsidRPr="00DB6883" w:rsidRDefault="004B04D7" w:rsidP="009E7709">
      <w:pPr>
        <w:pStyle w:val="CH3"/>
      </w:pPr>
      <w:r w:rsidRPr="00DB6883">
        <w:tab/>
        <w:t>1.</w:t>
      </w:r>
      <w:r w:rsidRPr="00DB6883">
        <w:tab/>
        <w:t>Supplementary report of the Technology and Economic Assessment Panel replenishment task force</w:t>
      </w:r>
    </w:p>
    <w:p w:rsidR="00E01F4C" w:rsidRPr="00DB6883" w:rsidRDefault="00E01F4C" w:rsidP="004E7D79">
      <w:pPr>
        <w:pStyle w:val="Normalnumber"/>
        <w:tabs>
          <w:tab w:val="clear" w:pos="567"/>
          <w:tab w:val="clear" w:pos="1247"/>
          <w:tab w:val="clear" w:pos="1814"/>
          <w:tab w:val="clear" w:pos="2381"/>
          <w:tab w:val="clear" w:pos="2948"/>
          <w:tab w:val="clear" w:pos="3515"/>
          <w:tab w:val="left" w:pos="624"/>
        </w:tabs>
      </w:pPr>
      <w:r w:rsidRPr="00DB6883">
        <w:t xml:space="preserve">The </w:t>
      </w:r>
      <w:r w:rsidR="00871C73">
        <w:t>c</w:t>
      </w:r>
      <w:r w:rsidR="008F5C73" w:rsidRPr="00DB6883">
        <w:t>o</w:t>
      </w:r>
      <w:r w:rsidRPr="00DB6883">
        <w:t>-</w:t>
      </w:r>
      <w:r w:rsidR="00871C73">
        <w:t>c</w:t>
      </w:r>
      <w:r w:rsidRPr="00DB6883">
        <w:t xml:space="preserve">hair of the Technology and Economic Assessment Panel’s replenishment task force, Shiqiu Zhang, </w:t>
      </w:r>
      <w:r w:rsidRPr="00DF6D5C">
        <w:t>and</w:t>
      </w:r>
      <w:r w:rsidR="00C97C55" w:rsidRPr="00E861A7">
        <w:t xml:space="preserve"> the</w:t>
      </w:r>
      <w:r w:rsidRPr="00DB6883">
        <w:t xml:space="preserve"> </w:t>
      </w:r>
      <w:r w:rsidR="008F5C73">
        <w:t>C</w:t>
      </w:r>
      <w:r w:rsidRPr="00DB6883">
        <w:t>o</w:t>
      </w:r>
      <w:r w:rsidRPr="00DB6883">
        <w:noBreakHyphen/>
      </w:r>
      <w:r w:rsidR="008F5C73">
        <w:t>C</w:t>
      </w:r>
      <w:r w:rsidRPr="00DB6883">
        <w:t xml:space="preserve">hairs of the Technology and Economic Assessment Panel, Bella </w:t>
      </w:r>
      <w:r w:rsidRPr="004E7D79">
        <w:t xml:space="preserve">Maranion </w:t>
      </w:r>
      <w:r w:rsidRPr="00DF6D5C">
        <w:t xml:space="preserve">and Lambert Kuijpers, made a presentation on the task </w:t>
      </w:r>
      <w:r w:rsidRPr="00E861A7">
        <w:t>force’s supplementary report assessing the funding requirement for the replenishment of the Multilate</w:t>
      </w:r>
      <w:r w:rsidRPr="00DB6883">
        <w:t xml:space="preserve">ral Fund for the triennium </w:t>
      </w:r>
      <w:r w:rsidR="00014CFB" w:rsidRPr="00DB6883">
        <w:t>2018–2020</w:t>
      </w:r>
      <w:r w:rsidR="00014CFB" w:rsidRPr="00DB6883" w:rsidDel="00014CFB">
        <w:t xml:space="preserve"> </w:t>
      </w:r>
      <w:r w:rsidR="00D95B97" w:rsidRPr="00DB6883">
        <w:t>(see</w:t>
      </w:r>
      <w:r w:rsidR="000C0200">
        <w:t> </w:t>
      </w:r>
      <w:r w:rsidR="00B45D2D" w:rsidRPr="00E861A7">
        <w:t>UNEP/OzL.Conv.11/2/Add.1-</w:t>
      </w:r>
      <w:r w:rsidR="00D95B97" w:rsidRPr="00DB6883">
        <w:t>UNEP/</w:t>
      </w:r>
      <w:r w:rsidRPr="00DB6883">
        <w:t>OzL.Pro.29/2/Add.1</w:t>
      </w:r>
      <w:r w:rsidR="00D95B97" w:rsidRPr="00DB6883">
        <w:t>, annex I)</w:t>
      </w:r>
      <w:r w:rsidRPr="00DB6883">
        <w:t>. A summary of the presentation</w:t>
      </w:r>
      <w:r w:rsidR="00D91130" w:rsidRPr="00DB6883">
        <w:t xml:space="preserve"> prepared by the presenters</w:t>
      </w:r>
      <w:r w:rsidRPr="00DB6883">
        <w:t xml:space="preserve"> is set out in </w:t>
      </w:r>
      <w:r w:rsidR="00B6597B">
        <w:t xml:space="preserve">the </w:t>
      </w:r>
      <w:r w:rsidR="006E4D29">
        <w:t xml:space="preserve">section B of </w:t>
      </w:r>
      <w:r w:rsidRPr="00DB6883">
        <w:t xml:space="preserve">annex </w:t>
      </w:r>
      <w:r w:rsidR="00206CEF">
        <w:t xml:space="preserve">VI </w:t>
      </w:r>
      <w:r w:rsidRPr="00DB6883">
        <w:t>to the present report.</w:t>
      </w:r>
    </w:p>
    <w:p w:rsidR="00E01F4C" w:rsidRPr="00DB6883" w:rsidRDefault="00E01F4C" w:rsidP="004E7D79">
      <w:pPr>
        <w:pStyle w:val="Normalnumber"/>
        <w:tabs>
          <w:tab w:val="clear" w:pos="567"/>
          <w:tab w:val="clear" w:pos="1247"/>
          <w:tab w:val="clear" w:pos="1814"/>
          <w:tab w:val="clear" w:pos="2381"/>
          <w:tab w:val="clear" w:pos="2948"/>
          <w:tab w:val="clear" w:pos="3515"/>
          <w:tab w:val="left" w:pos="624"/>
        </w:tabs>
      </w:pPr>
      <w:r w:rsidRPr="00DB6883">
        <w:t>The representatives who took the floor expressed their appreciation for the report and the work of the Panel and its task force.</w:t>
      </w:r>
    </w:p>
    <w:p w:rsidR="00E01F4C" w:rsidRPr="00DF6D5C" w:rsidRDefault="00380A7F" w:rsidP="004E7D79">
      <w:pPr>
        <w:pStyle w:val="Normalnumber"/>
        <w:tabs>
          <w:tab w:val="clear" w:pos="567"/>
          <w:tab w:val="clear" w:pos="1247"/>
          <w:tab w:val="clear" w:pos="1814"/>
          <w:tab w:val="clear" w:pos="2381"/>
          <w:tab w:val="clear" w:pos="2948"/>
          <w:tab w:val="clear" w:pos="3515"/>
          <w:tab w:val="left" w:pos="624"/>
        </w:tabs>
      </w:pPr>
      <w:r w:rsidRPr="00DB6883">
        <w:t xml:space="preserve">Mr. Kuijpers, responding to questions raised, </w:t>
      </w:r>
      <w:r w:rsidR="00E01F4C" w:rsidRPr="004E7D79">
        <w:t>recalled t</w:t>
      </w:r>
      <w:r w:rsidR="00E01F4C" w:rsidRPr="00DF6D5C">
        <w:t>hat the Technology a</w:t>
      </w:r>
      <w:r w:rsidR="00E01F4C" w:rsidRPr="00E861A7">
        <w:t>nd Economic Assessment Panel had followed the mandate given to it by the Open-end</w:t>
      </w:r>
      <w:r w:rsidR="00B03E52" w:rsidRPr="00DB6883">
        <w:t>ed</w:t>
      </w:r>
      <w:r w:rsidR="00E01F4C" w:rsidRPr="00DB6883">
        <w:t xml:space="preserve"> Working Group </w:t>
      </w:r>
      <w:r w:rsidR="00D1618F" w:rsidRPr="00DB6883">
        <w:t>at its thirty-ninth meeting</w:t>
      </w:r>
      <w:r w:rsidR="004E0E6D" w:rsidRPr="00DB6883">
        <w:t>, held in July 2017,</w:t>
      </w:r>
      <w:r w:rsidR="00D1618F" w:rsidRPr="00DB6883">
        <w:t xml:space="preserve"> </w:t>
      </w:r>
      <w:r w:rsidR="00E01F4C" w:rsidRPr="00DB6883">
        <w:t xml:space="preserve">on the basis of the discussions </w:t>
      </w:r>
      <w:r w:rsidR="00F558C8" w:rsidRPr="00DB6883">
        <w:t>held</w:t>
      </w:r>
      <w:r w:rsidR="00E01F4C" w:rsidRPr="00DB6883">
        <w:t xml:space="preserve"> in a contact group during that meeting. For example, in relation to the zero</w:t>
      </w:r>
      <w:r w:rsidR="00164402">
        <w:t>-</w:t>
      </w:r>
      <w:r w:rsidR="00E01F4C" w:rsidRPr="00DB6883">
        <w:t>funding level in the triennium 2018</w:t>
      </w:r>
      <w:r w:rsidR="00E01F4C" w:rsidRPr="00DF6D5C">
        <w:t>–</w:t>
      </w:r>
      <w:r w:rsidR="00E01F4C" w:rsidRPr="004E7D79">
        <w:t xml:space="preserve">2020 for activities in stage III of HCFC phase-out management plans, </w:t>
      </w:r>
      <w:r w:rsidR="00A73DB4" w:rsidRPr="004E7D79">
        <w:t>the Panel</w:t>
      </w:r>
      <w:r w:rsidR="00E01F4C" w:rsidRPr="004E7D79">
        <w:t xml:space="preserve"> had been asked to recalculate the funding requirements on the basis of the deferral of all stage III activities to the triennium </w:t>
      </w:r>
      <w:r w:rsidR="006C7891" w:rsidRPr="004E7D79">
        <w:br/>
      </w:r>
      <w:r w:rsidR="00E01F4C" w:rsidRPr="004E7D79">
        <w:t>2021</w:t>
      </w:r>
      <w:r w:rsidR="00E01F4C" w:rsidRPr="00DF6D5C">
        <w:t>–</w:t>
      </w:r>
      <w:r w:rsidR="00E01F4C" w:rsidRPr="004E7D79">
        <w:t xml:space="preserve">2023. </w:t>
      </w:r>
    </w:p>
    <w:p w:rsidR="00E01F4C" w:rsidRPr="00DB6883" w:rsidRDefault="00E01F4C" w:rsidP="004E7D79">
      <w:pPr>
        <w:pStyle w:val="Normalnumber"/>
        <w:tabs>
          <w:tab w:val="clear" w:pos="567"/>
          <w:tab w:val="clear" w:pos="1247"/>
          <w:tab w:val="clear" w:pos="1814"/>
          <w:tab w:val="clear" w:pos="2381"/>
          <w:tab w:val="clear" w:pos="2948"/>
          <w:tab w:val="clear" w:pos="3515"/>
          <w:tab w:val="left" w:pos="624"/>
        </w:tabs>
      </w:pPr>
      <w:r w:rsidRPr="00933176">
        <w:t xml:space="preserve">Similarly, </w:t>
      </w:r>
      <w:r w:rsidR="00103242" w:rsidRPr="00933176">
        <w:t xml:space="preserve">he said, </w:t>
      </w:r>
      <w:r w:rsidRPr="00933176">
        <w:t xml:space="preserve">the Panel had not been asked to take accelerated phase-out of HCFCs into account in its calculations. Nevertheless, several representatives highlighted the link between HCFC phase-out and HFC phase-down, and the overlap between future stage III of </w:t>
      </w:r>
      <w:r w:rsidR="00694FB5" w:rsidRPr="00933176">
        <w:t xml:space="preserve">HCFC phase-out management plans </w:t>
      </w:r>
      <w:r w:rsidRPr="00933176">
        <w:t>and the first phase of HFC phase-down, which could lead to</w:t>
      </w:r>
      <w:r w:rsidRPr="00DB6883">
        <w:t xml:space="preserve"> </w:t>
      </w:r>
      <w:proofErr w:type="gramStart"/>
      <w:r w:rsidRPr="00DB6883">
        <w:t>an acceleration</w:t>
      </w:r>
      <w:proofErr w:type="gramEnd"/>
      <w:r w:rsidRPr="00DB6883">
        <w:t xml:space="preserve"> in HCFC phase-out. Two of the representatives highlighted the benefits of addressing HCFCs and HFCs together in terms of cost</w:t>
      </w:r>
      <w:r w:rsidR="00076101">
        <w:t xml:space="preserve"> </w:t>
      </w:r>
      <w:r w:rsidR="00657004" w:rsidRPr="00DB6883">
        <w:t>efficiency</w:t>
      </w:r>
      <w:r w:rsidRPr="00DB6883">
        <w:t xml:space="preserve"> and resource</w:t>
      </w:r>
      <w:r w:rsidR="00076101">
        <w:t xml:space="preserve"> </w:t>
      </w:r>
      <w:r w:rsidRPr="00DB6883">
        <w:t xml:space="preserve">efficiency. Several representatives said that </w:t>
      </w:r>
      <w:r w:rsidR="00785676" w:rsidRPr="00DB6883">
        <w:t>greater</w:t>
      </w:r>
      <w:r w:rsidRPr="00DB6883">
        <w:t xml:space="preserve"> financial or capacity-building support needed to be made available to help countries </w:t>
      </w:r>
      <w:r w:rsidR="001A4BA6" w:rsidRPr="00DB6883">
        <w:t>to overcome</w:t>
      </w:r>
      <w:r w:rsidRPr="00DB6883">
        <w:t xml:space="preserve"> the obstacles faced under stage II, including in terms of safety challenges</w:t>
      </w:r>
      <w:r w:rsidR="00C031E9" w:rsidRPr="00DB6883">
        <w:t>,</w:t>
      </w:r>
      <w:r w:rsidRPr="00DB6883">
        <w:t xml:space="preserve"> or to match the willingness of </w:t>
      </w:r>
      <w:r w:rsidRPr="00DB6883">
        <w:lastRenderedPageBreak/>
        <w:t>countries to work on voluntary and accelerated phase-out or engage in enabling activities for HFCs. One representative stressed the importance of addressing the production sector in order to stem HCFC consumption at its source.</w:t>
      </w:r>
    </w:p>
    <w:p w:rsidR="00E01F4C" w:rsidRPr="00DB6883" w:rsidRDefault="00E01F4C" w:rsidP="004E7D79">
      <w:pPr>
        <w:pStyle w:val="Normalnumber"/>
        <w:tabs>
          <w:tab w:val="clear" w:pos="567"/>
          <w:tab w:val="clear" w:pos="1247"/>
          <w:tab w:val="clear" w:pos="1814"/>
          <w:tab w:val="clear" w:pos="2381"/>
          <w:tab w:val="clear" w:pos="2948"/>
          <w:tab w:val="clear" w:pos="3515"/>
          <w:tab w:val="left" w:pos="624"/>
        </w:tabs>
      </w:pPr>
      <w:r w:rsidRPr="00DB6883">
        <w:t>Mr</w:t>
      </w:r>
      <w:r w:rsidR="00C031E9" w:rsidRPr="00DB6883">
        <w:t>.</w:t>
      </w:r>
      <w:r w:rsidRPr="00DB6883">
        <w:t xml:space="preserve"> Kuijpers recalled that, </w:t>
      </w:r>
      <w:r w:rsidRPr="00076101">
        <w:t>within the triennium</w:t>
      </w:r>
      <w:r w:rsidRPr="00DB6883">
        <w:t xml:space="preserve"> 2018–2020, the scheduled HCFC phase-out was the only compliance obligation. Parties were not required to accelerate phase-out further. One representative, underlining the extraordinary budgetary situation being experienced by his country, stressed the importance of ensuring that contributions to the Multilateral Fund were used as wisely as possible and that the Fund’s limited resources were prioritized so that the countries most in need received adequate support. He also sought to ensure financial burden-sharing, expressing disappointment </w:t>
      </w:r>
      <w:r w:rsidR="00C031E9" w:rsidRPr="00DB6883">
        <w:t>at</w:t>
      </w:r>
      <w:r w:rsidRPr="00DB6883">
        <w:t xml:space="preserve"> the losses experienced as a result of the fixed-exchange-rate mechanism in recent years. He expressed the desire to explore options with regard to its use. </w:t>
      </w:r>
    </w:p>
    <w:p w:rsidR="00E01F4C" w:rsidRPr="00DB6883" w:rsidRDefault="00E01F4C" w:rsidP="004E7D79">
      <w:pPr>
        <w:pStyle w:val="Normalnumber"/>
        <w:tabs>
          <w:tab w:val="clear" w:pos="567"/>
          <w:tab w:val="clear" w:pos="1247"/>
          <w:tab w:val="clear" w:pos="1814"/>
          <w:tab w:val="clear" w:pos="2381"/>
          <w:tab w:val="clear" w:pos="2948"/>
          <w:tab w:val="clear" w:pos="3515"/>
          <w:tab w:val="left" w:pos="624"/>
        </w:tabs>
      </w:pPr>
      <w:r w:rsidRPr="00DB6883">
        <w:t xml:space="preserve">Responding to a query about the difference between the funding associated with planned activities and the </w:t>
      </w:r>
      <w:r w:rsidRPr="00A03051">
        <w:t>level of approved</w:t>
      </w:r>
      <w:r w:rsidRPr="00DB6883">
        <w:t xml:space="preserve"> funding, Mr. Kuijpers said that </w:t>
      </w:r>
      <w:r w:rsidR="001D3686" w:rsidRPr="00DB6883">
        <w:t>it</w:t>
      </w:r>
      <w:r w:rsidRPr="00DB6883">
        <w:t xml:space="preserve"> was normal practice for there to be a discrepancy </w:t>
      </w:r>
      <w:r w:rsidR="00E332FE" w:rsidRPr="00DB6883">
        <w:t>because</w:t>
      </w:r>
      <w:r w:rsidRPr="00DB6883">
        <w:t xml:space="preserve"> the original estimates in the business plans became more accurate and refined over time. He noted, however, that, on the basis of the comparative figures for the period 2000</w:t>
      </w:r>
      <w:r w:rsidR="00EF69EB" w:rsidRPr="00DB6883">
        <w:t>–</w:t>
      </w:r>
      <w:r w:rsidRPr="00DB6883">
        <w:t xml:space="preserve">2017, there appeared to be no pattern or lessening of the discrepancy over the years. He </w:t>
      </w:r>
      <w:r w:rsidR="00B0413D" w:rsidRPr="00DB6883">
        <w:t>suggested</w:t>
      </w:r>
      <w:r w:rsidRPr="00DB6883">
        <w:t xml:space="preserve">, therefore, that it was not a question of a learning process and discrepancies would continue to occur, owing to </w:t>
      </w:r>
      <w:r w:rsidR="00E900EF" w:rsidRPr="00DB6883">
        <w:t>various</w:t>
      </w:r>
      <w:r w:rsidRPr="00DB6883">
        <w:t xml:space="preserve"> factors. He also clarified that the uncertainty value of plus or minus 13.5</w:t>
      </w:r>
      <w:r w:rsidR="006463F6" w:rsidRPr="00DB6883">
        <w:t> </w:t>
      </w:r>
      <w:r w:rsidR="004969CB" w:rsidRPr="00DB6883">
        <w:t>per</w:t>
      </w:r>
      <w:r w:rsidR="006463F6" w:rsidRPr="00DB6883">
        <w:t> </w:t>
      </w:r>
      <w:r w:rsidR="004969CB" w:rsidRPr="00DB6883">
        <w:t>cent</w:t>
      </w:r>
      <w:r w:rsidRPr="00DB6883">
        <w:t xml:space="preserve"> was the range into which the majority of the percentages – themselves averages – fell for the years 2000</w:t>
      </w:r>
      <w:r w:rsidR="00753D6A" w:rsidRPr="00DB6883">
        <w:t>–</w:t>
      </w:r>
      <w:r w:rsidRPr="00DB6883">
        <w:t>2017.</w:t>
      </w:r>
    </w:p>
    <w:p w:rsidR="00E01F4C" w:rsidRPr="00DB6883" w:rsidRDefault="00E01F4C" w:rsidP="004E7D79">
      <w:pPr>
        <w:pStyle w:val="Normalnumber"/>
        <w:tabs>
          <w:tab w:val="clear" w:pos="567"/>
          <w:tab w:val="clear" w:pos="1247"/>
          <w:tab w:val="clear" w:pos="1814"/>
          <w:tab w:val="clear" w:pos="2381"/>
          <w:tab w:val="clear" w:pos="2948"/>
          <w:tab w:val="clear" w:pos="3515"/>
          <w:tab w:val="left" w:pos="624"/>
        </w:tabs>
      </w:pPr>
      <w:r w:rsidRPr="00DB6883">
        <w:t xml:space="preserve">Given a related question about a reduction in funding for non-low-volume-consuming countries, he clarified that fluctuations in planned and approved funding amounts within a triennium were normal. Once the Executive Committee </w:t>
      </w:r>
      <w:r w:rsidR="00EC7DD9" w:rsidRPr="00DB6883">
        <w:t xml:space="preserve">of the Multilateral Fund </w:t>
      </w:r>
      <w:r w:rsidRPr="00DB6883">
        <w:t xml:space="preserve">had approved funding for a project, the overall figure relating to planned projects would decrease by the planned amount and the overall figure for approved funding would increase by the approved amount. Similarly, if projects were delayed and the </w:t>
      </w:r>
      <w:proofErr w:type="gramStart"/>
      <w:r w:rsidRPr="00DB6883">
        <w:t xml:space="preserve">implementation of approved activities </w:t>
      </w:r>
      <w:r w:rsidR="00C031E9" w:rsidRPr="00DB6883">
        <w:t>were</w:t>
      </w:r>
      <w:proofErr w:type="gramEnd"/>
      <w:r w:rsidRPr="00DB6883">
        <w:t xml:space="preserve"> postponed to a subsequent triennium, the total amount for approved projects in the </w:t>
      </w:r>
      <w:r w:rsidR="003D3816" w:rsidRPr="00DB6883">
        <w:t>current</w:t>
      </w:r>
      <w:r w:rsidRPr="00DB6883">
        <w:t xml:space="preserve"> triennium would decrease.</w:t>
      </w:r>
    </w:p>
    <w:p w:rsidR="00E01F4C" w:rsidRPr="00DB6883" w:rsidRDefault="003D3816" w:rsidP="004E7D79">
      <w:pPr>
        <w:pStyle w:val="Normalnumber"/>
        <w:tabs>
          <w:tab w:val="clear" w:pos="567"/>
          <w:tab w:val="clear" w:pos="1247"/>
          <w:tab w:val="clear" w:pos="1814"/>
          <w:tab w:val="clear" w:pos="2381"/>
          <w:tab w:val="clear" w:pos="2948"/>
          <w:tab w:val="clear" w:pos="3515"/>
          <w:tab w:val="left" w:pos="624"/>
        </w:tabs>
      </w:pPr>
      <w:r w:rsidRPr="00DB6883">
        <w:t>He</w:t>
      </w:r>
      <w:r w:rsidR="00E01F4C" w:rsidRPr="00DB6883">
        <w:t xml:space="preserve"> said that the Panel and the task force had no methodology for predicting the type and value of projects that would slip from one triennium into the next, although it always occurred. Calculation of the planned and approved projects from the triennium 2015–2017 that needed to be taken into account for the replenishment for the triennium 2018–2020 had been made on the basis of analysis of Executive Committee data and decisions. The exercise would not aid </w:t>
      </w:r>
      <w:r w:rsidR="00C031E9" w:rsidRPr="00DB6883">
        <w:t xml:space="preserve">in </w:t>
      </w:r>
      <w:r w:rsidR="00E01F4C" w:rsidRPr="00DB6883">
        <w:t>predicti</w:t>
      </w:r>
      <w:r w:rsidR="00C031E9" w:rsidRPr="00DB6883">
        <w:t>ng</w:t>
      </w:r>
      <w:r w:rsidR="00E01F4C" w:rsidRPr="00DB6883">
        <w:t xml:space="preserve"> the situation at the end of the triennium 2018–2020 for the triennium 2021–2023. </w:t>
      </w:r>
    </w:p>
    <w:p w:rsidR="00E01F4C" w:rsidRPr="00DB6883" w:rsidRDefault="00E01F4C" w:rsidP="004E7D79">
      <w:pPr>
        <w:pStyle w:val="Normalnumber"/>
        <w:tabs>
          <w:tab w:val="clear" w:pos="567"/>
          <w:tab w:val="clear" w:pos="1247"/>
          <w:tab w:val="clear" w:pos="1814"/>
          <w:tab w:val="clear" w:pos="2381"/>
          <w:tab w:val="clear" w:pos="2948"/>
          <w:tab w:val="clear" w:pos="3515"/>
          <w:tab w:val="left" w:pos="624"/>
        </w:tabs>
      </w:pPr>
      <w:r w:rsidRPr="00DB6883">
        <w:t xml:space="preserve">Two representatives, one speaking on behalf of a group of </w:t>
      </w:r>
      <w:r w:rsidR="00C031E9" w:rsidRPr="00DB6883">
        <w:t>countrie</w:t>
      </w:r>
      <w:r w:rsidRPr="00DB6883">
        <w:t>s, mentioned issues that they considered had not been dealt with sufficient</w:t>
      </w:r>
      <w:r w:rsidR="00EC3192" w:rsidRPr="00DB6883">
        <w:t>ly</w:t>
      </w:r>
      <w:r w:rsidRPr="00DB6883">
        <w:t xml:space="preserve"> in the report or that req</w:t>
      </w:r>
      <w:r w:rsidR="001D358C" w:rsidRPr="00DB6883">
        <w:t>uired further clarification. Tho</w:t>
      </w:r>
      <w:r w:rsidRPr="00DB6883">
        <w:t>se</w:t>
      </w:r>
      <w:r w:rsidR="001D358C" w:rsidRPr="00DB6883">
        <w:t xml:space="preserve"> were</w:t>
      </w:r>
      <w:r w:rsidRPr="00DB6883">
        <w:t xml:space="preserve"> related to the assumptions and methodologies on which </w:t>
      </w:r>
      <w:r w:rsidR="005B10F0" w:rsidRPr="00DB6883">
        <w:t>a number</w:t>
      </w:r>
      <w:r w:rsidRPr="00DB6883">
        <w:t xml:space="preserve"> of the estimates in the supplementary report were based; cost-effectiveness as a factor in estimating funding needs; the estimated funding needed to avoid using HFCs while phasing out HCFCs, in line with paragraph </w:t>
      </w:r>
      <w:r w:rsidR="00DC1AF9">
        <w:t>3</w:t>
      </w:r>
      <w:r w:rsidRPr="00DB6883">
        <w:t xml:space="preserve"> of the terms of reference for the report; the need for </w:t>
      </w:r>
      <w:r w:rsidR="00870E4B" w:rsidRPr="00DB6883">
        <w:t>a</w:t>
      </w:r>
      <w:r w:rsidRPr="00DB6883">
        <w:t xml:space="preserve"> clear differentiation in the report between the funding relat</w:t>
      </w:r>
      <w:r w:rsidR="004A3D30" w:rsidRPr="00DB6883">
        <w:t>ing</w:t>
      </w:r>
      <w:r w:rsidRPr="00DB6883">
        <w:t xml:space="preserve"> to HCFCs and th</w:t>
      </w:r>
      <w:r w:rsidR="004A3D30" w:rsidRPr="00DB6883">
        <w:t>at</w:t>
      </w:r>
      <w:r w:rsidRPr="00DB6883">
        <w:t xml:space="preserve"> relat</w:t>
      </w:r>
      <w:r w:rsidR="004A3D30" w:rsidRPr="00DB6883">
        <w:t>ing</w:t>
      </w:r>
      <w:r w:rsidRPr="00DB6883">
        <w:t xml:space="preserve"> to HFCs; and more information on non-investment and supporting activities for HCFCs and enabling activities for HFCs. </w:t>
      </w:r>
    </w:p>
    <w:p w:rsidR="003A59D7" w:rsidRPr="00DB6883" w:rsidRDefault="00E01F4C" w:rsidP="004E7D79">
      <w:pPr>
        <w:pStyle w:val="Normalnumber"/>
        <w:tabs>
          <w:tab w:val="clear" w:pos="567"/>
          <w:tab w:val="clear" w:pos="1247"/>
          <w:tab w:val="clear" w:pos="1814"/>
          <w:tab w:val="clear" w:pos="2381"/>
          <w:tab w:val="clear" w:pos="2948"/>
          <w:tab w:val="clear" w:pos="3515"/>
          <w:tab w:val="left" w:pos="624"/>
        </w:tabs>
      </w:pPr>
      <w:r w:rsidRPr="00DB6883">
        <w:t xml:space="preserve">The parties agreed to establish </w:t>
      </w:r>
      <w:r w:rsidRPr="007D46DA">
        <w:t>a contact group</w:t>
      </w:r>
      <w:r w:rsidRPr="00DB6883">
        <w:t>, co-chaired by</w:t>
      </w:r>
      <w:r w:rsidR="00D21B32" w:rsidRPr="00DB6883">
        <w:t xml:space="preserve"> </w:t>
      </w:r>
      <w:r w:rsidR="00B6160F" w:rsidRPr="00495C71">
        <w:t>Samuel Paré</w:t>
      </w:r>
      <w:r w:rsidR="00B6160F" w:rsidRPr="00DB6883">
        <w:t xml:space="preserve"> (Burkina Faso) and Davinder Lail (United Kingdom</w:t>
      </w:r>
      <w:r w:rsidR="009503D7" w:rsidRPr="00DB6883">
        <w:t xml:space="preserve"> of Great Britain and Northern Ireland</w:t>
      </w:r>
      <w:r w:rsidR="00B6160F" w:rsidRPr="00DB6883">
        <w:t>)</w:t>
      </w:r>
      <w:r w:rsidRPr="00DB6883">
        <w:t>, to discuss the proposed replenishment further, taking into account the issues raised in the discussion</w:t>
      </w:r>
      <w:r w:rsidR="003A59D7" w:rsidRPr="00DB6883">
        <w:t>.</w:t>
      </w:r>
    </w:p>
    <w:p w:rsidR="008E55C7" w:rsidRPr="00DB6883" w:rsidRDefault="008E55C7" w:rsidP="00D912D5">
      <w:pPr>
        <w:pStyle w:val="Normalnumber"/>
        <w:tabs>
          <w:tab w:val="clear" w:pos="567"/>
          <w:tab w:val="clear" w:pos="1247"/>
          <w:tab w:val="clear" w:pos="1814"/>
          <w:tab w:val="clear" w:pos="2381"/>
          <w:tab w:val="clear" w:pos="2948"/>
          <w:tab w:val="clear" w:pos="3515"/>
          <w:tab w:val="left" w:pos="624"/>
        </w:tabs>
      </w:pPr>
      <w:r w:rsidRPr="00DB6883">
        <w:t xml:space="preserve">Subsequently, the </w:t>
      </w:r>
      <w:r w:rsidR="00AA5E89">
        <w:t>c</w:t>
      </w:r>
      <w:r w:rsidRPr="00DB6883">
        <w:t>o-</w:t>
      </w:r>
      <w:r w:rsidR="00AA5E89">
        <w:t>c</w:t>
      </w:r>
      <w:r w:rsidRPr="00DB6883">
        <w:t>hair of the contact group introduced a draft decision, as set out in a conference room paper.</w:t>
      </w:r>
    </w:p>
    <w:p w:rsidR="008E55C7" w:rsidRPr="007022CB" w:rsidRDefault="008E55C7" w:rsidP="004E7D79">
      <w:pPr>
        <w:pStyle w:val="Normalnumber"/>
        <w:tabs>
          <w:tab w:val="clear" w:pos="567"/>
          <w:tab w:val="clear" w:pos="1247"/>
          <w:tab w:val="clear" w:pos="1814"/>
          <w:tab w:val="clear" w:pos="2381"/>
          <w:tab w:val="clear" w:pos="2948"/>
          <w:tab w:val="clear" w:pos="3515"/>
          <w:tab w:val="left" w:pos="624"/>
        </w:tabs>
      </w:pPr>
      <w:r w:rsidRPr="007022CB">
        <w:t>The representative of Belarus stated that he was unable to agree to the contribution set out for his country in the draft decision</w:t>
      </w:r>
      <w:r w:rsidR="00EB018C" w:rsidRPr="007022CB">
        <w:t>, although</w:t>
      </w:r>
      <w:r w:rsidRPr="007022CB">
        <w:t xml:space="preserve"> Belarus remained firmly committed to the implementation of the Montreal Protocol. It had made extensive efforts to carry out its obligations under the Protocol, including being the first country in Eastern Europe to adopt national legislation to phase out </w:t>
      </w:r>
      <w:r w:rsidR="007E70CE">
        <w:br/>
      </w:r>
      <w:r w:rsidRPr="007022CB">
        <w:t xml:space="preserve">ozone-depleting substances. It had shared its expertise with other parties and had contributed as a donor to the Multilateral Fund. While Belarus wished to continue to help parties operating under paragraph 1 of Article 5 through the Multilateral Fund, however, given the current economic situation it would be unable to contribute the full amount that it had been allocated. He had warned, during the discussions on the adoption of the Kigali Amendment, in 2016, that Belarus would consider the proportion of its allocated contribution that related to the phase-down of HFCs to be voluntary. Accordingly, he requested that a footnote relating to Belarus should be </w:t>
      </w:r>
      <w:r w:rsidR="00EB018C" w:rsidRPr="007022CB">
        <w:t>added</w:t>
      </w:r>
      <w:r w:rsidR="007022CB">
        <w:t xml:space="preserve"> to</w:t>
      </w:r>
      <w:r w:rsidRPr="007022CB">
        <w:t xml:space="preserve"> the table of contributions included in the draft decision, </w:t>
      </w:r>
      <w:r w:rsidR="00EB018C" w:rsidRPr="007022CB">
        <w:t xml:space="preserve">indicating that, </w:t>
      </w:r>
      <w:r w:rsidRPr="007022CB">
        <w:t xml:space="preserve">to avoid non-compliance, </w:t>
      </w:r>
      <w:r w:rsidR="00D7421A" w:rsidRPr="007022CB">
        <w:t xml:space="preserve">the difference </w:t>
      </w:r>
      <w:r w:rsidR="00D7421A" w:rsidRPr="007022CB">
        <w:lastRenderedPageBreak/>
        <w:t xml:space="preserve">between </w:t>
      </w:r>
      <w:r w:rsidRPr="007022CB">
        <w:t>$77,000 per year and the sum i</w:t>
      </w:r>
      <w:r w:rsidR="00D7421A" w:rsidRPr="007022CB">
        <w:t xml:space="preserve">ndicated in the table, </w:t>
      </w:r>
      <w:r w:rsidRPr="007022CB">
        <w:t xml:space="preserve">$141,167 per year, </w:t>
      </w:r>
      <w:r w:rsidR="00EB018C" w:rsidRPr="007022CB">
        <w:t>would</w:t>
      </w:r>
      <w:r w:rsidRPr="007022CB">
        <w:t xml:space="preserve"> be considered a voluntary contri</w:t>
      </w:r>
      <w:r w:rsidR="00D7421A" w:rsidRPr="007022CB">
        <w:t>bution to the Multilateral Fund</w:t>
      </w:r>
      <w:r w:rsidRPr="007022CB">
        <w:t xml:space="preserve">. </w:t>
      </w:r>
    </w:p>
    <w:p w:rsidR="008E55C7" w:rsidRPr="00DB6883" w:rsidRDefault="008E55C7" w:rsidP="004E7D79">
      <w:pPr>
        <w:pStyle w:val="Normalnumber"/>
        <w:tabs>
          <w:tab w:val="clear" w:pos="567"/>
          <w:tab w:val="clear" w:pos="1247"/>
          <w:tab w:val="clear" w:pos="1814"/>
          <w:tab w:val="clear" w:pos="2381"/>
          <w:tab w:val="clear" w:pos="2948"/>
          <w:tab w:val="clear" w:pos="3515"/>
          <w:tab w:val="left" w:pos="624"/>
        </w:tabs>
      </w:pPr>
      <w:r w:rsidRPr="00E861A7">
        <w:t xml:space="preserve">The representative of Azerbaijan </w:t>
      </w:r>
      <w:r w:rsidR="00EC7FED" w:rsidRPr="00DB6883">
        <w:t>said</w:t>
      </w:r>
      <w:r w:rsidRPr="00DB6883">
        <w:t xml:space="preserve"> that she too regarded the contribution allocated to her country in the draft decision, which represented an increase on previous contributions, as unaffordable. She </w:t>
      </w:r>
      <w:r w:rsidR="00640923" w:rsidRPr="00DB6883">
        <w:t>asked for</w:t>
      </w:r>
      <w:r w:rsidRPr="00DB6883">
        <w:t xml:space="preserve"> it </w:t>
      </w:r>
      <w:r w:rsidR="00640923" w:rsidRPr="00DB6883">
        <w:t>to</w:t>
      </w:r>
      <w:r w:rsidRPr="00DB6883">
        <w:t xml:space="preserve"> be reviewed. </w:t>
      </w:r>
    </w:p>
    <w:p w:rsidR="008E55C7" w:rsidRPr="00DB6883" w:rsidRDefault="008E55C7" w:rsidP="004E7D79">
      <w:pPr>
        <w:pStyle w:val="Normalnumber"/>
        <w:tabs>
          <w:tab w:val="clear" w:pos="567"/>
          <w:tab w:val="clear" w:pos="1247"/>
          <w:tab w:val="clear" w:pos="1814"/>
          <w:tab w:val="clear" w:pos="2381"/>
          <w:tab w:val="clear" w:pos="2948"/>
          <w:tab w:val="clear" w:pos="3515"/>
          <w:tab w:val="left" w:pos="624"/>
        </w:tabs>
      </w:pPr>
      <w:r w:rsidRPr="00DB6883">
        <w:t xml:space="preserve">The representative of the United States </w:t>
      </w:r>
      <w:r w:rsidR="00245718" w:rsidRPr="00DB6883">
        <w:t>said</w:t>
      </w:r>
      <w:r w:rsidRPr="00DB6883">
        <w:t xml:space="preserve"> that</w:t>
      </w:r>
      <w:r w:rsidR="001811EB">
        <w:t xml:space="preserve"> his </w:t>
      </w:r>
      <w:r w:rsidR="00195919">
        <w:t>G</w:t>
      </w:r>
      <w:r w:rsidR="001811EB">
        <w:t>overnment ha</w:t>
      </w:r>
      <w:r w:rsidR="00586BA8">
        <w:t>s</w:t>
      </w:r>
      <w:r w:rsidR="001811EB">
        <w:t xml:space="preserve"> been the biggest donor to the Multilateral Fund since 1990. W</w:t>
      </w:r>
      <w:r w:rsidR="009E305A">
        <w:t xml:space="preserve">hile </w:t>
      </w:r>
      <w:r w:rsidR="00245718" w:rsidRPr="00DB6883">
        <w:t>he recogniz</w:t>
      </w:r>
      <w:r w:rsidRPr="00DB6883">
        <w:t>ed that there was widespread support for the draft decision among the p</w:t>
      </w:r>
      <w:r w:rsidR="00245718" w:rsidRPr="00DB6883">
        <w:t xml:space="preserve">arties, </w:t>
      </w:r>
      <w:r w:rsidR="009E305A">
        <w:t>his</w:t>
      </w:r>
      <w:r w:rsidR="00245718" w:rsidRPr="00DB6883">
        <w:t xml:space="preserve"> G</w:t>
      </w:r>
      <w:r w:rsidRPr="00DB6883">
        <w:t>overnment’s budget request to Congress for the fiscal year 2018 was not commensurate with the level of funding contemplated in the decision, and Congress was still considering those funding levels. The United States</w:t>
      </w:r>
      <w:r w:rsidR="001811EB">
        <w:t>’</w:t>
      </w:r>
      <w:r w:rsidRPr="00DB6883">
        <w:t xml:space="preserve"> contributions to the Multilateral Fund </w:t>
      </w:r>
      <w:r w:rsidR="00586BA8">
        <w:t>were</w:t>
      </w:r>
      <w:r w:rsidR="006D6ED5">
        <w:t xml:space="preserve"> voluntary in nature and </w:t>
      </w:r>
      <w:r w:rsidRPr="00DB6883">
        <w:t xml:space="preserve">subject to appropriation decisions made by Congress. </w:t>
      </w:r>
      <w:r w:rsidR="00245718" w:rsidRPr="00DB6883">
        <w:t>T</w:t>
      </w:r>
      <w:r w:rsidRPr="00DB6883">
        <w:t xml:space="preserve">he United States believed that the issues that </w:t>
      </w:r>
      <w:r w:rsidR="009E305A">
        <w:t>his</w:t>
      </w:r>
      <w:r w:rsidRPr="00DB6883">
        <w:t xml:space="preserve"> delegation had raised during the deliberations of the contact group would require further consideration by the parties in the future.</w:t>
      </w:r>
    </w:p>
    <w:p w:rsidR="008E55C7" w:rsidRPr="00DB6883" w:rsidDel="006A67BA" w:rsidRDefault="008E55C7" w:rsidP="004E7D79">
      <w:pPr>
        <w:pStyle w:val="Normalnumber"/>
        <w:tabs>
          <w:tab w:val="clear" w:pos="567"/>
          <w:tab w:val="clear" w:pos="1247"/>
          <w:tab w:val="clear" w:pos="1814"/>
          <w:tab w:val="clear" w:pos="2381"/>
          <w:tab w:val="clear" w:pos="2948"/>
          <w:tab w:val="clear" w:pos="3515"/>
          <w:tab w:val="left" w:pos="624"/>
        </w:tabs>
      </w:pPr>
      <w:r w:rsidRPr="00DB6883" w:rsidDel="006A67BA">
        <w:t xml:space="preserve">A number of representatives observed that the </w:t>
      </w:r>
      <w:r w:rsidR="001C22A7" w:rsidRPr="00DB6883" w:rsidDel="006A67BA">
        <w:t xml:space="preserve">contact </w:t>
      </w:r>
      <w:r w:rsidRPr="00DB6883" w:rsidDel="006A67BA">
        <w:t xml:space="preserve">group had faced many challenges, but had been able to overcome them thanks to a shared willingness to compromise and the trust engendered by working together </w:t>
      </w:r>
      <w:r w:rsidR="00BD662D" w:rsidRPr="00DB6883" w:rsidDel="006A67BA">
        <w:t>for some 30</w:t>
      </w:r>
      <w:r w:rsidRPr="00DB6883" w:rsidDel="006A67BA">
        <w:t xml:space="preserve"> years.</w:t>
      </w:r>
    </w:p>
    <w:p w:rsidR="008E55C7" w:rsidRPr="00DB6883" w:rsidRDefault="008E55C7" w:rsidP="004E7D79">
      <w:pPr>
        <w:pStyle w:val="Normalnumber"/>
        <w:tabs>
          <w:tab w:val="clear" w:pos="567"/>
          <w:tab w:val="clear" w:pos="1247"/>
          <w:tab w:val="clear" w:pos="1814"/>
          <w:tab w:val="clear" w:pos="2381"/>
          <w:tab w:val="clear" w:pos="2948"/>
          <w:tab w:val="clear" w:pos="3515"/>
          <w:tab w:val="left" w:pos="624"/>
        </w:tabs>
      </w:pPr>
      <w:r w:rsidRPr="00DB6883">
        <w:t xml:space="preserve">The parties agreed to forward the draft decision for </w:t>
      </w:r>
      <w:r w:rsidR="001B35BC" w:rsidRPr="00DB6883">
        <w:t xml:space="preserve">further </w:t>
      </w:r>
      <w:r w:rsidRPr="00DB6883">
        <w:t>consideration during the high</w:t>
      </w:r>
      <w:r w:rsidRPr="00DB6883">
        <w:noBreakHyphen/>
        <w:t>level segment.</w:t>
      </w:r>
    </w:p>
    <w:p w:rsidR="004B04D7" w:rsidRPr="00DB6883" w:rsidRDefault="004B04D7" w:rsidP="009E7709">
      <w:pPr>
        <w:pStyle w:val="CH3"/>
      </w:pPr>
      <w:r w:rsidRPr="00DB6883">
        <w:tab/>
        <w:t>2.</w:t>
      </w:r>
      <w:r w:rsidRPr="00DB6883">
        <w:tab/>
        <w:t>Extension of the fixed-exchange-rate mechanism for 2018–2020</w:t>
      </w:r>
    </w:p>
    <w:p w:rsidR="003A59D7" w:rsidRPr="00DB6883" w:rsidRDefault="003A59D7" w:rsidP="004E7D79">
      <w:pPr>
        <w:pStyle w:val="Normalnumber"/>
        <w:tabs>
          <w:tab w:val="clear" w:pos="567"/>
          <w:tab w:val="clear" w:pos="1247"/>
          <w:tab w:val="clear" w:pos="1814"/>
          <w:tab w:val="clear" w:pos="2381"/>
          <w:tab w:val="clear" w:pos="2948"/>
          <w:tab w:val="clear" w:pos="3515"/>
          <w:tab w:val="left" w:pos="624"/>
        </w:tabs>
      </w:pPr>
      <w:r w:rsidRPr="00DB6883">
        <w:t xml:space="preserve">The </w:t>
      </w:r>
      <w:r w:rsidR="004C7A6D" w:rsidRPr="00DB6883">
        <w:t>Co-Chair</w:t>
      </w:r>
      <w:r w:rsidR="008C2921" w:rsidRPr="00DB6883">
        <w:t xml:space="preserve"> </w:t>
      </w:r>
      <w:r w:rsidR="00396F70" w:rsidRPr="00DB6883">
        <w:t>recalled that for the p</w:t>
      </w:r>
      <w:r w:rsidRPr="00DB6883">
        <w:t xml:space="preserve">ast several replenishments the </w:t>
      </w:r>
      <w:r w:rsidR="00396F70" w:rsidRPr="00DB6883">
        <w:t xml:space="preserve">parties </w:t>
      </w:r>
      <w:r w:rsidRPr="00DB6883">
        <w:t xml:space="preserve">had </w:t>
      </w:r>
      <w:r w:rsidR="00396F70" w:rsidRPr="00DB6883">
        <w:t>provided for the use of a fixed-exchange-</w:t>
      </w:r>
      <w:r w:rsidRPr="00DB6883">
        <w:t xml:space="preserve">rate mechanism to help </w:t>
      </w:r>
      <w:r w:rsidR="00396F70" w:rsidRPr="00DB6883">
        <w:t xml:space="preserve">to </w:t>
      </w:r>
      <w:r w:rsidRPr="00DB6883">
        <w:t>facilitate payment. The Secretariat had prepared a draft decision</w:t>
      </w:r>
      <w:r w:rsidR="00396F70" w:rsidRPr="00DB6883">
        <w:t xml:space="preserve"> on the matter (UNEP/OzL.Conv.11</w:t>
      </w:r>
      <w:r w:rsidRPr="00DB6883">
        <w:t>/3-UNEP/OzL.Pro.2</w:t>
      </w:r>
      <w:r w:rsidR="00396F70" w:rsidRPr="00DB6883">
        <w:t>9/3, sect. III.E</w:t>
      </w:r>
      <w:r w:rsidRPr="00DB6883">
        <w:t>, draft decision XX</w:t>
      </w:r>
      <w:r w:rsidR="00396F70" w:rsidRPr="00DB6883">
        <w:t>IX</w:t>
      </w:r>
      <w:proofErr w:type="gramStart"/>
      <w:r w:rsidRPr="00DB6883">
        <w:t>/[</w:t>
      </w:r>
      <w:proofErr w:type="gramEnd"/>
      <w:r w:rsidR="00396F70" w:rsidRPr="00DB6883">
        <w:t>EE</w:t>
      </w:r>
      <w:r w:rsidRPr="00DB6883">
        <w:t xml:space="preserve">]). </w:t>
      </w:r>
    </w:p>
    <w:p w:rsidR="00FF2709" w:rsidRPr="00DB6883" w:rsidRDefault="00FF2709" w:rsidP="004E7D79">
      <w:pPr>
        <w:pStyle w:val="Normalnumber"/>
        <w:tabs>
          <w:tab w:val="clear" w:pos="567"/>
          <w:tab w:val="clear" w:pos="1247"/>
          <w:tab w:val="clear" w:pos="1814"/>
          <w:tab w:val="clear" w:pos="2381"/>
          <w:tab w:val="clear" w:pos="2948"/>
          <w:tab w:val="clear" w:pos="3515"/>
          <w:tab w:val="left" w:pos="624"/>
        </w:tabs>
      </w:pPr>
      <w:r w:rsidRPr="00DB6883">
        <w:t xml:space="preserve">One representative expressed her support for the fixed-exchange-rate mechanism as a means of providing donor countries with predictability so that they could make appropriate budgetary allocations into the future. Although there had been losses in recent years, in the past there had been substantial gains for the </w:t>
      </w:r>
      <w:r w:rsidR="00E66A89" w:rsidRPr="00DB6883">
        <w:t xml:space="preserve">Multilateral </w:t>
      </w:r>
      <w:r w:rsidRPr="00DB6883">
        <w:t>Fund. The results were likely to be cyclical.</w:t>
      </w:r>
    </w:p>
    <w:p w:rsidR="00FF2709" w:rsidRPr="00DB6883" w:rsidRDefault="00FF2709" w:rsidP="004E7D79">
      <w:pPr>
        <w:pStyle w:val="Normalnumber"/>
        <w:tabs>
          <w:tab w:val="clear" w:pos="567"/>
          <w:tab w:val="clear" w:pos="1247"/>
          <w:tab w:val="clear" w:pos="1814"/>
          <w:tab w:val="clear" w:pos="2381"/>
          <w:tab w:val="clear" w:pos="2948"/>
          <w:tab w:val="clear" w:pos="3515"/>
          <w:tab w:val="left" w:pos="624"/>
        </w:tabs>
      </w:pPr>
      <w:r w:rsidRPr="00DB6883">
        <w:t xml:space="preserve">Another representative, while acknowledging the importance of the fixed-exchange-rate mechanism for </w:t>
      </w:r>
      <w:r w:rsidR="005B10F0" w:rsidRPr="00DB6883">
        <w:t>certain</w:t>
      </w:r>
      <w:r w:rsidRPr="00DB6883">
        <w:t xml:space="preserve"> countries, </w:t>
      </w:r>
      <w:r w:rsidR="00BC463E" w:rsidRPr="00DB6883">
        <w:t>voiced</w:t>
      </w:r>
      <w:r w:rsidRPr="00DB6883">
        <w:t xml:space="preserve"> his disappointment with regard to the losses incurred and the need to revisit the mechanism.</w:t>
      </w:r>
    </w:p>
    <w:p w:rsidR="00937E4E" w:rsidRPr="00DB6883" w:rsidRDefault="00F20673" w:rsidP="004E7D79">
      <w:pPr>
        <w:pStyle w:val="Normalnumber"/>
        <w:tabs>
          <w:tab w:val="clear" w:pos="567"/>
          <w:tab w:val="clear" w:pos="1247"/>
          <w:tab w:val="clear" w:pos="1814"/>
          <w:tab w:val="clear" w:pos="2381"/>
          <w:tab w:val="clear" w:pos="2948"/>
          <w:tab w:val="clear" w:pos="3515"/>
          <w:tab w:val="left" w:pos="624"/>
        </w:tabs>
      </w:pPr>
      <w:r w:rsidRPr="00DB6883">
        <w:t>The parties agreed that the contact group established to discuss the replenishment would also consider the draft</w:t>
      </w:r>
      <w:r w:rsidR="005923D9" w:rsidRPr="00DB6883">
        <w:t xml:space="preserve"> decision on the fixed-exchange-</w:t>
      </w:r>
      <w:r w:rsidRPr="00DB6883">
        <w:t>rate mechanism.</w:t>
      </w:r>
    </w:p>
    <w:p w:rsidR="004765AF" w:rsidRPr="00DB6883" w:rsidRDefault="004765AF" w:rsidP="004E7D79">
      <w:pPr>
        <w:pStyle w:val="Normalnumber"/>
        <w:tabs>
          <w:tab w:val="clear" w:pos="567"/>
          <w:tab w:val="clear" w:pos="1247"/>
          <w:tab w:val="clear" w:pos="1814"/>
          <w:tab w:val="clear" w:pos="2381"/>
          <w:tab w:val="clear" w:pos="2948"/>
          <w:tab w:val="clear" w:pos="3515"/>
          <w:tab w:val="left" w:pos="624"/>
        </w:tabs>
      </w:pPr>
      <w:r w:rsidRPr="00DB6883">
        <w:t xml:space="preserve">Subsequently, the </w:t>
      </w:r>
      <w:r w:rsidR="00AA5E89">
        <w:t>c</w:t>
      </w:r>
      <w:r w:rsidRPr="00DB6883">
        <w:t>o-</w:t>
      </w:r>
      <w:r w:rsidR="00AA5E89">
        <w:t>c</w:t>
      </w:r>
      <w:r w:rsidRPr="00DB6883">
        <w:t>hair of the contact group reported that the group had been able to reach agreement on a draft decision, as set out in a conference room paper. The parties agreed to forward the draft decision for consideration and adoption during the high</w:t>
      </w:r>
      <w:r w:rsidRPr="00DB6883">
        <w:noBreakHyphen/>
        <w:t>level segment.</w:t>
      </w:r>
    </w:p>
    <w:p w:rsidR="004B04D7" w:rsidRPr="00DB6883" w:rsidRDefault="004B04D7" w:rsidP="009E7709">
      <w:pPr>
        <w:pStyle w:val="CH2"/>
      </w:pPr>
      <w:r w:rsidRPr="00DB6883">
        <w:tab/>
        <w:t>B.</w:t>
      </w:r>
      <w:r w:rsidRPr="00DB6883">
        <w:tab/>
        <w:t>Kigali Amendment to the Montreal Protocol to phase down hydrofluorocarbons</w:t>
      </w:r>
    </w:p>
    <w:p w:rsidR="004B04D7" w:rsidRPr="00DB6883" w:rsidRDefault="004B04D7" w:rsidP="004B04D7">
      <w:pPr>
        <w:pStyle w:val="CH3"/>
      </w:pPr>
      <w:r w:rsidRPr="00DB6883">
        <w:tab/>
        <w:t>1.</w:t>
      </w:r>
      <w:r w:rsidRPr="00DB6883">
        <w:tab/>
        <w:t>Status of ratification of the Kigali Amendment to the Montreal Protocol</w:t>
      </w:r>
    </w:p>
    <w:p w:rsidR="004B04D7" w:rsidRPr="00DB6883" w:rsidRDefault="005923D9" w:rsidP="004E7D79">
      <w:pPr>
        <w:pStyle w:val="Normalnumber"/>
        <w:tabs>
          <w:tab w:val="clear" w:pos="567"/>
          <w:tab w:val="clear" w:pos="1247"/>
          <w:tab w:val="clear" w:pos="1814"/>
          <w:tab w:val="clear" w:pos="2381"/>
          <w:tab w:val="clear" w:pos="2948"/>
          <w:tab w:val="clear" w:pos="3515"/>
          <w:tab w:val="left" w:pos="624"/>
        </w:tabs>
      </w:pPr>
      <w:r w:rsidRPr="00DB6883">
        <w:t xml:space="preserve">The </w:t>
      </w:r>
      <w:r w:rsidR="004C7A6D" w:rsidRPr="00DB6883">
        <w:t>Co-Chair</w:t>
      </w:r>
      <w:r w:rsidR="008C2921" w:rsidRPr="00DB6883">
        <w:t xml:space="preserve"> </w:t>
      </w:r>
      <w:r w:rsidRPr="00DB6883">
        <w:t>recall</w:t>
      </w:r>
      <w:r w:rsidR="00D82320" w:rsidRPr="00DB6883">
        <w:t>ed</w:t>
      </w:r>
      <w:r w:rsidRPr="00DB6883">
        <w:t xml:space="preserve"> that at </w:t>
      </w:r>
      <w:r w:rsidRPr="007954E2">
        <w:t>each meeting</w:t>
      </w:r>
      <w:r w:rsidRPr="00DB6883">
        <w:t xml:space="preserve"> the parties reviewed the status of ratification of the ozone treaties.</w:t>
      </w:r>
      <w:r w:rsidR="000341A9" w:rsidRPr="00DB6883">
        <w:t xml:space="preserve"> </w:t>
      </w:r>
      <w:r w:rsidR="00765E6F" w:rsidRPr="00DB6883">
        <w:t>T</w:t>
      </w:r>
      <w:r w:rsidR="00C403BA" w:rsidRPr="00DB6883">
        <w:t xml:space="preserve">he parties </w:t>
      </w:r>
      <w:r w:rsidR="00BA176E" w:rsidRPr="00DB6883">
        <w:t>had last taken</w:t>
      </w:r>
      <w:r w:rsidR="00C403BA" w:rsidRPr="00DB6883">
        <w:t xml:space="preserve"> such a decision </w:t>
      </w:r>
      <w:r w:rsidR="006E389C" w:rsidRPr="00DB6883">
        <w:t>in 2014</w:t>
      </w:r>
      <w:r w:rsidR="00BA176E" w:rsidRPr="00DB6883">
        <w:t>,</w:t>
      </w:r>
      <w:r w:rsidR="00C403BA" w:rsidRPr="00DB6883">
        <w:t xml:space="preserve"> at the </w:t>
      </w:r>
      <w:r w:rsidR="00BA176E" w:rsidRPr="00DB6883">
        <w:t>previous</w:t>
      </w:r>
      <w:r w:rsidR="00C403BA" w:rsidRPr="00DB6883">
        <w:t xml:space="preserve"> joint </w:t>
      </w:r>
      <w:proofErr w:type="gramStart"/>
      <w:r w:rsidR="007313B5" w:rsidRPr="00DB6883">
        <w:t>meeting</w:t>
      </w:r>
      <w:r w:rsidR="00BA176E" w:rsidRPr="00DB6883">
        <w:t>,</w:t>
      </w:r>
      <w:proofErr w:type="gramEnd"/>
      <w:r w:rsidR="007313B5" w:rsidRPr="00DB6883">
        <w:t xml:space="preserve"> </w:t>
      </w:r>
      <w:r w:rsidR="00C403BA" w:rsidRPr="00DB6883">
        <w:t>when all the ozone treaties had achieved universal ratification</w:t>
      </w:r>
      <w:r w:rsidR="00BA176E" w:rsidRPr="00DB6883">
        <w:t>, save for</w:t>
      </w:r>
      <w:r w:rsidR="00C403BA" w:rsidRPr="00DB6883">
        <w:t xml:space="preserve"> the Beijing Amendment</w:t>
      </w:r>
      <w:r w:rsidR="00257BF1" w:rsidRPr="00DB6883">
        <w:t xml:space="preserve"> </w:t>
      </w:r>
      <w:r w:rsidR="00C403BA" w:rsidRPr="00DB6883">
        <w:t xml:space="preserve">which was awaiting </w:t>
      </w:r>
      <w:r w:rsidR="00BA176E" w:rsidRPr="00DB6883">
        <w:t>one final ratification</w:t>
      </w:r>
      <w:r w:rsidR="00C403BA" w:rsidRPr="00DB6883">
        <w:t xml:space="preserve">. </w:t>
      </w:r>
      <w:r w:rsidR="00BA176E" w:rsidRPr="00DB6883">
        <w:t>W</w:t>
      </w:r>
      <w:r w:rsidR="00C403BA" w:rsidRPr="00DB6883">
        <w:t xml:space="preserve">ith the Kigali Amendment, the </w:t>
      </w:r>
      <w:r w:rsidR="00BA176E" w:rsidRPr="00DB6883">
        <w:t xml:space="preserve">parties </w:t>
      </w:r>
      <w:r w:rsidR="00C403BA" w:rsidRPr="00DB6883">
        <w:t>could revive a decision that record</w:t>
      </w:r>
      <w:r w:rsidR="00BA176E" w:rsidRPr="00DB6883">
        <w:t>ed</w:t>
      </w:r>
      <w:r w:rsidR="00C403BA" w:rsidRPr="00DB6883">
        <w:t xml:space="preserve"> how many parties ha</w:t>
      </w:r>
      <w:r w:rsidR="00BA176E" w:rsidRPr="00DB6883">
        <w:t>d</w:t>
      </w:r>
      <w:r w:rsidR="00C403BA" w:rsidRPr="00DB6883">
        <w:t xml:space="preserve"> ratified </w:t>
      </w:r>
      <w:r w:rsidR="00BA176E" w:rsidRPr="00DB6883">
        <w:t xml:space="preserve">the ozone </w:t>
      </w:r>
      <w:r w:rsidR="00BA176E" w:rsidRPr="00FB094F">
        <w:t>treaties</w:t>
      </w:r>
      <w:r w:rsidR="00C403BA" w:rsidRPr="00FB094F">
        <w:t xml:space="preserve"> and encourage further ratification. </w:t>
      </w:r>
      <w:r w:rsidR="00F50968" w:rsidRPr="00FB094F">
        <w:t>O</w:t>
      </w:r>
      <w:r w:rsidR="000341A9" w:rsidRPr="00FB094F">
        <w:t>n 17</w:t>
      </w:r>
      <w:r w:rsidR="00D31423" w:rsidRPr="00FB094F">
        <w:t> </w:t>
      </w:r>
      <w:r w:rsidR="000341A9" w:rsidRPr="00FB094F">
        <w:t>November 2017, the twenty-first</w:t>
      </w:r>
      <w:r w:rsidR="00C15316" w:rsidRPr="00FB094F">
        <w:t xml:space="preserve"> instrument of</w:t>
      </w:r>
      <w:r w:rsidR="000341A9" w:rsidRPr="00FB094F">
        <w:t xml:space="preserve"> ratification of the Amendment had been received, thus fulfilling the requirement for the entry into force of the Amendment on 1</w:t>
      </w:r>
      <w:r w:rsidR="000341A9" w:rsidRPr="00DB6883">
        <w:t xml:space="preserve"> January 2019. She drew attention to </w:t>
      </w:r>
      <w:r w:rsidR="000341A9" w:rsidRPr="00E07AFA">
        <w:t>the two draft decisions</w:t>
      </w:r>
      <w:r w:rsidR="00E07AFA" w:rsidRPr="00E07AFA">
        <w:t xml:space="preserve"> </w:t>
      </w:r>
      <w:r w:rsidR="000341A9" w:rsidRPr="00E07AFA">
        <w:t>that</w:t>
      </w:r>
      <w:r w:rsidR="000341A9" w:rsidRPr="00DB6883">
        <w:t xml:space="preserve"> had been prepared</w:t>
      </w:r>
      <w:r w:rsidR="00F160B6" w:rsidRPr="00DB6883">
        <w:t xml:space="preserve"> (</w:t>
      </w:r>
      <w:r w:rsidR="000341A9" w:rsidRPr="00DB6883">
        <w:t>UNEP/OzL.Conv.11/3-UNEP/OzL.Pro.29/3</w:t>
      </w:r>
      <w:r w:rsidR="00F160B6" w:rsidRPr="00DB6883">
        <w:t>, sect. IV</w:t>
      </w:r>
      <w:r w:rsidR="00C511B9" w:rsidRPr="00DB6883">
        <w:t>.A</w:t>
      </w:r>
      <w:r w:rsidR="00F160B6" w:rsidRPr="00DB6883">
        <w:t>, draft decision</w:t>
      </w:r>
      <w:r w:rsidR="00C511B9" w:rsidRPr="00DB6883">
        <w:t>s</w:t>
      </w:r>
      <w:r w:rsidR="00F160B6" w:rsidRPr="00DB6883">
        <w:t xml:space="preserve"> </w:t>
      </w:r>
      <w:r w:rsidR="00C511B9" w:rsidRPr="00DB6883">
        <w:t>XI</w:t>
      </w:r>
      <w:proofErr w:type="gramStart"/>
      <w:r w:rsidR="00C511B9" w:rsidRPr="00DB6883">
        <w:t>/[</w:t>
      </w:r>
      <w:proofErr w:type="gramEnd"/>
      <w:r w:rsidR="00C511B9" w:rsidRPr="00DB6883">
        <w:t>AAA] and XXIX/[AAA])</w:t>
      </w:r>
      <w:r w:rsidR="000341A9" w:rsidRPr="00DB6883">
        <w:t>.</w:t>
      </w:r>
    </w:p>
    <w:p w:rsidR="00917D3E" w:rsidRPr="00DB6883" w:rsidRDefault="000341A9" w:rsidP="004E7D79">
      <w:pPr>
        <w:pStyle w:val="Normalnumber"/>
        <w:tabs>
          <w:tab w:val="clear" w:pos="567"/>
          <w:tab w:val="clear" w:pos="1247"/>
          <w:tab w:val="clear" w:pos="1814"/>
          <w:tab w:val="clear" w:pos="2381"/>
          <w:tab w:val="clear" w:pos="2948"/>
          <w:tab w:val="clear" w:pos="3515"/>
          <w:tab w:val="left" w:pos="624"/>
        </w:tabs>
      </w:pPr>
      <w:r w:rsidRPr="00DB6883">
        <w:t xml:space="preserve">In the ensuing discussion, </w:t>
      </w:r>
      <w:r w:rsidR="00917D3E" w:rsidRPr="00DB6883">
        <w:t xml:space="preserve">several </w:t>
      </w:r>
      <w:r w:rsidRPr="00DB6883">
        <w:t xml:space="preserve">representatives congratulated those parties that had already ratified the Kigali Amendment and encouraged others to follow suit. </w:t>
      </w:r>
    </w:p>
    <w:p w:rsidR="0083171C" w:rsidRPr="00DB6883" w:rsidRDefault="000341A9" w:rsidP="004E7D79">
      <w:pPr>
        <w:pStyle w:val="Normalnumber"/>
        <w:tabs>
          <w:tab w:val="clear" w:pos="567"/>
          <w:tab w:val="clear" w:pos="1247"/>
          <w:tab w:val="clear" w:pos="1814"/>
          <w:tab w:val="clear" w:pos="2381"/>
          <w:tab w:val="clear" w:pos="2948"/>
          <w:tab w:val="clear" w:pos="3515"/>
          <w:tab w:val="left" w:pos="624"/>
        </w:tabs>
      </w:pPr>
      <w:r w:rsidRPr="00DB6883">
        <w:t xml:space="preserve">In the light of </w:t>
      </w:r>
      <w:r w:rsidR="005F6A27" w:rsidRPr="00DB6883">
        <w:t>suggested</w:t>
      </w:r>
      <w:r w:rsidRPr="00DB6883">
        <w:t xml:space="preserve"> changes to the wording of the draft decisions, the </w:t>
      </w:r>
      <w:r w:rsidR="00B77E6D" w:rsidRPr="00DB6883">
        <w:t>parties agreed</w:t>
      </w:r>
      <w:r w:rsidRPr="00DB6883">
        <w:t xml:space="preserve"> that interested parties </w:t>
      </w:r>
      <w:r w:rsidR="00B77E6D" w:rsidRPr="00DB6883">
        <w:t>would</w:t>
      </w:r>
      <w:r w:rsidRPr="00DB6883">
        <w:t xml:space="preserve"> meet </w:t>
      </w:r>
      <w:r w:rsidR="00CB51C6">
        <w:t>i</w:t>
      </w:r>
      <w:r w:rsidRPr="00CB51C6">
        <w:t>n the margins</w:t>
      </w:r>
      <w:r w:rsidRPr="00DB6883">
        <w:t xml:space="preserve"> </w:t>
      </w:r>
      <w:r w:rsidR="00CB51C6">
        <w:t xml:space="preserve">of the meeting </w:t>
      </w:r>
      <w:r w:rsidR="00B77E6D" w:rsidRPr="00DB6883">
        <w:t>and submit</w:t>
      </w:r>
      <w:r w:rsidRPr="00DB6883">
        <w:t xml:space="preserve"> a revised draft decision</w:t>
      </w:r>
      <w:r w:rsidR="00FE2234" w:rsidRPr="00DB6883">
        <w:t>.</w:t>
      </w:r>
    </w:p>
    <w:p w:rsidR="009973B2" w:rsidRPr="00DB6883" w:rsidRDefault="009973B2" w:rsidP="004E7D79">
      <w:pPr>
        <w:pStyle w:val="Normalnumber"/>
        <w:tabs>
          <w:tab w:val="clear" w:pos="567"/>
          <w:tab w:val="clear" w:pos="1247"/>
          <w:tab w:val="clear" w:pos="1814"/>
          <w:tab w:val="clear" w:pos="2381"/>
          <w:tab w:val="clear" w:pos="2948"/>
          <w:tab w:val="clear" w:pos="3515"/>
          <w:tab w:val="left" w:pos="624"/>
        </w:tabs>
      </w:pPr>
      <w:r w:rsidRPr="00DB6883">
        <w:t>Subsequently, the representative of the United States orally introduced the revised draft decisions.</w:t>
      </w:r>
    </w:p>
    <w:p w:rsidR="009973B2" w:rsidRPr="00DB6883" w:rsidRDefault="009973B2" w:rsidP="004E7D79">
      <w:pPr>
        <w:pStyle w:val="Normalnumber"/>
        <w:tabs>
          <w:tab w:val="clear" w:pos="567"/>
          <w:tab w:val="clear" w:pos="1247"/>
          <w:tab w:val="clear" w:pos="1814"/>
          <w:tab w:val="clear" w:pos="2381"/>
          <w:tab w:val="clear" w:pos="2948"/>
          <w:tab w:val="clear" w:pos="3515"/>
          <w:tab w:val="left" w:pos="624"/>
        </w:tabs>
      </w:pPr>
      <w:r w:rsidRPr="00DB6883">
        <w:lastRenderedPageBreak/>
        <w:t>The parties agreed to forward the draft decisions for consideration and adoption during the high</w:t>
      </w:r>
      <w:r w:rsidRPr="00DB6883">
        <w:noBreakHyphen/>
        <w:t>level segment.</w:t>
      </w:r>
    </w:p>
    <w:p w:rsidR="004B04D7" w:rsidRPr="00DB6883" w:rsidRDefault="004B04D7" w:rsidP="009E7709">
      <w:pPr>
        <w:pStyle w:val="CH3"/>
        <w:rPr>
          <w:color w:val="000000"/>
        </w:rPr>
      </w:pPr>
      <w:r w:rsidRPr="00DB6883">
        <w:tab/>
        <w:t>2.</w:t>
      </w:r>
      <w:r w:rsidRPr="00DB6883">
        <w:tab/>
        <w:t>Data reporting under Article 7 of the Montreal Protocol, including related issues and destruction technologies for substances in Annex F to the Montreal Protocol</w:t>
      </w:r>
    </w:p>
    <w:p w:rsidR="004B04D7" w:rsidRPr="00DB6883" w:rsidRDefault="00433E56" w:rsidP="004E7D79">
      <w:pPr>
        <w:pStyle w:val="Normalnumber"/>
        <w:tabs>
          <w:tab w:val="clear" w:pos="567"/>
          <w:tab w:val="clear" w:pos="1247"/>
          <w:tab w:val="clear" w:pos="1814"/>
          <w:tab w:val="clear" w:pos="2381"/>
          <w:tab w:val="clear" w:pos="2948"/>
          <w:tab w:val="clear" w:pos="3515"/>
          <w:tab w:val="left" w:pos="624"/>
        </w:tabs>
      </w:pPr>
      <w:r w:rsidRPr="00DB6883">
        <w:t>T</w:t>
      </w:r>
      <w:r w:rsidR="001D7E0C" w:rsidRPr="00DB6883">
        <w:t xml:space="preserve">he </w:t>
      </w:r>
      <w:r w:rsidR="004C7A6D" w:rsidRPr="00DB6883">
        <w:t>Co-Chair</w:t>
      </w:r>
      <w:r w:rsidR="008C2921" w:rsidRPr="00DB6883">
        <w:t xml:space="preserve"> </w:t>
      </w:r>
      <w:r w:rsidR="001D7E0C" w:rsidRPr="00DB6883">
        <w:t xml:space="preserve">recalled that, at the thirty-ninth meeting </w:t>
      </w:r>
      <w:r w:rsidR="001D7E0C" w:rsidRPr="008708CB">
        <w:t>of the Open</w:t>
      </w:r>
      <w:r w:rsidR="001D7E0C" w:rsidRPr="00DB6883">
        <w:t>-ended Working Group, a contact group had been established to discuss the issues arising from the Kigali Amendment that were relevant to data reporting under Article 7 of the Montreal Protocol, including the process for deciding on destruction technologies for hydrofluorocarbons. The contact group had concluded its initial discussions on the data reporting forms and associated guidelines and on the issue of reporting of mixtures and blends containing hydrofluorocarbons. It had been</w:t>
      </w:r>
      <w:r w:rsidR="009F2DD1" w:rsidRPr="00DB6883">
        <w:t xml:space="preserve"> agreed that the parties would </w:t>
      </w:r>
      <w:r w:rsidR="001D7E0C" w:rsidRPr="00DB6883">
        <w:t xml:space="preserve">be given time to submit detailed comments. The Secretariat had incorporated those comments and presented a revised set of forms </w:t>
      </w:r>
      <w:r w:rsidR="00417DA2" w:rsidRPr="00DB6883">
        <w:t>for</w:t>
      </w:r>
      <w:r w:rsidR="001D7E0C" w:rsidRPr="00DB6883">
        <w:t xml:space="preserve"> consider</w:t>
      </w:r>
      <w:r w:rsidR="00417DA2" w:rsidRPr="00DB6883">
        <w:t>ation</w:t>
      </w:r>
      <w:r w:rsidR="001D7E0C" w:rsidRPr="00DB6883">
        <w:t xml:space="preserve"> (</w:t>
      </w:r>
      <w:r w:rsidR="00417DA2" w:rsidRPr="00DB6883">
        <w:t>UNEP/OzL.</w:t>
      </w:r>
      <w:r w:rsidR="001D7E0C" w:rsidRPr="00DB6883">
        <w:t>Pro.29/7</w:t>
      </w:r>
      <w:r w:rsidR="00417DA2" w:rsidRPr="00DB6883">
        <w:t>).</w:t>
      </w:r>
    </w:p>
    <w:p w:rsidR="00417DA2" w:rsidRPr="00DB6883" w:rsidRDefault="00417DA2" w:rsidP="004E7D79">
      <w:pPr>
        <w:pStyle w:val="Normalnumber"/>
        <w:tabs>
          <w:tab w:val="clear" w:pos="567"/>
          <w:tab w:val="clear" w:pos="1247"/>
          <w:tab w:val="clear" w:pos="1814"/>
          <w:tab w:val="clear" w:pos="2381"/>
          <w:tab w:val="clear" w:pos="2948"/>
          <w:tab w:val="clear" w:pos="3515"/>
          <w:tab w:val="left" w:pos="624"/>
        </w:tabs>
      </w:pPr>
      <w:r w:rsidRPr="00DB6883">
        <w:t xml:space="preserve">The contact group had discussed several other issues, </w:t>
      </w:r>
      <w:r w:rsidR="0087042D" w:rsidRPr="00DB6883">
        <w:t>namely</w:t>
      </w:r>
      <w:r w:rsidR="00093CF8" w:rsidRPr="00DB6883">
        <w:t>,</w:t>
      </w:r>
      <w:r w:rsidR="0087042D" w:rsidRPr="00DB6883">
        <w:t xml:space="preserve"> </w:t>
      </w:r>
      <w:r w:rsidR="00093CF8" w:rsidRPr="00DB6883">
        <w:t xml:space="preserve">a </w:t>
      </w:r>
      <w:r w:rsidR="0087042D" w:rsidRPr="00DB6883">
        <w:t>timeline for reporting of baseline data for HFCs by parties</w:t>
      </w:r>
      <w:r w:rsidR="00093CF8" w:rsidRPr="00DB6883">
        <w:t xml:space="preserve"> operating under paragraph 1 of Article 5</w:t>
      </w:r>
      <w:r w:rsidR="0087042D" w:rsidRPr="00DB6883">
        <w:t xml:space="preserve">; reporting of trade with non-parties; </w:t>
      </w:r>
      <w:r w:rsidR="00093CF8" w:rsidRPr="00DB6883">
        <w:t>global-warming-potential</w:t>
      </w:r>
      <w:r w:rsidR="0087042D" w:rsidRPr="00DB6883">
        <w:t xml:space="preserve"> values for HCFC-141 and HCFC-142; and </w:t>
      </w:r>
      <w:r w:rsidR="00093CF8" w:rsidRPr="00DB6883">
        <w:t xml:space="preserve">the </w:t>
      </w:r>
      <w:r w:rsidR="0087042D" w:rsidRPr="00DB6883">
        <w:t xml:space="preserve">approval of </w:t>
      </w:r>
      <w:r w:rsidRPr="00DB6883">
        <w:t>destruction technologies for hydrofluo</w:t>
      </w:r>
      <w:r w:rsidR="00E66888" w:rsidRPr="00DB6883">
        <w:t>ro</w:t>
      </w:r>
      <w:r w:rsidRPr="00DB6883">
        <w:t xml:space="preserve">carbons, with regard to which a draft decision had been proposed and </w:t>
      </w:r>
      <w:r w:rsidR="00280B5D" w:rsidRPr="00DB6883">
        <w:t>forwarded for consideration by the Twenty-Ninth Meeting of the Parties</w:t>
      </w:r>
      <w:r w:rsidRPr="00DB6883">
        <w:t xml:space="preserve"> (UNEP/OzL.Conv.11/3-UNEP/OzL.Pro.2</w:t>
      </w:r>
      <w:r w:rsidR="00EB61B3" w:rsidRPr="00DB6883">
        <w:t>9/3, sect.</w:t>
      </w:r>
      <w:r w:rsidRPr="00DB6883">
        <w:t xml:space="preserve"> II, draft decision XXIX/[A]). </w:t>
      </w:r>
    </w:p>
    <w:p w:rsidR="00EB61B3" w:rsidRPr="00DB6883" w:rsidRDefault="00EB61B3" w:rsidP="004E7D79">
      <w:pPr>
        <w:pStyle w:val="Normalnumber"/>
        <w:tabs>
          <w:tab w:val="clear" w:pos="567"/>
          <w:tab w:val="clear" w:pos="1247"/>
          <w:tab w:val="clear" w:pos="1814"/>
          <w:tab w:val="clear" w:pos="2381"/>
          <w:tab w:val="clear" w:pos="2948"/>
          <w:tab w:val="clear" w:pos="3515"/>
          <w:tab w:val="left" w:pos="624"/>
        </w:tabs>
      </w:pPr>
      <w:r w:rsidRPr="00DB6883">
        <w:t xml:space="preserve">The parties agreed to </w:t>
      </w:r>
      <w:r w:rsidRPr="00930BD0">
        <w:t>reconvene the contact</w:t>
      </w:r>
      <w:r w:rsidRPr="00DB6883">
        <w:t xml:space="preserve"> group on data reporting and destruction established at the </w:t>
      </w:r>
      <w:r w:rsidRPr="00967E00">
        <w:t>thirty-ninth</w:t>
      </w:r>
      <w:r w:rsidRPr="00DB6883">
        <w:t xml:space="preserve"> meeting of the Open-ended Working Group, co-chaired by </w:t>
      </w:r>
      <w:r w:rsidR="0087042D" w:rsidRPr="00DB6883">
        <w:t>Martin Sirois</w:t>
      </w:r>
      <w:r w:rsidR="0096062B" w:rsidRPr="00DB6883">
        <w:t xml:space="preserve"> (</w:t>
      </w:r>
      <w:r w:rsidRPr="00DB6883">
        <w:t>Canada</w:t>
      </w:r>
      <w:r w:rsidR="0096062B" w:rsidRPr="00DB6883">
        <w:t>)</w:t>
      </w:r>
      <w:r w:rsidRPr="00DB6883">
        <w:t xml:space="preserve"> and </w:t>
      </w:r>
      <w:r w:rsidR="0087042D" w:rsidRPr="00DB6883">
        <w:t>Margaret Aanyu</w:t>
      </w:r>
      <w:r w:rsidR="0096062B" w:rsidRPr="00DB6883">
        <w:t xml:space="preserve"> (</w:t>
      </w:r>
      <w:r w:rsidRPr="00DB6883">
        <w:t>Uganda</w:t>
      </w:r>
      <w:r w:rsidR="0096062B" w:rsidRPr="00DB6883">
        <w:t>)</w:t>
      </w:r>
      <w:r w:rsidR="003D57D5" w:rsidRPr="00DB6883">
        <w:t>, to continue its discussions, including o</w:t>
      </w:r>
      <w:r w:rsidR="005702C8" w:rsidRPr="00DB6883">
        <w:t>n</w:t>
      </w:r>
      <w:r w:rsidR="003D57D5" w:rsidRPr="00DB6883">
        <w:t xml:space="preserve"> the draft decision</w:t>
      </w:r>
      <w:r w:rsidRPr="00DB6883">
        <w:t>.</w:t>
      </w:r>
    </w:p>
    <w:p w:rsidR="009973B2" w:rsidRPr="00DB6883" w:rsidRDefault="009973B2" w:rsidP="004E7D79">
      <w:pPr>
        <w:pStyle w:val="Normalnumber"/>
        <w:tabs>
          <w:tab w:val="clear" w:pos="567"/>
          <w:tab w:val="clear" w:pos="1247"/>
          <w:tab w:val="clear" w:pos="1814"/>
          <w:tab w:val="clear" w:pos="2381"/>
          <w:tab w:val="clear" w:pos="2948"/>
          <w:tab w:val="clear" w:pos="3515"/>
          <w:tab w:val="left" w:pos="624"/>
        </w:tabs>
      </w:pPr>
      <w:r w:rsidRPr="00DB6883">
        <w:t xml:space="preserve">Subsequently, </w:t>
      </w:r>
      <w:r w:rsidR="00796102" w:rsidRPr="00DB6883">
        <w:t xml:space="preserve">the </w:t>
      </w:r>
      <w:r w:rsidR="00621866">
        <w:t>c</w:t>
      </w:r>
      <w:r w:rsidR="00796102" w:rsidRPr="00DB6883">
        <w:t>o-</w:t>
      </w:r>
      <w:r w:rsidR="00621866">
        <w:t>c</w:t>
      </w:r>
      <w:r w:rsidR="00796102" w:rsidRPr="00DB6883">
        <w:t xml:space="preserve">hair of the contact group </w:t>
      </w:r>
      <w:r w:rsidRPr="00DB6883">
        <w:t xml:space="preserve">reported that the group had been able to reach agreement on a draft decision on destruction technologies for HFCs, set out in a conference room paper. The parties agreed to forward the draft decision for consideration and adoption during the </w:t>
      </w:r>
      <w:r w:rsidR="00715700">
        <w:br/>
      </w:r>
      <w:r w:rsidRPr="00DB6883">
        <w:t>high-level segment.</w:t>
      </w:r>
    </w:p>
    <w:p w:rsidR="009973B2" w:rsidRPr="00DB6883" w:rsidRDefault="00796102" w:rsidP="004E7D79">
      <w:pPr>
        <w:pStyle w:val="Normalnumber"/>
        <w:tabs>
          <w:tab w:val="clear" w:pos="567"/>
          <w:tab w:val="clear" w:pos="1247"/>
          <w:tab w:val="clear" w:pos="1814"/>
          <w:tab w:val="clear" w:pos="2381"/>
          <w:tab w:val="clear" w:pos="2948"/>
          <w:tab w:val="clear" w:pos="3515"/>
          <w:tab w:val="left" w:pos="624"/>
        </w:tabs>
      </w:pPr>
      <w:r w:rsidRPr="00DB6883">
        <w:t xml:space="preserve">He </w:t>
      </w:r>
      <w:r w:rsidR="009973B2" w:rsidRPr="00DB6883">
        <w:t xml:space="preserve">also reported that, while the </w:t>
      </w:r>
      <w:r w:rsidR="009973B2" w:rsidRPr="003B20FA">
        <w:t>contact group had m</w:t>
      </w:r>
      <w:r w:rsidR="009973B2" w:rsidRPr="00DB6883">
        <w:t xml:space="preserve">ade good progress on the other items on its agenda, it had not been able completely to conclude its discussions and therefore proposed that the item should be included on the agenda </w:t>
      </w:r>
      <w:r w:rsidR="00096251" w:rsidRPr="00DB6883">
        <w:t>of</w:t>
      </w:r>
      <w:r w:rsidR="009973B2" w:rsidRPr="00DB6883">
        <w:t xml:space="preserve"> the fortieth meeting of the Open-ended Working Group. It should be noted that the group had been unable to reach a conclusion on the inclusion of data on </w:t>
      </w:r>
      <w:r w:rsidR="007E70CE">
        <w:br/>
      </w:r>
      <w:r w:rsidR="009973B2" w:rsidRPr="00DB6883">
        <w:t xml:space="preserve">HFC-23 in data form 6. It had spotted errors in the global-warming-potential values of the common isomers of HFC-123 and HFC-124, which had been transposed incorrectly </w:t>
      </w:r>
      <w:r w:rsidR="00020177">
        <w:t>in</w:t>
      </w:r>
      <w:r w:rsidR="00020177" w:rsidRPr="00DB6883">
        <w:t xml:space="preserve"> </w:t>
      </w:r>
      <w:r w:rsidR="009973B2" w:rsidRPr="00DB6883">
        <w:t>Annex F in the Kigali Amendment. It had further agreed that, in the forms and instructions for reporting trade in controlled substances with non-parties, all references to Annex F should be deleted. It had not, however, concluded its discussions on the timeline for reporting baseline data for parties operating under paragraph 1 of Article 5.</w:t>
      </w:r>
    </w:p>
    <w:p w:rsidR="009973B2" w:rsidRPr="00DB6883" w:rsidRDefault="009973B2" w:rsidP="004E7D79">
      <w:pPr>
        <w:pStyle w:val="Normalnumber"/>
        <w:tabs>
          <w:tab w:val="clear" w:pos="567"/>
          <w:tab w:val="clear" w:pos="1247"/>
          <w:tab w:val="clear" w:pos="1814"/>
          <w:tab w:val="clear" w:pos="2381"/>
          <w:tab w:val="clear" w:pos="2948"/>
          <w:tab w:val="clear" w:pos="3515"/>
          <w:tab w:val="left" w:pos="624"/>
        </w:tabs>
      </w:pPr>
      <w:r w:rsidRPr="00DB6883">
        <w:t xml:space="preserve">The parties agreed that the item would be included in the agenda </w:t>
      </w:r>
      <w:r w:rsidR="00096251" w:rsidRPr="00DB6883">
        <w:t>of</w:t>
      </w:r>
      <w:r w:rsidRPr="00DB6883">
        <w:t xml:space="preserve"> the fortieth meeting of the Open-ended Working Group and that the Working Group would decide how best to proceed thereafter. </w:t>
      </w:r>
      <w:r w:rsidR="00796102" w:rsidRPr="00DB6883">
        <w:t xml:space="preserve">The Co-Chair </w:t>
      </w:r>
      <w:r w:rsidRPr="00DB6883">
        <w:t>suggested that the Secretariat could incorporate the contact group’s observations when preparing the relevant documentation for that meeting.</w:t>
      </w:r>
    </w:p>
    <w:p w:rsidR="004B04D7" w:rsidRPr="00DB6883" w:rsidRDefault="004B04D7" w:rsidP="009E7709">
      <w:pPr>
        <w:pStyle w:val="CH2"/>
      </w:pPr>
      <w:r w:rsidRPr="00DB6883">
        <w:tab/>
        <w:t>C.</w:t>
      </w:r>
      <w:r w:rsidRPr="00DB6883">
        <w:tab/>
        <w:t>Issues related to exemptions from Article 2 of the Montreal Protocol</w:t>
      </w:r>
    </w:p>
    <w:p w:rsidR="004B04D7" w:rsidRPr="00DB6883" w:rsidRDefault="007D76E0" w:rsidP="009E7709">
      <w:pPr>
        <w:pStyle w:val="CH3"/>
      </w:pPr>
      <w:r w:rsidRPr="00DB6883">
        <w:tab/>
        <w:t>1.</w:t>
      </w:r>
      <w:r w:rsidRPr="00DB6883">
        <w:tab/>
      </w:r>
      <w:r w:rsidR="004B04D7" w:rsidRPr="00DB6883">
        <w:t>Nominations for es</w:t>
      </w:r>
      <w:r w:rsidRPr="00DB6883">
        <w:t>sential</w:t>
      </w:r>
      <w:r w:rsidRPr="00DB6883">
        <w:noBreakHyphen/>
        <w:t>use exemptions for 2018</w:t>
      </w:r>
    </w:p>
    <w:p w:rsidR="003A59D7" w:rsidRPr="00DB6883" w:rsidRDefault="00312144" w:rsidP="004E7D79">
      <w:pPr>
        <w:pStyle w:val="Normalnumber"/>
        <w:tabs>
          <w:tab w:val="clear" w:pos="567"/>
          <w:tab w:val="clear" w:pos="1247"/>
          <w:tab w:val="clear" w:pos="1814"/>
          <w:tab w:val="clear" w:pos="2381"/>
          <w:tab w:val="clear" w:pos="2948"/>
          <w:tab w:val="clear" w:pos="3515"/>
          <w:tab w:val="left" w:pos="624"/>
        </w:tabs>
      </w:pPr>
      <w:r w:rsidRPr="00DB6883">
        <w:t>T</w:t>
      </w:r>
      <w:r w:rsidR="003A59D7" w:rsidRPr="00DB6883">
        <w:t xml:space="preserve">he </w:t>
      </w:r>
      <w:r w:rsidR="004C7A6D" w:rsidRPr="00DB6883">
        <w:t>Co-Chair</w:t>
      </w:r>
      <w:r w:rsidR="008C2921" w:rsidRPr="00DB6883">
        <w:t xml:space="preserve"> </w:t>
      </w:r>
      <w:r w:rsidR="003A59D7" w:rsidRPr="00DB6883">
        <w:t xml:space="preserve">recalled </w:t>
      </w:r>
      <w:r w:rsidR="003A59D7" w:rsidRPr="00E63B6D">
        <w:t>that the Open-</w:t>
      </w:r>
      <w:r w:rsidR="003A59D7" w:rsidRPr="00DB6883">
        <w:t>ended Working Group, at its thirty-</w:t>
      </w:r>
      <w:r w:rsidR="00A65A97" w:rsidRPr="00DB6883">
        <w:t>ninth</w:t>
      </w:r>
      <w:r w:rsidR="003A59D7" w:rsidRPr="00DB6883">
        <w:t xml:space="preserve"> meeting, had heard a presentation </w:t>
      </w:r>
      <w:r w:rsidR="007C6369" w:rsidRPr="00031D82">
        <w:t>by the</w:t>
      </w:r>
      <w:r w:rsidR="007C6369" w:rsidRPr="00DB6883">
        <w:t xml:space="preserve"> Technology and Economic Assessment Panel </w:t>
      </w:r>
      <w:r w:rsidR="00A65A97" w:rsidRPr="00DB6883">
        <w:t xml:space="preserve">on its evaluation </w:t>
      </w:r>
      <w:r w:rsidR="008F4DE8" w:rsidRPr="00DB6883">
        <w:t xml:space="preserve">of </w:t>
      </w:r>
      <w:r w:rsidR="00A65A97" w:rsidRPr="00DB6883">
        <w:t>and recommendations on an essential-use nomination submitted by China for 65 tonnes of carbon tetrachloride for testing of oil, grease and petroleum hydrocarbon in water</w:t>
      </w:r>
      <w:r w:rsidR="003A59D7" w:rsidRPr="00DB6883">
        <w:t xml:space="preserve">. </w:t>
      </w:r>
      <w:r w:rsidR="00A65A97" w:rsidRPr="00DB6883">
        <w:t>T</w:t>
      </w:r>
      <w:r w:rsidR="003A59D7" w:rsidRPr="00DB6883">
        <w:t xml:space="preserve">he Working Group had forwarded </w:t>
      </w:r>
      <w:r w:rsidR="00A65A97" w:rsidRPr="00DB6883">
        <w:t>a</w:t>
      </w:r>
      <w:r w:rsidR="003A59D7" w:rsidRPr="00DB6883">
        <w:t xml:space="preserve"> draft decision</w:t>
      </w:r>
      <w:r w:rsidR="001B0E6D" w:rsidRPr="00DB6883">
        <w:t xml:space="preserve"> </w:t>
      </w:r>
      <w:r w:rsidR="003A59D7" w:rsidRPr="00DB6883">
        <w:t xml:space="preserve">on </w:t>
      </w:r>
      <w:r w:rsidR="00A65A97" w:rsidRPr="00DB6883">
        <w:t xml:space="preserve">the </w:t>
      </w:r>
      <w:r w:rsidR="006D4C3D" w:rsidRPr="00DB6883">
        <w:t>matter</w:t>
      </w:r>
      <w:r w:rsidR="001B0E6D" w:rsidRPr="00DB6883">
        <w:t xml:space="preserve">, submitted by China, </w:t>
      </w:r>
      <w:r w:rsidR="003A59D7" w:rsidRPr="00DB6883">
        <w:t>for consideration by the Twenty-</w:t>
      </w:r>
      <w:r w:rsidR="00A65A97" w:rsidRPr="00DB6883">
        <w:t>Ninth</w:t>
      </w:r>
      <w:r w:rsidR="003A59D7" w:rsidRPr="00DB6883">
        <w:t xml:space="preserve"> Meeting of the Parties</w:t>
      </w:r>
      <w:r w:rsidR="00A65A97" w:rsidRPr="00DB6883">
        <w:t xml:space="preserve"> (UNEP/OzL.Conv.11/3-UNEP/OzL.Pro.29/3, sect</w:t>
      </w:r>
      <w:r w:rsidR="00BD4164" w:rsidRPr="00DB6883">
        <w:t>.</w:t>
      </w:r>
      <w:r w:rsidR="00A65A97" w:rsidRPr="00DB6883">
        <w:t xml:space="preserve"> II, draft decision XXIX</w:t>
      </w:r>
      <w:proofErr w:type="gramStart"/>
      <w:r w:rsidR="00A65A97" w:rsidRPr="00DB6883">
        <w:t>/[</w:t>
      </w:r>
      <w:proofErr w:type="gramEnd"/>
      <w:r w:rsidR="00A65A97" w:rsidRPr="00DB6883">
        <w:t>B])</w:t>
      </w:r>
      <w:r w:rsidR="003A59D7" w:rsidRPr="00DB6883">
        <w:t>.</w:t>
      </w:r>
    </w:p>
    <w:p w:rsidR="006E0D72" w:rsidRPr="00DB6883" w:rsidRDefault="006E0D72" w:rsidP="004E7D79">
      <w:pPr>
        <w:pStyle w:val="Normalnumber"/>
        <w:tabs>
          <w:tab w:val="clear" w:pos="567"/>
          <w:tab w:val="clear" w:pos="1247"/>
          <w:tab w:val="clear" w:pos="1814"/>
          <w:tab w:val="clear" w:pos="2381"/>
          <w:tab w:val="clear" w:pos="2948"/>
          <w:tab w:val="clear" w:pos="3515"/>
          <w:tab w:val="left" w:pos="624"/>
        </w:tabs>
      </w:pPr>
      <w:r w:rsidRPr="00DB6883">
        <w:t xml:space="preserve">The representative of China observed that the draft decision still contained text </w:t>
      </w:r>
      <w:r w:rsidR="00261CD1" w:rsidRPr="00DB6883">
        <w:t>that</w:t>
      </w:r>
      <w:r w:rsidRPr="00DB6883">
        <w:t xml:space="preserve"> </w:t>
      </w:r>
      <w:r w:rsidR="00261CD1" w:rsidRPr="00DB6883">
        <w:t>it</w:t>
      </w:r>
      <w:r w:rsidRPr="00DB6883">
        <w:t xml:space="preserve"> would like to discuss further with interested parties. Several representatives commended China for its efforts to find alternative</w:t>
      </w:r>
      <w:r w:rsidR="00C726EA" w:rsidRPr="00DB6883">
        <w:t>s</w:t>
      </w:r>
      <w:r w:rsidRPr="00DB6883">
        <w:t xml:space="preserve"> to th</w:t>
      </w:r>
      <w:r w:rsidR="0064711B" w:rsidRPr="00DB6883">
        <w:t>at</w:t>
      </w:r>
      <w:r w:rsidRPr="00DB6883">
        <w:t xml:space="preserve"> </w:t>
      </w:r>
      <w:r w:rsidR="00693FF4" w:rsidRPr="00DB6883">
        <w:t xml:space="preserve">particular </w:t>
      </w:r>
      <w:r w:rsidRPr="00DB6883">
        <w:t xml:space="preserve">use of carbon tetrachloride. </w:t>
      </w:r>
    </w:p>
    <w:p w:rsidR="007D76E0" w:rsidRPr="00DB6883" w:rsidRDefault="006E0D72" w:rsidP="004E7D79">
      <w:pPr>
        <w:pStyle w:val="Normalnumber"/>
        <w:tabs>
          <w:tab w:val="clear" w:pos="567"/>
          <w:tab w:val="clear" w:pos="1247"/>
          <w:tab w:val="clear" w:pos="1814"/>
          <w:tab w:val="clear" w:pos="2381"/>
          <w:tab w:val="clear" w:pos="2948"/>
          <w:tab w:val="clear" w:pos="3515"/>
          <w:tab w:val="left" w:pos="624"/>
        </w:tabs>
      </w:pPr>
      <w:r w:rsidRPr="00DB6883">
        <w:t xml:space="preserve">The parties agreed that interested parties </w:t>
      </w:r>
      <w:r w:rsidR="001B0E6D" w:rsidRPr="00DB6883">
        <w:t>w</w:t>
      </w:r>
      <w:r w:rsidRPr="00DB6883">
        <w:t xml:space="preserve">ould meet </w:t>
      </w:r>
      <w:r w:rsidR="00CB51C6">
        <w:t>i</w:t>
      </w:r>
      <w:r w:rsidR="00CB51C6" w:rsidRPr="00CB51C6">
        <w:t xml:space="preserve">n </w:t>
      </w:r>
      <w:r w:rsidRPr="00CB51C6">
        <w:t>the margins</w:t>
      </w:r>
      <w:r w:rsidR="00CB51C6">
        <w:t xml:space="preserve"> of the meeting</w:t>
      </w:r>
      <w:r w:rsidRPr="00DB6883">
        <w:t xml:space="preserve"> </w:t>
      </w:r>
      <w:r w:rsidR="001B0E6D" w:rsidRPr="00DB6883">
        <w:t>and submit</w:t>
      </w:r>
      <w:r w:rsidRPr="00DB6883">
        <w:t xml:space="preserve"> a revised draft decision</w:t>
      </w:r>
      <w:r w:rsidR="001B0E6D" w:rsidRPr="00DB6883">
        <w:t>.</w:t>
      </w:r>
      <w:r w:rsidRPr="00DB6883">
        <w:t xml:space="preserve"> </w:t>
      </w:r>
    </w:p>
    <w:p w:rsidR="00807791" w:rsidRPr="00DB6883" w:rsidRDefault="00807791" w:rsidP="004E7D79">
      <w:pPr>
        <w:pStyle w:val="Normalnumber"/>
        <w:tabs>
          <w:tab w:val="clear" w:pos="567"/>
          <w:tab w:val="clear" w:pos="1247"/>
          <w:tab w:val="clear" w:pos="1814"/>
          <w:tab w:val="clear" w:pos="2381"/>
          <w:tab w:val="clear" w:pos="2948"/>
          <w:tab w:val="clear" w:pos="3515"/>
          <w:tab w:val="left" w:pos="624"/>
        </w:tabs>
      </w:pPr>
      <w:r w:rsidRPr="00DB6883">
        <w:t>Subsequently, the representative of China introduced a draft decision on the subject, set out in a conference room paper.</w:t>
      </w:r>
    </w:p>
    <w:p w:rsidR="00807791" w:rsidRPr="00DB6883" w:rsidRDefault="00807791" w:rsidP="004E7D79">
      <w:pPr>
        <w:pStyle w:val="Normalnumber"/>
        <w:tabs>
          <w:tab w:val="clear" w:pos="567"/>
          <w:tab w:val="clear" w:pos="1247"/>
          <w:tab w:val="clear" w:pos="1814"/>
          <w:tab w:val="clear" w:pos="2381"/>
          <w:tab w:val="clear" w:pos="2948"/>
          <w:tab w:val="clear" w:pos="3515"/>
          <w:tab w:val="left" w:pos="624"/>
        </w:tabs>
      </w:pPr>
      <w:r w:rsidRPr="00DB6883">
        <w:lastRenderedPageBreak/>
        <w:t>The parties agreed to forward the draft decision for consideration and adoption during the high-level segment.</w:t>
      </w:r>
    </w:p>
    <w:p w:rsidR="004B04D7" w:rsidRPr="00DB6883" w:rsidRDefault="007D76E0" w:rsidP="007D76E0">
      <w:pPr>
        <w:pStyle w:val="CH3"/>
      </w:pPr>
      <w:r w:rsidRPr="00DB6883">
        <w:tab/>
        <w:t>2.</w:t>
      </w:r>
      <w:r w:rsidRPr="00DB6883">
        <w:tab/>
      </w:r>
      <w:r w:rsidR="004B04D7" w:rsidRPr="00DB6883">
        <w:t>Nominations for critical-u</w:t>
      </w:r>
      <w:r w:rsidRPr="00DB6883">
        <w:t>se exemptions for 2018 and 2019</w:t>
      </w:r>
    </w:p>
    <w:p w:rsidR="003A59D7" w:rsidRPr="00DB6883" w:rsidRDefault="00C726EA" w:rsidP="004E7D79">
      <w:pPr>
        <w:pStyle w:val="Normalnumber"/>
        <w:tabs>
          <w:tab w:val="clear" w:pos="567"/>
          <w:tab w:val="clear" w:pos="1247"/>
          <w:tab w:val="clear" w:pos="1814"/>
          <w:tab w:val="clear" w:pos="2381"/>
          <w:tab w:val="clear" w:pos="2948"/>
          <w:tab w:val="clear" w:pos="3515"/>
          <w:tab w:val="left" w:pos="624"/>
        </w:tabs>
      </w:pPr>
      <w:r w:rsidRPr="00DB6883">
        <w:t>T</w:t>
      </w:r>
      <w:r w:rsidR="003A59D7" w:rsidRPr="00DB6883">
        <w:t xml:space="preserve">he </w:t>
      </w:r>
      <w:r w:rsidR="004C7A6D" w:rsidRPr="00DB6883">
        <w:t>Co-Chair</w:t>
      </w:r>
      <w:r w:rsidR="008C2921" w:rsidRPr="00DB6883">
        <w:t xml:space="preserve"> </w:t>
      </w:r>
      <w:r w:rsidR="003A59D7" w:rsidRPr="00DB6883">
        <w:t xml:space="preserve">recalled </w:t>
      </w:r>
      <w:r w:rsidR="003A59D7" w:rsidRPr="006E4D29">
        <w:t>that the Open</w:t>
      </w:r>
      <w:r w:rsidR="003A59D7" w:rsidRPr="00DB6883">
        <w:t>-ended Working Group, at its thirty-</w:t>
      </w:r>
      <w:r w:rsidR="007C6369" w:rsidRPr="00DB6883">
        <w:t>ninth</w:t>
      </w:r>
      <w:r w:rsidR="003A59D7" w:rsidRPr="00DB6883">
        <w:t xml:space="preserve"> meeting, had heard a presentation </w:t>
      </w:r>
      <w:r w:rsidR="007C6369" w:rsidRPr="00DB6883">
        <w:t xml:space="preserve">by the Technology and Economic Assessment Panel </w:t>
      </w:r>
      <w:r w:rsidR="003A59D7" w:rsidRPr="00DB6883">
        <w:t xml:space="preserve">on its initial review of the </w:t>
      </w:r>
      <w:r w:rsidR="007C6369" w:rsidRPr="00DB6883">
        <w:t>six</w:t>
      </w:r>
      <w:r w:rsidR="003A59D7" w:rsidRPr="00DB6883">
        <w:t xml:space="preserve"> critical-use nominations submitted by </w:t>
      </w:r>
      <w:r w:rsidR="007C6369" w:rsidRPr="00DB6883">
        <w:t>five</w:t>
      </w:r>
      <w:r w:rsidR="003A59D7" w:rsidRPr="00DB6883">
        <w:t xml:space="preserve"> parties. </w:t>
      </w:r>
      <w:r w:rsidR="005B10F0" w:rsidRPr="00DB6883">
        <w:t>Several</w:t>
      </w:r>
      <w:r w:rsidR="003A59D7" w:rsidRPr="00DB6883">
        <w:t xml:space="preserve"> nominating parties had</w:t>
      </w:r>
      <w:r w:rsidRPr="00DB6883">
        <w:t xml:space="preserve"> since</w:t>
      </w:r>
      <w:r w:rsidR="003A59D7" w:rsidRPr="00DB6883">
        <w:t xml:space="preserve"> submitted additional information to the Panel, </w:t>
      </w:r>
      <w:r w:rsidR="00273FE6" w:rsidRPr="00DB6883">
        <w:t xml:space="preserve">bilateral discussions had been held </w:t>
      </w:r>
      <w:r w:rsidR="003A59D7" w:rsidRPr="00DB6883">
        <w:t xml:space="preserve">and the Panel had met to conduct a final evaluation of the nominations. </w:t>
      </w:r>
    </w:p>
    <w:p w:rsidR="003A59D7" w:rsidRPr="00DB6883" w:rsidRDefault="00250ABC" w:rsidP="004E7D79">
      <w:pPr>
        <w:pStyle w:val="Normalnumber"/>
        <w:tabs>
          <w:tab w:val="clear" w:pos="567"/>
          <w:tab w:val="clear" w:pos="1247"/>
          <w:tab w:val="clear" w:pos="1814"/>
          <w:tab w:val="clear" w:pos="2381"/>
          <w:tab w:val="clear" w:pos="2948"/>
          <w:tab w:val="clear" w:pos="3515"/>
          <w:tab w:val="left" w:pos="624"/>
        </w:tabs>
      </w:pPr>
      <w:r w:rsidRPr="00DB6883">
        <w:t xml:space="preserve">The </w:t>
      </w:r>
      <w:r w:rsidR="006E4D29">
        <w:t>c</w:t>
      </w:r>
      <w:r w:rsidR="004C7A6D" w:rsidRPr="00DB6883">
        <w:t>o-</w:t>
      </w:r>
      <w:r w:rsidR="006E4D29">
        <w:t>c</w:t>
      </w:r>
      <w:r w:rsidR="004C7A6D" w:rsidRPr="00DB6883">
        <w:t>hair</w:t>
      </w:r>
      <w:r w:rsidR="003A59D7" w:rsidRPr="00DB6883">
        <w:t xml:space="preserve">s of the Methyl Bromide Technical Options Committee, </w:t>
      </w:r>
      <w:r w:rsidRPr="00DB6883">
        <w:t>Mohamed Besri and Ian</w:t>
      </w:r>
      <w:r w:rsidR="007E70CE">
        <w:t> </w:t>
      </w:r>
      <w:r w:rsidRPr="00DB6883">
        <w:t xml:space="preserve">Porter, </w:t>
      </w:r>
      <w:r w:rsidR="003A59D7" w:rsidRPr="00DB6883">
        <w:t xml:space="preserve">gave a presentation on the final recommendations for critical-use nominations for methyl bromide. A summary of the presentation prepared by the presenters is set out in </w:t>
      </w:r>
      <w:r w:rsidR="006E4D29">
        <w:t xml:space="preserve">section A of </w:t>
      </w:r>
      <w:r w:rsidR="003A59D7" w:rsidRPr="00DB6883">
        <w:t xml:space="preserve">annex </w:t>
      </w:r>
      <w:r w:rsidR="00206CEF">
        <w:t xml:space="preserve">VI </w:t>
      </w:r>
      <w:r w:rsidR="003A59D7" w:rsidRPr="00DB6883">
        <w:t>to the present report.</w:t>
      </w:r>
    </w:p>
    <w:p w:rsidR="00667B1C" w:rsidRPr="00DB6883" w:rsidRDefault="00876D50" w:rsidP="004E7D79">
      <w:pPr>
        <w:pStyle w:val="Normalnumber"/>
        <w:tabs>
          <w:tab w:val="clear" w:pos="567"/>
          <w:tab w:val="clear" w:pos="1247"/>
          <w:tab w:val="clear" w:pos="1814"/>
          <w:tab w:val="clear" w:pos="2381"/>
          <w:tab w:val="clear" w:pos="2948"/>
          <w:tab w:val="clear" w:pos="3515"/>
          <w:tab w:val="left" w:pos="624"/>
        </w:tabs>
      </w:pPr>
      <w:r w:rsidRPr="00DB6883">
        <w:t>In the ensuing discussion, t</w:t>
      </w:r>
      <w:r w:rsidR="00667B1C" w:rsidRPr="00DB6883">
        <w:t xml:space="preserve">he </w:t>
      </w:r>
      <w:r w:rsidR="00667B1C" w:rsidRPr="00F43C2E">
        <w:t>representative</w:t>
      </w:r>
      <w:r w:rsidR="00667B1C" w:rsidRPr="00DB6883">
        <w:t xml:space="preserve"> of Australia</w:t>
      </w:r>
      <w:r w:rsidR="00260572" w:rsidRPr="00DB6883">
        <w:t xml:space="preserve"> said that, w</w:t>
      </w:r>
      <w:r w:rsidR="00667B1C" w:rsidRPr="00DB6883">
        <w:t xml:space="preserve">ith regard to the comments of the Methyl Bromide Technical Options Committee on </w:t>
      </w:r>
      <w:r w:rsidR="00260572" w:rsidRPr="00DB6883">
        <w:t>his country’s</w:t>
      </w:r>
      <w:r w:rsidR="00667B1C" w:rsidRPr="00DB6883">
        <w:t xml:space="preserve"> critical-use nomination, </w:t>
      </w:r>
      <w:r w:rsidR="00260572" w:rsidRPr="00DB6883">
        <w:t xml:space="preserve">his Government </w:t>
      </w:r>
      <w:r w:rsidR="00667B1C" w:rsidRPr="00DB6883">
        <w:t xml:space="preserve">had worked well with the Committee for many years on the use of methyl bromide for strawberry runners; he </w:t>
      </w:r>
      <w:r w:rsidR="00260572" w:rsidRPr="00DB6883">
        <w:t>expressed the hope</w:t>
      </w:r>
      <w:r w:rsidR="00667B1C" w:rsidRPr="00DB6883">
        <w:t xml:space="preserve"> that </w:t>
      </w:r>
      <w:r w:rsidR="00260572" w:rsidRPr="00DB6883">
        <w:t>when</w:t>
      </w:r>
      <w:r w:rsidR="00667B1C" w:rsidRPr="00DB6883">
        <w:t xml:space="preserve"> the Committee</w:t>
      </w:r>
      <w:r w:rsidR="00260572" w:rsidRPr="00DB6883">
        <w:t xml:space="preserve"> next met</w:t>
      </w:r>
      <w:r w:rsidR="00667B1C" w:rsidRPr="00DB6883">
        <w:t xml:space="preserve">, which would </w:t>
      </w:r>
      <w:r w:rsidR="00260572" w:rsidRPr="00DB6883">
        <w:t>be</w:t>
      </w:r>
      <w:r w:rsidR="00667B1C" w:rsidRPr="00DB6883">
        <w:t xml:space="preserve"> in Australia in March 2018, </w:t>
      </w:r>
      <w:r w:rsidR="00260572" w:rsidRPr="00DB6883">
        <w:t>it would</w:t>
      </w:r>
      <w:r w:rsidR="00667B1C" w:rsidRPr="00DB6883">
        <w:t xml:space="preserve"> </w:t>
      </w:r>
      <w:r w:rsidR="004543F7">
        <w:t xml:space="preserve">have the opportunity to gain a deeper understanding of </w:t>
      </w:r>
      <w:r w:rsidR="00667B1C" w:rsidRPr="00DB6883">
        <w:t>the challenges faced by his country. He stress</w:t>
      </w:r>
      <w:r w:rsidR="00132137" w:rsidRPr="00DB6883">
        <w:t>ed</w:t>
      </w:r>
      <w:r w:rsidR="00667B1C" w:rsidRPr="00DB6883">
        <w:t xml:space="preserve"> that both </w:t>
      </w:r>
      <w:r w:rsidR="00132137" w:rsidRPr="00DB6883">
        <w:t>the G</w:t>
      </w:r>
      <w:r w:rsidR="00667B1C" w:rsidRPr="00DB6883">
        <w:t>overnment and industry in Australia were fully committed to the development of effective alternatives to methyl bromide and had devoted considerable time and resources to research efforts to th</w:t>
      </w:r>
      <w:r w:rsidR="00132137" w:rsidRPr="00DB6883">
        <w:t>at</w:t>
      </w:r>
      <w:r w:rsidR="00667B1C" w:rsidRPr="00DB6883">
        <w:t xml:space="preserve"> end. </w:t>
      </w:r>
      <w:r w:rsidR="00132137" w:rsidRPr="00DB6883">
        <w:t>The Au</w:t>
      </w:r>
      <w:r w:rsidR="00667B1C" w:rsidRPr="00DB6883">
        <w:t>stralia</w:t>
      </w:r>
      <w:r w:rsidR="00132137" w:rsidRPr="00DB6883">
        <w:t>n</w:t>
      </w:r>
      <w:r w:rsidR="00667B1C" w:rsidRPr="00DB6883">
        <w:t xml:space="preserve"> regulatory process, which included specifications of both maximum and minimum uses, was rigorous in ensuring the suitability of chemicals to human health and the environment.</w:t>
      </w:r>
    </w:p>
    <w:p w:rsidR="00667B1C" w:rsidRPr="00DB6883" w:rsidRDefault="00667B1C" w:rsidP="004E7D79">
      <w:pPr>
        <w:pStyle w:val="Normalnumber"/>
        <w:tabs>
          <w:tab w:val="clear" w:pos="567"/>
          <w:tab w:val="clear" w:pos="1247"/>
          <w:tab w:val="clear" w:pos="1814"/>
          <w:tab w:val="clear" w:pos="2381"/>
          <w:tab w:val="clear" w:pos="2948"/>
          <w:tab w:val="clear" w:pos="3515"/>
          <w:tab w:val="left" w:pos="624"/>
        </w:tabs>
      </w:pPr>
      <w:r w:rsidRPr="00DB6883">
        <w:t xml:space="preserve">The representative of Canada, while </w:t>
      </w:r>
      <w:r w:rsidR="00132137" w:rsidRPr="00DB6883">
        <w:t>expressing thanks to</w:t>
      </w:r>
      <w:r w:rsidRPr="00DB6883">
        <w:t xml:space="preserve"> the Methyl Bromide Technical Options Committee for assessing his country’s nomination, </w:t>
      </w:r>
      <w:r w:rsidR="006E0A39" w:rsidRPr="00DB6883">
        <w:t>voiced</w:t>
      </w:r>
      <w:r w:rsidRPr="00DB6883">
        <w:t xml:space="preserve"> concern over </w:t>
      </w:r>
      <w:r w:rsidR="005B10F0" w:rsidRPr="00DB6883">
        <w:t>a number</w:t>
      </w:r>
      <w:r w:rsidRPr="00DB6883">
        <w:t xml:space="preserve"> of the Committee’s comments. He explained that Prince Edward Island was unique among Canadian provinces in relying on groundwater as its only supply of potable water, which </w:t>
      </w:r>
      <w:r w:rsidR="00003921" w:rsidRPr="00DB6883">
        <w:t>explained</w:t>
      </w:r>
      <w:r w:rsidRPr="00DB6883">
        <w:t xml:space="preserve"> why the use of methyl bromide for strawberry runners was permitted but the use of chloropicrin was not. While th</w:t>
      </w:r>
      <w:r w:rsidR="008F1C4A" w:rsidRPr="00DB6883">
        <w:t>at</w:t>
      </w:r>
      <w:r w:rsidRPr="00DB6883">
        <w:t xml:space="preserve"> did pose a regulatory barrier to the adoption of alternatives, the provinc</w:t>
      </w:r>
      <w:r w:rsidR="00346384" w:rsidRPr="00DB6883">
        <w:t>ial</w:t>
      </w:r>
      <w:r w:rsidRPr="00DB6883">
        <w:t xml:space="preserve"> government was entirely within its rights to decide how best to protect the health of its citizens. </w:t>
      </w:r>
      <w:r w:rsidR="00346384" w:rsidRPr="00DB6883">
        <w:t>H</w:t>
      </w:r>
      <w:r w:rsidRPr="00DB6883">
        <w:t xml:space="preserve">is </w:t>
      </w:r>
      <w:r w:rsidR="00346384" w:rsidRPr="00DB6883">
        <w:t>G</w:t>
      </w:r>
      <w:r w:rsidRPr="00DB6883">
        <w:t>overnment was making substantial efforts to reduce the use of methyl bromide. A multi-year research project</w:t>
      </w:r>
      <w:r w:rsidR="00346384" w:rsidRPr="00DB6883">
        <w:t>,</w:t>
      </w:r>
      <w:r w:rsidRPr="00DB6883">
        <w:t xml:space="preserve"> which should lead to a significant reduction in use</w:t>
      </w:r>
      <w:r w:rsidR="00346384" w:rsidRPr="00DB6883">
        <w:t>,</w:t>
      </w:r>
      <w:r w:rsidRPr="00DB6883">
        <w:t xml:space="preserve"> was well under way, and he </w:t>
      </w:r>
      <w:r w:rsidR="0041580F" w:rsidRPr="00DB6883">
        <w:t>c</w:t>
      </w:r>
      <w:r w:rsidRPr="00DB6883">
        <w:t>ould provide interim results to the Committee.</w:t>
      </w:r>
    </w:p>
    <w:p w:rsidR="00667B1C" w:rsidRPr="00DB6883" w:rsidRDefault="00667B1C" w:rsidP="004E7D79">
      <w:pPr>
        <w:pStyle w:val="Normalnumber"/>
        <w:tabs>
          <w:tab w:val="clear" w:pos="567"/>
          <w:tab w:val="clear" w:pos="1247"/>
          <w:tab w:val="clear" w:pos="1814"/>
          <w:tab w:val="clear" w:pos="2381"/>
          <w:tab w:val="clear" w:pos="2948"/>
          <w:tab w:val="clear" w:pos="3515"/>
          <w:tab w:val="left" w:pos="624"/>
        </w:tabs>
      </w:pPr>
      <w:r w:rsidRPr="00DB6883">
        <w:t xml:space="preserve">Another representative </w:t>
      </w:r>
      <w:r w:rsidR="00B57726" w:rsidRPr="00DB6883">
        <w:t>said</w:t>
      </w:r>
      <w:r w:rsidRPr="00DB6883">
        <w:t xml:space="preserve"> </w:t>
      </w:r>
      <w:r w:rsidR="00B57726" w:rsidRPr="00DB6883">
        <w:t>that there was a</w:t>
      </w:r>
      <w:r w:rsidRPr="00DB6883">
        <w:t xml:space="preserve"> need to respect national and local policies and regulations, which were put in place for good reason. The individual circumstances of each critical-use nomination had to be taken fully into account.</w:t>
      </w:r>
    </w:p>
    <w:p w:rsidR="007D76E0" w:rsidRPr="00DB6883" w:rsidRDefault="000B0FAA" w:rsidP="004E7D79">
      <w:pPr>
        <w:pStyle w:val="Normalnumber"/>
        <w:tabs>
          <w:tab w:val="clear" w:pos="567"/>
          <w:tab w:val="clear" w:pos="1247"/>
          <w:tab w:val="clear" w:pos="1814"/>
          <w:tab w:val="clear" w:pos="2381"/>
          <w:tab w:val="clear" w:pos="2948"/>
          <w:tab w:val="clear" w:pos="3515"/>
          <w:tab w:val="left" w:pos="624"/>
        </w:tabs>
      </w:pPr>
      <w:r w:rsidRPr="00DB6883">
        <w:t>One</w:t>
      </w:r>
      <w:r w:rsidR="00667B1C" w:rsidRPr="00DB6883">
        <w:t xml:space="preserve"> representative</w:t>
      </w:r>
      <w:r w:rsidRPr="00DB6883">
        <w:t>, speaking on behalf</w:t>
      </w:r>
      <w:r w:rsidR="00667B1C" w:rsidRPr="00DB6883">
        <w:t xml:space="preserve"> of </w:t>
      </w:r>
      <w:r w:rsidRPr="00DB6883">
        <w:t>a group of countries,</w:t>
      </w:r>
      <w:r w:rsidR="00667B1C" w:rsidRPr="00DB6883">
        <w:t xml:space="preserve"> </w:t>
      </w:r>
      <w:r w:rsidR="00CD13D8" w:rsidRPr="00DB6883">
        <w:t>recalled</w:t>
      </w:r>
      <w:r w:rsidR="00667B1C" w:rsidRPr="00DB6883">
        <w:t xml:space="preserve"> that </w:t>
      </w:r>
      <w:r w:rsidRPr="00DB6883">
        <w:t>those countries</w:t>
      </w:r>
      <w:r w:rsidR="00667B1C" w:rsidRPr="00DB6883">
        <w:t xml:space="preserve"> had been able to end the use of methyl bromide for all applications in 2010, which suggested that there were</w:t>
      </w:r>
      <w:r w:rsidR="00FD5F27" w:rsidRPr="00DB6883">
        <w:t xml:space="preserve"> indeed</w:t>
      </w:r>
      <w:r w:rsidR="00667B1C" w:rsidRPr="00DB6883">
        <w:t xml:space="preserve"> alternatives to the substance in all circumstances. He congratulated China on its decision not to put forward any further critical-use nominations in future years and urged all other parties to adopt the alternatives suggested by the Methyl Bromide Technical Options Committee. He </w:t>
      </w:r>
      <w:r w:rsidR="00990704" w:rsidRPr="00DB6883">
        <w:t>expressed the hope</w:t>
      </w:r>
      <w:r w:rsidR="00667B1C" w:rsidRPr="00DB6883">
        <w:t xml:space="preserve"> that the requirement, under decision IX/6, for parties </w:t>
      </w:r>
      <w:r w:rsidR="00E639B4" w:rsidRPr="00DB6883">
        <w:t xml:space="preserve">not operating under paragraph 1 of Article 5 </w:t>
      </w:r>
      <w:r w:rsidR="00667B1C" w:rsidRPr="00DB6883">
        <w:t>to demonstrate that research programmes were in place to develop and deploy alternatives and substitutes to methyl bromide would be taken into account in assessing future critical-use nominations.</w:t>
      </w:r>
    </w:p>
    <w:p w:rsidR="00807791" w:rsidRPr="00DB6883" w:rsidRDefault="00807791" w:rsidP="004E7D79">
      <w:pPr>
        <w:pStyle w:val="Normalnumber"/>
        <w:tabs>
          <w:tab w:val="clear" w:pos="567"/>
          <w:tab w:val="clear" w:pos="1247"/>
          <w:tab w:val="clear" w:pos="1814"/>
          <w:tab w:val="clear" w:pos="2381"/>
          <w:tab w:val="clear" w:pos="2948"/>
          <w:tab w:val="clear" w:pos="3515"/>
          <w:tab w:val="left" w:pos="624"/>
        </w:tabs>
      </w:pPr>
      <w:r w:rsidRPr="00DB6883">
        <w:t>Subsequently, the representative of Australia, also on behalf of Canada, introduced a draft decision on the subject, set out in a conference room paper.</w:t>
      </w:r>
    </w:p>
    <w:p w:rsidR="00807791" w:rsidRPr="00DB6883" w:rsidRDefault="00807791" w:rsidP="004E7D79">
      <w:pPr>
        <w:pStyle w:val="Normalnumber"/>
        <w:tabs>
          <w:tab w:val="clear" w:pos="567"/>
          <w:tab w:val="clear" w:pos="1247"/>
          <w:tab w:val="clear" w:pos="1814"/>
          <w:tab w:val="clear" w:pos="2381"/>
          <w:tab w:val="clear" w:pos="2948"/>
          <w:tab w:val="clear" w:pos="3515"/>
          <w:tab w:val="left" w:pos="624"/>
        </w:tabs>
      </w:pPr>
      <w:r w:rsidRPr="00DB6883">
        <w:t>The parties agreed to forward the draft decision for consideration and adoption during the high</w:t>
      </w:r>
      <w:r w:rsidRPr="00DB6883">
        <w:noBreakHyphen/>
        <w:t>level segment.</w:t>
      </w:r>
    </w:p>
    <w:p w:rsidR="004B04D7" w:rsidRPr="00DB6883" w:rsidRDefault="007D76E0" w:rsidP="00094EB4">
      <w:pPr>
        <w:pStyle w:val="CH2"/>
      </w:pPr>
      <w:r w:rsidRPr="00DB6883">
        <w:tab/>
        <w:t>D.</w:t>
      </w:r>
      <w:r w:rsidRPr="00DB6883">
        <w:tab/>
      </w:r>
      <w:r w:rsidR="004B04D7" w:rsidRPr="00DB6883">
        <w:t>Use of controlled substances as process agents</w:t>
      </w:r>
    </w:p>
    <w:p w:rsidR="007D76E0" w:rsidRPr="00DB6883" w:rsidRDefault="00B075FE" w:rsidP="004E7D79">
      <w:pPr>
        <w:pStyle w:val="Normalnumber"/>
        <w:tabs>
          <w:tab w:val="clear" w:pos="567"/>
          <w:tab w:val="clear" w:pos="1247"/>
          <w:tab w:val="clear" w:pos="1814"/>
          <w:tab w:val="clear" w:pos="2381"/>
          <w:tab w:val="clear" w:pos="2948"/>
          <w:tab w:val="clear" w:pos="3515"/>
          <w:tab w:val="left" w:pos="624"/>
        </w:tabs>
      </w:pPr>
      <w:r w:rsidRPr="00DB6883">
        <w:t>T</w:t>
      </w:r>
      <w:r w:rsidR="00CA51C2" w:rsidRPr="00DB6883">
        <w:t xml:space="preserve">he </w:t>
      </w:r>
      <w:r w:rsidR="004C7A6D" w:rsidRPr="00DB6883">
        <w:t>Co-Chair</w:t>
      </w:r>
      <w:r w:rsidR="00CA51C2" w:rsidRPr="00DB6883">
        <w:t xml:space="preserve"> recalled that, at its </w:t>
      </w:r>
      <w:r w:rsidR="00CA51C2" w:rsidRPr="00784309">
        <w:t>thirty-ninth</w:t>
      </w:r>
      <w:r w:rsidR="00CA51C2" w:rsidRPr="00DB6883">
        <w:t xml:space="preserve"> meeting, the Open-ended Working Group had considered the recommendation of the Technology and Economic Assessment Panel and its Medical and Chemical Technical Options Committee that three items of process-agent uses be removed from table A of decision XXIII/7 and that the reference to the United States be deleted from item 4 in the table. The European Union had submitted a draft decision for consideration, which the Working Group had forward</w:t>
      </w:r>
      <w:r w:rsidR="00DD23D7" w:rsidRPr="00DB6883">
        <w:t>ed</w:t>
      </w:r>
      <w:r w:rsidR="00CA51C2" w:rsidRPr="00DB6883">
        <w:t xml:space="preserve"> for consideration </w:t>
      </w:r>
      <w:r w:rsidR="00DD23D7" w:rsidRPr="00DB6883">
        <w:t xml:space="preserve">by the Twenty-Ninth Meeting of the Parties </w:t>
      </w:r>
      <w:r w:rsidR="00CA51C2" w:rsidRPr="00DB6883">
        <w:t>(UNEP/OzL.Conv.11/3</w:t>
      </w:r>
      <w:r w:rsidR="006463F6" w:rsidRPr="00DB6883">
        <w:noBreakHyphen/>
      </w:r>
      <w:r w:rsidR="00CA51C2" w:rsidRPr="00DB6883">
        <w:t>UNEP/OzL.Pro.29/3, sect. II, draft decision XXIX</w:t>
      </w:r>
      <w:proofErr w:type="gramStart"/>
      <w:r w:rsidR="00CA51C2" w:rsidRPr="00DB6883">
        <w:t>/[</w:t>
      </w:r>
      <w:proofErr w:type="gramEnd"/>
      <w:r w:rsidR="00CA51C2" w:rsidRPr="00DB6883">
        <w:t>D]).</w:t>
      </w:r>
    </w:p>
    <w:p w:rsidR="00526D3F" w:rsidRPr="00DB6883" w:rsidRDefault="00526D3F" w:rsidP="004E7D79">
      <w:pPr>
        <w:pStyle w:val="Normalnumber"/>
        <w:tabs>
          <w:tab w:val="clear" w:pos="567"/>
          <w:tab w:val="clear" w:pos="1247"/>
          <w:tab w:val="clear" w:pos="1814"/>
          <w:tab w:val="clear" w:pos="2381"/>
          <w:tab w:val="clear" w:pos="2948"/>
          <w:tab w:val="clear" w:pos="3515"/>
          <w:tab w:val="left" w:pos="624"/>
        </w:tabs>
      </w:pPr>
      <w:r w:rsidRPr="00DB6883">
        <w:lastRenderedPageBreak/>
        <w:t xml:space="preserve">In the ensuing discussion, one representative congratulated </w:t>
      </w:r>
      <w:r w:rsidR="004513E4" w:rsidRPr="00DB6883">
        <w:t xml:space="preserve">the </w:t>
      </w:r>
      <w:r w:rsidRPr="00DB6883">
        <w:t>parties on the</w:t>
      </w:r>
      <w:r w:rsidR="00BD5B45" w:rsidRPr="00DB6883">
        <w:t>ir</w:t>
      </w:r>
      <w:r w:rsidRPr="00DB6883">
        <w:t xml:space="preserve"> progress in reducing the number of process-agent uses, from the original </w:t>
      </w:r>
      <w:r w:rsidR="002973D5" w:rsidRPr="00DB6883">
        <w:t>44</w:t>
      </w:r>
      <w:r w:rsidRPr="00DB6883">
        <w:t xml:space="preserve"> to </w:t>
      </w:r>
      <w:r w:rsidR="00933176">
        <w:t>14</w:t>
      </w:r>
      <w:r w:rsidRPr="00DB6883">
        <w:t xml:space="preserve"> and, if the recommendation </w:t>
      </w:r>
      <w:r w:rsidR="00854FF4" w:rsidRPr="00DB6883">
        <w:t xml:space="preserve">were </w:t>
      </w:r>
      <w:r w:rsidRPr="00DB6883">
        <w:t>agreed</w:t>
      </w:r>
      <w:r w:rsidR="002E03CD" w:rsidRPr="00DB6883">
        <w:t xml:space="preserve"> upon</w:t>
      </w:r>
      <w:r w:rsidRPr="00DB6883">
        <w:t xml:space="preserve">, to </w:t>
      </w:r>
      <w:r w:rsidR="002973D5" w:rsidRPr="00DB6883">
        <w:t>11</w:t>
      </w:r>
      <w:r w:rsidRPr="00DB6883">
        <w:t xml:space="preserve">. </w:t>
      </w:r>
      <w:r w:rsidR="009401E6" w:rsidRPr="00DB6883">
        <w:t>One</w:t>
      </w:r>
      <w:r w:rsidRPr="00DB6883">
        <w:t xml:space="preserve"> representative observed that one of the uses </w:t>
      </w:r>
      <w:r w:rsidR="002973D5" w:rsidRPr="00DB6883">
        <w:t>remaining</w:t>
      </w:r>
      <w:r w:rsidRPr="00DB6883">
        <w:t xml:space="preserve"> on the list, </w:t>
      </w:r>
      <w:r w:rsidR="004258E8" w:rsidRPr="00DB6883">
        <w:t>that</w:t>
      </w:r>
      <w:r w:rsidRPr="00DB6883">
        <w:t xml:space="preserve"> of carbon tetrachloride for the recovery of chlorine by tail gas absorption from chlor-alkali, had been ended in his country in 2010 and alternatives to its use were available.</w:t>
      </w:r>
    </w:p>
    <w:p w:rsidR="00854FF4" w:rsidRPr="00DB6883" w:rsidRDefault="00854FF4" w:rsidP="004E7D79">
      <w:pPr>
        <w:pStyle w:val="Normalnumber"/>
        <w:tabs>
          <w:tab w:val="clear" w:pos="567"/>
          <w:tab w:val="clear" w:pos="1247"/>
          <w:tab w:val="clear" w:pos="1814"/>
          <w:tab w:val="clear" w:pos="2381"/>
          <w:tab w:val="clear" w:pos="2948"/>
          <w:tab w:val="clear" w:pos="3515"/>
          <w:tab w:val="left" w:pos="624"/>
        </w:tabs>
      </w:pPr>
      <w:r w:rsidRPr="00DB6883">
        <w:t xml:space="preserve">Subsequently, the representative of the European Union introduced a revised draft decision, </w:t>
      </w:r>
      <w:r w:rsidR="004B1652" w:rsidRPr="00DB6883">
        <w:t xml:space="preserve">set out in a conference room paper, </w:t>
      </w:r>
      <w:r w:rsidRPr="00DB6883">
        <w:t xml:space="preserve">which had been finalized after informal discussions with interested parties. </w:t>
      </w:r>
      <w:r w:rsidR="00FA317B" w:rsidRPr="00DB6883">
        <w:t>Were</w:t>
      </w:r>
      <w:r w:rsidR="00BD39D8" w:rsidRPr="00DB6883">
        <w:t xml:space="preserve"> the</w:t>
      </w:r>
      <w:r w:rsidRPr="00DB6883">
        <w:t xml:space="preserve"> decision</w:t>
      </w:r>
      <w:r w:rsidR="00FA317B" w:rsidRPr="00DB6883">
        <w:t xml:space="preserve"> </w:t>
      </w:r>
      <w:r w:rsidR="00614C3E" w:rsidRPr="00DB6883">
        <w:t xml:space="preserve">to be </w:t>
      </w:r>
      <w:r w:rsidR="00FA317B" w:rsidRPr="00DB6883">
        <w:t>adopted</w:t>
      </w:r>
      <w:r w:rsidRPr="00DB6883">
        <w:t>, table A of decision X/14 would be updated, parties would be urged to update their information on the use of controlled substances as process agents and the Technology and Economic Assessment Panel would be requested to report on the industrial application of any alternative technologies employed by parties in the processes listed in table A.</w:t>
      </w:r>
    </w:p>
    <w:p w:rsidR="00854FF4" w:rsidRPr="00DB6883" w:rsidRDefault="00854FF4" w:rsidP="004E7D79">
      <w:pPr>
        <w:pStyle w:val="Normalnumber"/>
        <w:tabs>
          <w:tab w:val="clear" w:pos="567"/>
          <w:tab w:val="clear" w:pos="1247"/>
          <w:tab w:val="clear" w:pos="1814"/>
          <w:tab w:val="clear" w:pos="2381"/>
          <w:tab w:val="clear" w:pos="2948"/>
          <w:tab w:val="clear" w:pos="3515"/>
          <w:tab w:val="left" w:pos="624"/>
        </w:tabs>
      </w:pPr>
      <w:r w:rsidRPr="00DB6883">
        <w:t>The parties agreed to forward the draft decision for consideration and adoption during the high-level segment.</w:t>
      </w:r>
    </w:p>
    <w:p w:rsidR="004B04D7" w:rsidRPr="00DB6883" w:rsidRDefault="007D76E0" w:rsidP="00094EB4">
      <w:pPr>
        <w:pStyle w:val="CH2"/>
      </w:pPr>
      <w:r w:rsidRPr="00DB6883">
        <w:tab/>
        <w:t>E.</w:t>
      </w:r>
      <w:r w:rsidRPr="00DB6883">
        <w:tab/>
      </w:r>
      <w:r w:rsidR="004B04D7" w:rsidRPr="00DB6883">
        <w:t>Key messages from the Technology and Economic Assessment Panel 2017 report</w:t>
      </w:r>
    </w:p>
    <w:p w:rsidR="007D76E0" w:rsidRPr="00DB6883" w:rsidRDefault="00DB465F" w:rsidP="004E7D79">
      <w:pPr>
        <w:pStyle w:val="Normalnumber"/>
        <w:tabs>
          <w:tab w:val="clear" w:pos="567"/>
          <w:tab w:val="clear" w:pos="1247"/>
          <w:tab w:val="clear" w:pos="1814"/>
          <w:tab w:val="clear" w:pos="2381"/>
          <w:tab w:val="clear" w:pos="2948"/>
          <w:tab w:val="clear" w:pos="3515"/>
          <w:tab w:val="left" w:pos="624"/>
        </w:tabs>
      </w:pPr>
      <w:r w:rsidRPr="00DB6883">
        <w:t>T</w:t>
      </w:r>
      <w:r w:rsidR="00303D06" w:rsidRPr="00DB6883">
        <w:t xml:space="preserve">he </w:t>
      </w:r>
      <w:r w:rsidR="004C7A6D" w:rsidRPr="00DB6883">
        <w:t>Co-Chair</w:t>
      </w:r>
      <w:r w:rsidR="008C2921" w:rsidRPr="00DB6883">
        <w:t xml:space="preserve"> </w:t>
      </w:r>
      <w:r w:rsidR="00303D06" w:rsidRPr="00DB6883">
        <w:t xml:space="preserve">recalled that, at its </w:t>
      </w:r>
      <w:r w:rsidR="00303D06" w:rsidRPr="00814754">
        <w:t>thirty-ninth</w:t>
      </w:r>
      <w:r w:rsidR="00303D06" w:rsidRPr="00DB6883">
        <w:t xml:space="preserve"> meeting, the Open-ended Working Group had considered the key messages of the Technology and Economic Assessment Panel in its 2017 report</w:t>
      </w:r>
      <w:r w:rsidR="0093224B" w:rsidRPr="00DB6883">
        <w:t>, one of which</w:t>
      </w:r>
      <w:r w:rsidR="00303D06" w:rsidRPr="00DB6883">
        <w:t xml:space="preserve"> pertained to the availability of recovered, recycled or reclaimed halons in response to decision XXVI/7. According to the Halons Technical Options Committee, there was insufficient</w:t>
      </w:r>
      <w:r w:rsidR="00154905" w:rsidRPr="00DB6883">
        <w:t xml:space="preserve"> halon</w:t>
      </w:r>
      <w:r w:rsidR="0071072C" w:rsidRPr="00DB6883">
        <w:t xml:space="preserve"> </w:t>
      </w:r>
      <w:r w:rsidR="00303D06" w:rsidRPr="00DB6883">
        <w:t xml:space="preserve">1301 for civil aviation and the available stock might not last until the estimated run-out date of 2035. Following informal discussions, it had been agreed that the issue would be further discussed </w:t>
      </w:r>
      <w:r w:rsidR="00A90305" w:rsidRPr="00DB6883">
        <w:t>by the Twenty-Ninth Meeting of the Parties</w:t>
      </w:r>
      <w:r w:rsidR="00303D06" w:rsidRPr="00DB6883">
        <w:t>.</w:t>
      </w:r>
    </w:p>
    <w:p w:rsidR="00B40F3D" w:rsidRPr="00DB6883" w:rsidRDefault="00527F58" w:rsidP="004E7D79">
      <w:pPr>
        <w:pStyle w:val="Normalnumber"/>
        <w:tabs>
          <w:tab w:val="clear" w:pos="567"/>
          <w:tab w:val="clear" w:pos="1247"/>
          <w:tab w:val="clear" w:pos="1814"/>
          <w:tab w:val="clear" w:pos="2381"/>
          <w:tab w:val="clear" w:pos="2948"/>
          <w:tab w:val="clear" w:pos="3515"/>
          <w:tab w:val="left" w:pos="624"/>
        </w:tabs>
      </w:pPr>
      <w:r w:rsidRPr="00DB6883">
        <w:t xml:space="preserve">In the ensuing discussion, after the representative of the European Union </w:t>
      </w:r>
      <w:r w:rsidR="0044311A" w:rsidRPr="00DB6883">
        <w:t xml:space="preserve">had </w:t>
      </w:r>
      <w:r w:rsidR="00B40F3D" w:rsidRPr="00DB6883">
        <w:t>provided an update on the intersessional work</w:t>
      </w:r>
      <w:r w:rsidR="00B810DD" w:rsidRPr="00DB6883">
        <w:t xml:space="preserve"> undertaken</w:t>
      </w:r>
      <w:r w:rsidR="00B40F3D" w:rsidRPr="00DB6883">
        <w:t xml:space="preserve">, </w:t>
      </w:r>
      <w:r w:rsidR="005C2913" w:rsidRPr="00DB6883">
        <w:t xml:space="preserve">including on a draft decision, </w:t>
      </w:r>
      <w:r w:rsidR="00B40F3D" w:rsidRPr="00DB6883">
        <w:t>s</w:t>
      </w:r>
      <w:r w:rsidR="00290618" w:rsidRPr="00DB6883">
        <w:t xml:space="preserve">everal representatives </w:t>
      </w:r>
      <w:r w:rsidR="00B40F3D" w:rsidRPr="00DB6883">
        <w:t>welcomed</w:t>
      </w:r>
      <w:r w:rsidR="00290618" w:rsidRPr="00DB6883">
        <w:t xml:space="preserve"> the</w:t>
      </w:r>
      <w:r w:rsidR="00B40F3D" w:rsidRPr="00DB6883">
        <w:t xml:space="preserve"> efforts of the</w:t>
      </w:r>
      <w:r w:rsidR="00290618" w:rsidRPr="00DB6883">
        <w:t xml:space="preserve"> European Union and the Halons Technical Options Committee. One suggested that, in view of the likely exhaustion of halon banks, parties </w:t>
      </w:r>
      <w:r w:rsidR="00B40F3D" w:rsidRPr="00DB6883">
        <w:t xml:space="preserve">could be encouraged </w:t>
      </w:r>
      <w:r w:rsidR="00290618" w:rsidRPr="00DB6883">
        <w:t xml:space="preserve">not to destroy any used halons and to </w:t>
      </w:r>
      <w:r w:rsidR="004820DA" w:rsidRPr="00DB6883">
        <w:t xml:space="preserve">instead </w:t>
      </w:r>
      <w:r w:rsidR="00290618" w:rsidRPr="00DB6883">
        <w:t xml:space="preserve">promote trade in </w:t>
      </w:r>
      <w:r w:rsidR="004820DA" w:rsidRPr="00DB6883">
        <w:t>them</w:t>
      </w:r>
      <w:r w:rsidR="00290618" w:rsidRPr="00DB6883">
        <w:t xml:space="preserve">. </w:t>
      </w:r>
    </w:p>
    <w:p w:rsidR="00290618" w:rsidRPr="00DB6883" w:rsidRDefault="00290618" w:rsidP="004E7D79">
      <w:pPr>
        <w:pStyle w:val="Normalnumber"/>
        <w:tabs>
          <w:tab w:val="clear" w:pos="567"/>
          <w:tab w:val="clear" w:pos="1247"/>
          <w:tab w:val="clear" w:pos="1814"/>
          <w:tab w:val="clear" w:pos="2381"/>
          <w:tab w:val="clear" w:pos="2948"/>
          <w:tab w:val="clear" w:pos="3515"/>
          <w:tab w:val="left" w:pos="624"/>
        </w:tabs>
      </w:pPr>
      <w:r w:rsidRPr="00DB6883">
        <w:t xml:space="preserve">The </w:t>
      </w:r>
      <w:r w:rsidR="00B40F3D" w:rsidRPr="00DB6883">
        <w:t>parties agreed</w:t>
      </w:r>
      <w:r w:rsidRPr="00DB6883">
        <w:t xml:space="preserve"> that interested parties should meet </w:t>
      </w:r>
      <w:r w:rsidR="00CB51C6">
        <w:t>i</w:t>
      </w:r>
      <w:r w:rsidR="00CE5DD9" w:rsidRPr="00DB6883">
        <w:t>n</w:t>
      </w:r>
      <w:r w:rsidRPr="00DB6883">
        <w:t xml:space="preserve"> the margins </w:t>
      </w:r>
      <w:r w:rsidR="00CB51C6">
        <w:t xml:space="preserve">of the meeting </w:t>
      </w:r>
      <w:r w:rsidR="00D47488" w:rsidRPr="00DB6883">
        <w:t xml:space="preserve">to discuss </w:t>
      </w:r>
      <w:r w:rsidR="002E7CE1" w:rsidRPr="00DB6883">
        <w:t>the draft decision</w:t>
      </w:r>
      <w:r w:rsidR="00CE5DD9" w:rsidRPr="00DB6883">
        <w:t xml:space="preserve"> </w:t>
      </w:r>
      <w:r w:rsidR="002E7CE1" w:rsidRPr="00DB6883">
        <w:t>under preparation by the European Union</w:t>
      </w:r>
      <w:r w:rsidRPr="00DB6883">
        <w:t>.</w:t>
      </w:r>
    </w:p>
    <w:p w:rsidR="00833D33" w:rsidRPr="004E7D79" w:rsidRDefault="00833D33" w:rsidP="004E7D79">
      <w:pPr>
        <w:pStyle w:val="Normalnumber"/>
        <w:tabs>
          <w:tab w:val="clear" w:pos="567"/>
          <w:tab w:val="clear" w:pos="1247"/>
          <w:tab w:val="clear" w:pos="1814"/>
          <w:tab w:val="clear" w:pos="2381"/>
          <w:tab w:val="clear" w:pos="2948"/>
          <w:tab w:val="clear" w:pos="3515"/>
          <w:tab w:val="left" w:pos="624"/>
        </w:tabs>
      </w:pPr>
      <w:r w:rsidRPr="00DB6883">
        <w:t>Subsequently</w:t>
      </w:r>
      <w:r w:rsidR="00F279A7" w:rsidRPr="00DB6883">
        <w:t>,</w:t>
      </w:r>
      <w:r w:rsidRPr="00DB6883">
        <w:t xml:space="preserve"> the representative of the European Union, speaking also on behalf of the United</w:t>
      </w:r>
      <w:r w:rsidR="00C82100" w:rsidRPr="00DB6883">
        <w:t> </w:t>
      </w:r>
      <w:r w:rsidRPr="00DB6883">
        <w:t>States, introduced a draft decision</w:t>
      </w:r>
      <w:r w:rsidR="009F3953" w:rsidRPr="00DB6883">
        <w:t xml:space="preserve"> submitted by the two parties</w:t>
      </w:r>
      <w:r w:rsidRPr="00DB6883">
        <w:t xml:space="preserve">, </w:t>
      </w:r>
      <w:r w:rsidR="004B1652" w:rsidRPr="00DB6883">
        <w:t xml:space="preserve">set out in a conference room paper, </w:t>
      </w:r>
      <w:r w:rsidRPr="00DB6883">
        <w:t>which had been prepared after discussion with interested parties and the Halons Technical Options Committee, which had liaised with the Inte</w:t>
      </w:r>
      <w:r w:rsidR="003955EA" w:rsidRPr="00DB6883">
        <w:t>rnational Civil Aviation Organiz</w:t>
      </w:r>
      <w:r w:rsidRPr="00DB6883">
        <w:t>ation</w:t>
      </w:r>
      <w:r w:rsidR="00192998" w:rsidRPr="00DB6883">
        <w:t xml:space="preserve"> (ICAO)</w:t>
      </w:r>
      <w:r w:rsidRPr="00DB6883">
        <w:t xml:space="preserve">. </w:t>
      </w:r>
      <w:r w:rsidR="005D348F" w:rsidRPr="00DB6883">
        <w:t>Were</w:t>
      </w:r>
      <w:r w:rsidR="00192998" w:rsidRPr="00DB6883">
        <w:t xml:space="preserve"> the decision </w:t>
      </w:r>
      <w:r w:rsidR="0019497E" w:rsidRPr="00DB6883">
        <w:t xml:space="preserve">to be </w:t>
      </w:r>
      <w:r w:rsidR="00192998" w:rsidRPr="00DB6883">
        <w:t xml:space="preserve">adopted, </w:t>
      </w:r>
      <w:r w:rsidRPr="00DB6883">
        <w:t xml:space="preserve">the Technology and Economic Assessment Panel </w:t>
      </w:r>
      <w:r w:rsidR="00192998" w:rsidRPr="00DB6883">
        <w:t xml:space="preserve">would be requested to continue to liaise with ICAO </w:t>
      </w:r>
      <w:r w:rsidRPr="00DB6883">
        <w:t xml:space="preserve">to gather information on the development and adoption of alternatives to the </w:t>
      </w:r>
      <w:r w:rsidR="002259DF" w:rsidRPr="00DB6883">
        <w:t>use of halons in civil aviation and</w:t>
      </w:r>
      <w:r w:rsidRPr="00DB6883">
        <w:t xml:space="preserve"> to explore the possibility of forming a joint working group with </w:t>
      </w:r>
      <w:r w:rsidR="00192998" w:rsidRPr="00DB6883">
        <w:t>ICAO</w:t>
      </w:r>
      <w:r w:rsidRPr="00DB6883">
        <w:t xml:space="preserve"> to study the current and projected future quantities of </w:t>
      </w:r>
      <w:r w:rsidRPr="004E7D79">
        <w:t xml:space="preserve">halons installed, </w:t>
      </w:r>
      <w:r w:rsidRPr="00DF6D5C">
        <w:t>their associated emissions and any action</w:t>
      </w:r>
      <w:r w:rsidR="002259DF" w:rsidRPr="00E861A7">
        <w:t xml:space="preserve"> that</w:t>
      </w:r>
      <w:r w:rsidRPr="00DB6883">
        <w:t xml:space="preserve"> could be taken to reduce them, and the likely </w:t>
      </w:r>
      <w:r w:rsidR="008C419E" w:rsidRPr="00DB6883">
        <w:t>period</w:t>
      </w:r>
      <w:r w:rsidRPr="00DB6883">
        <w:t xml:space="preserve"> before existing banks were exhausted</w:t>
      </w:r>
      <w:r w:rsidR="00FD4683" w:rsidRPr="00DB6883">
        <w:t>.</w:t>
      </w:r>
      <w:r w:rsidR="00A662B1">
        <w:t xml:space="preserve"> The Technology and Economic Assessment Panel would also be requested t</w:t>
      </w:r>
      <w:r w:rsidR="00164402">
        <w:t>o submit a report on the work of the joint working group, if established, before the Thirtieth Meeting of the Parties and the fortieth session of the Assembly of ICAO for consideration and potential further action.</w:t>
      </w:r>
      <w:r w:rsidR="00A662B1">
        <w:t xml:space="preserve"> </w:t>
      </w:r>
      <w:r w:rsidR="00FD4683" w:rsidRPr="00DB6883">
        <w:t>In addition,</w:t>
      </w:r>
      <w:r w:rsidRPr="00DB6883">
        <w:t xml:space="preserve"> parties</w:t>
      </w:r>
      <w:r w:rsidR="00FD4683" w:rsidRPr="00DB6883">
        <w:t xml:space="preserve"> would be invited</w:t>
      </w:r>
      <w:r w:rsidRPr="00DB6883">
        <w:t>, on a voluntary basis, to reassess their national import and export restrictions with a view to facilitating the import and export of recovered, recycled or reclaimed halons and the manage</w:t>
      </w:r>
      <w:r w:rsidR="00FD4683" w:rsidRPr="00DB6883">
        <w:t>ment of stocks of such halons. They would also be</w:t>
      </w:r>
      <w:r w:rsidRPr="00DB6883">
        <w:t xml:space="preserve"> encourage</w:t>
      </w:r>
      <w:r w:rsidR="00FD4683" w:rsidRPr="004E7D79">
        <w:t>d</w:t>
      </w:r>
      <w:r w:rsidRPr="004E7D79">
        <w:t xml:space="preserve"> to refrain from destroying uncontaminated recovered, recycled or reclaimed halons before they had considered their national and the global long-term future needs for halons. He observed that quantities of used halons were being generated in particular from shipbreaking operations, which might prove useful in the future.</w:t>
      </w:r>
    </w:p>
    <w:p w:rsidR="00833D33" w:rsidRPr="00DB6883" w:rsidRDefault="00833D33" w:rsidP="004E7D79">
      <w:pPr>
        <w:pStyle w:val="Normalnumber"/>
        <w:tabs>
          <w:tab w:val="clear" w:pos="567"/>
          <w:tab w:val="clear" w:pos="1247"/>
          <w:tab w:val="clear" w:pos="1814"/>
          <w:tab w:val="clear" w:pos="2381"/>
          <w:tab w:val="clear" w:pos="2948"/>
          <w:tab w:val="clear" w:pos="3515"/>
          <w:tab w:val="left" w:pos="624"/>
        </w:tabs>
      </w:pPr>
      <w:r w:rsidRPr="00DF6D5C">
        <w:t xml:space="preserve">One representative observed that some </w:t>
      </w:r>
      <w:r w:rsidR="003955EA" w:rsidRPr="00E861A7">
        <w:t>countries</w:t>
      </w:r>
      <w:r w:rsidRPr="00DB6883">
        <w:t>, including his own, had stocks of</w:t>
      </w:r>
      <w:r w:rsidR="008103C2" w:rsidRPr="00DB6883">
        <w:t xml:space="preserve"> used halon 1211, suggesting </w:t>
      </w:r>
      <w:r w:rsidRPr="00DB6883">
        <w:t>that a referen</w:t>
      </w:r>
      <w:r w:rsidR="00B940D0" w:rsidRPr="00DB6883">
        <w:t>ce to the</w:t>
      </w:r>
      <w:r w:rsidRPr="00DB6883">
        <w:t xml:space="preserve"> </w:t>
      </w:r>
      <w:r w:rsidR="009267BB" w:rsidRPr="00DB6883">
        <w:t xml:space="preserve">availability of the </w:t>
      </w:r>
      <w:r w:rsidRPr="00DB6883">
        <w:t xml:space="preserve">substance could be </w:t>
      </w:r>
      <w:r w:rsidR="00560F23" w:rsidRPr="00DB6883">
        <w:t>included in</w:t>
      </w:r>
      <w:r w:rsidRPr="00DB6883">
        <w:t xml:space="preserve"> the draft decision.</w:t>
      </w:r>
    </w:p>
    <w:p w:rsidR="00807791" w:rsidRPr="00DB6883" w:rsidRDefault="00807791" w:rsidP="004E7D79">
      <w:pPr>
        <w:pStyle w:val="Normalnumber"/>
        <w:tabs>
          <w:tab w:val="clear" w:pos="567"/>
          <w:tab w:val="clear" w:pos="1247"/>
          <w:tab w:val="clear" w:pos="1814"/>
          <w:tab w:val="clear" w:pos="2381"/>
          <w:tab w:val="clear" w:pos="2948"/>
          <w:tab w:val="clear" w:pos="3515"/>
          <w:tab w:val="left" w:pos="624"/>
        </w:tabs>
      </w:pPr>
      <w:r w:rsidRPr="00DB6883">
        <w:t>Subsequently, the parties agreed to forward the draft decision for consideration and adoption during the high</w:t>
      </w:r>
      <w:r w:rsidRPr="00DB6883">
        <w:noBreakHyphen/>
        <w:t>level segment.</w:t>
      </w:r>
    </w:p>
    <w:p w:rsidR="004B04D7" w:rsidRPr="00DB6883" w:rsidRDefault="007D76E0" w:rsidP="00094EB4">
      <w:pPr>
        <w:pStyle w:val="CH2"/>
      </w:pPr>
      <w:r w:rsidRPr="00DB6883">
        <w:tab/>
        <w:t>F.</w:t>
      </w:r>
      <w:r w:rsidRPr="00DB6883">
        <w:tab/>
      </w:r>
      <w:r w:rsidR="004B04D7" w:rsidRPr="00DB6883">
        <w:t>Phase-out of hydrochlorofluorocarbons</w:t>
      </w:r>
    </w:p>
    <w:p w:rsidR="007D76E0" w:rsidRPr="00DB6883" w:rsidRDefault="00DB5674" w:rsidP="004E7D79">
      <w:pPr>
        <w:pStyle w:val="Normalnumber"/>
        <w:tabs>
          <w:tab w:val="clear" w:pos="567"/>
          <w:tab w:val="clear" w:pos="1247"/>
          <w:tab w:val="clear" w:pos="1814"/>
          <w:tab w:val="clear" w:pos="2381"/>
          <w:tab w:val="clear" w:pos="2948"/>
          <w:tab w:val="clear" w:pos="3515"/>
          <w:tab w:val="left" w:pos="624"/>
        </w:tabs>
      </w:pPr>
      <w:r w:rsidRPr="00DB6883">
        <w:t>T</w:t>
      </w:r>
      <w:r w:rsidR="00303D06" w:rsidRPr="00DB6883">
        <w:t xml:space="preserve">he </w:t>
      </w:r>
      <w:r w:rsidR="004C7A6D" w:rsidRPr="00DB6883">
        <w:t>Co-Chair</w:t>
      </w:r>
      <w:r w:rsidR="008C2921" w:rsidRPr="00DB6883">
        <w:t xml:space="preserve"> </w:t>
      </w:r>
      <w:r w:rsidR="00303D06" w:rsidRPr="00DB6883">
        <w:t xml:space="preserve">recalled that, at its </w:t>
      </w:r>
      <w:r w:rsidR="00303D06" w:rsidRPr="0097296E">
        <w:t>thirty-ninth</w:t>
      </w:r>
      <w:r w:rsidR="00303D06" w:rsidRPr="00DB6883">
        <w:t xml:space="preserve"> meeting, the Open-ended Working Group had heard a </w:t>
      </w:r>
      <w:r w:rsidR="00BA04D7" w:rsidRPr="00DB6883">
        <w:t>presentation</w:t>
      </w:r>
      <w:r w:rsidR="00303D06" w:rsidRPr="00DB6883">
        <w:t xml:space="preserve"> by the Technology and Economic Assessment Panel </w:t>
      </w:r>
      <w:r w:rsidR="004E22F9" w:rsidRPr="00DB6883">
        <w:t>prepared in</w:t>
      </w:r>
      <w:r w:rsidR="00303D06" w:rsidRPr="00DB6883">
        <w:t xml:space="preserve"> respon</w:t>
      </w:r>
      <w:r w:rsidR="004E22F9" w:rsidRPr="00DB6883">
        <w:t>se</w:t>
      </w:r>
      <w:r w:rsidR="00303D06" w:rsidRPr="00DB6883">
        <w:t xml:space="preserve"> to </w:t>
      </w:r>
      <w:r w:rsidR="00303D06" w:rsidRPr="00DB6883">
        <w:lastRenderedPageBreak/>
        <w:t>decision XXVIII/8, identifying possible needs for essential uses and servicing in refrigeration and air</w:t>
      </w:r>
      <w:r w:rsidR="008A5E94">
        <w:t xml:space="preserve"> </w:t>
      </w:r>
      <w:r w:rsidR="00303D06" w:rsidRPr="00DB6883">
        <w:t>conditioning after 2020</w:t>
      </w:r>
      <w:r w:rsidR="00CE0CFB" w:rsidRPr="00DB6883">
        <w:t>,</w:t>
      </w:r>
      <w:r w:rsidR="00303D06" w:rsidRPr="00DB6883">
        <w:t xml:space="preserve"> as well as in the fire protection sector and </w:t>
      </w:r>
      <w:r w:rsidR="005B10F0" w:rsidRPr="00DB6883">
        <w:t>particular</w:t>
      </w:r>
      <w:r w:rsidR="00303D06" w:rsidRPr="00DB6883">
        <w:t xml:space="preserve"> niche solvent applications. </w:t>
      </w:r>
      <w:r w:rsidR="000D5DC7" w:rsidRPr="00DB6883">
        <w:t>She said that t</w:t>
      </w:r>
      <w:r w:rsidR="00303D06" w:rsidRPr="00DB6883">
        <w:t>he Working Group had forward</w:t>
      </w:r>
      <w:r w:rsidR="0014607A" w:rsidRPr="00DB6883">
        <w:t>ed</w:t>
      </w:r>
      <w:r w:rsidR="00303D06" w:rsidRPr="00DB6883">
        <w:t xml:space="preserve"> a draft decision on the </w:t>
      </w:r>
      <w:r w:rsidR="00BA04D7" w:rsidRPr="00DB6883">
        <w:t>matter</w:t>
      </w:r>
      <w:r w:rsidR="00303D06" w:rsidRPr="00DB6883">
        <w:t xml:space="preserve"> for </w:t>
      </w:r>
      <w:r w:rsidR="0014607A" w:rsidRPr="00DB6883">
        <w:t xml:space="preserve">consideration by the Twenty-Ninth Meeting of the Parties </w:t>
      </w:r>
      <w:r w:rsidR="00303D06" w:rsidRPr="00DB6883">
        <w:t>(UNEP/OzL.Conv.11/3-UNEP/OzL.Pro.29/3, sect. II, draft decision XXIX/[C]).</w:t>
      </w:r>
    </w:p>
    <w:p w:rsidR="00AF3831" w:rsidRPr="00DB6883" w:rsidRDefault="00AF3831" w:rsidP="004E7D79">
      <w:pPr>
        <w:pStyle w:val="Normalnumber"/>
        <w:tabs>
          <w:tab w:val="clear" w:pos="567"/>
          <w:tab w:val="clear" w:pos="1247"/>
          <w:tab w:val="clear" w:pos="1814"/>
          <w:tab w:val="clear" w:pos="2381"/>
          <w:tab w:val="clear" w:pos="2948"/>
          <w:tab w:val="clear" w:pos="3515"/>
          <w:tab w:val="left" w:pos="624"/>
        </w:tabs>
      </w:pPr>
      <w:r w:rsidRPr="00DB6883">
        <w:t>The parties agreed to refer further consideration of the matter to informal discussions between interested parties.</w:t>
      </w:r>
    </w:p>
    <w:p w:rsidR="002E3906" w:rsidRPr="00DB6883" w:rsidRDefault="002E3906" w:rsidP="004E7D79">
      <w:pPr>
        <w:pStyle w:val="Normalnumber"/>
        <w:tabs>
          <w:tab w:val="clear" w:pos="567"/>
          <w:tab w:val="clear" w:pos="1247"/>
          <w:tab w:val="clear" w:pos="1814"/>
          <w:tab w:val="clear" w:pos="2381"/>
          <w:tab w:val="clear" w:pos="2948"/>
          <w:tab w:val="clear" w:pos="3515"/>
          <w:tab w:val="left" w:pos="624"/>
        </w:tabs>
      </w:pPr>
      <w:r w:rsidRPr="00DB6883">
        <w:t>Subsequently, the representative of the United States</w:t>
      </w:r>
      <w:r w:rsidR="002C7F6B" w:rsidRPr="00DB6883">
        <w:t>, also on behalf of Australia, Canada and Japan,</w:t>
      </w:r>
      <w:r w:rsidRPr="00DB6883">
        <w:t xml:space="preserve"> introduced a </w:t>
      </w:r>
      <w:r w:rsidR="0038514B" w:rsidRPr="00DB6883">
        <w:t xml:space="preserve">revised </w:t>
      </w:r>
      <w:r w:rsidRPr="00DB6883">
        <w:t>draft decision</w:t>
      </w:r>
      <w:r w:rsidR="004B1652" w:rsidRPr="00DB6883">
        <w:t>, set out in a conference room paper</w:t>
      </w:r>
      <w:r w:rsidRPr="00DB6883">
        <w:t xml:space="preserve">. </w:t>
      </w:r>
    </w:p>
    <w:p w:rsidR="002E3906" w:rsidRPr="00DB6883" w:rsidRDefault="002E3906" w:rsidP="004E7D79">
      <w:pPr>
        <w:pStyle w:val="Normalnumber"/>
        <w:tabs>
          <w:tab w:val="clear" w:pos="567"/>
          <w:tab w:val="clear" w:pos="1247"/>
          <w:tab w:val="clear" w:pos="1814"/>
          <w:tab w:val="clear" w:pos="2381"/>
          <w:tab w:val="clear" w:pos="2948"/>
          <w:tab w:val="clear" w:pos="3515"/>
          <w:tab w:val="left" w:pos="624"/>
        </w:tabs>
      </w:pPr>
      <w:r w:rsidRPr="00DB6883">
        <w:t>The parties agreed to forward the draft decision for consideration and adoption during the high-level segment.</w:t>
      </w:r>
    </w:p>
    <w:p w:rsidR="004B04D7" w:rsidRPr="00DB6883" w:rsidRDefault="007D76E0" w:rsidP="009E7709">
      <w:pPr>
        <w:pStyle w:val="CH2"/>
      </w:pPr>
      <w:r w:rsidRPr="00DB6883">
        <w:tab/>
        <w:t>G.</w:t>
      </w:r>
      <w:r w:rsidRPr="00DB6883">
        <w:tab/>
      </w:r>
      <w:r w:rsidR="004B04D7" w:rsidRPr="00DB6883">
        <w:t>Energy</w:t>
      </w:r>
      <w:r w:rsidRPr="00DB6883">
        <w:t xml:space="preserve"> efficiency (decision XXVIII/3)</w:t>
      </w:r>
    </w:p>
    <w:p w:rsidR="004B04D7" w:rsidRPr="00DB6883" w:rsidRDefault="007D76E0" w:rsidP="007D76E0">
      <w:pPr>
        <w:pStyle w:val="CH3"/>
      </w:pPr>
      <w:r w:rsidRPr="00DB6883">
        <w:tab/>
        <w:t>1.</w:t>
      </w:r>
      <w:r w:rsidRPr="00DB6883">
        <w:tab/>
      </w:r>
      <w:r w:rsidR="004B04D7" w:rsidRPr="00DB6883">
        <w:t>Report by the Technology and Economic Assessment Panel on information submitted by parties on energy efficiency opportunities in the refrigerat</w:t>
      </w:r>
      <w:r w:rsidRPr="00DB6883">
        <w:t>ion and air-conditioning sector</w:t>
      </w:r>
    </w:p>
    <w:p w:rsidR="007D76E0" w:rsidRPr="00DB6883" w:rsidRDefault="00DB5674" w:rsidP="004E7D79">
      <w:pPr>
        <w:pStyle w:val="Normalnumber"/>
        <w:tabs>
          <w:tab w:val="clear" w:pos="567"/>
          <w:tab w:val="clear" w:pos="1247"/>
          <w:tab w:val="clear" w:pos="1814"/>
          <w:tab w:val="clear" w:pos="2381"/>
          <w:tab w:val="clear" w:pos="2948"/>
          <w:tab w:val="clear" w:pos="3515"/>
          <w:tab w:val="left" w:pos="624"/>
        </w:tabs>
      </w:pPr>
      <w:r w:rsidRPr="00DB6883">
        <w:t>T</w:t>
      </w:r>
      <w:r w:rsidR="000D6974" w:rsidRPr="00DB6883">
        <w:t xml:space="preserve">he </w:t>
      </w:r>
      <w:r w:rsidR="004C7A6D" w:rsidRPr="00DB6883">
        <w:t>Co-Chair</w:t>
      </w:r>
      <w:r w:rsidR="008C2921" w:rsidRPr="00DB6883">
        <w:t xml:space="preserve"> </w:t>
      </w:r>
      <w:r w:rsidR="000D6974" w:rsidRPr="00DB6883">
        <w:t xml:space="preserve">said that, </w:t>
      </w:r>
      <w:r w:rsidR="000D6974" w:rsidRPr="0015670B">
        <w:t>by decision</w:t>
      </w:r>
      <w:r w:rsidR="000D6974" w:rsidRPr="00DB6883">
        <w:t xml:space="preserve"> XXVIII/3, the parties had requested the Technology and Economic Assessment Panel to review energy efficiency opportunities in the refrigeration and air</w:t>
      </w:r>
      <w:r w:rsidR="006463F6" w:rsidRPr="00DB6883">
        <w:noBreakHyphen/>
      </w:r>
      <w:r w:rsidR="000D6974" w:rsidRPr="00DB6883">
        <w:t xml:space="preserve">conditioning and heat-pump sectors relating to a transition to climate-friendly alternatives, including not-in-kind options. </w:t>
      </w:r>
    </w:p>
    <w:p w:rsidR="001052DF" w:rsidRPr="00DB6883" w:rsidRDefault="006F2C30" w:rsidP="004E7D79">
      <w:pPr>
        <w:pStyle w:val="Normalnumber"/>
        <w:tabs>
          <w:tab w:val="clear" w:pos="567"/>
          <w:tab w:val="clear" w:pos="1247"/>
          <w:tab w:val="clear" w:pos="1814"/>
          <w:tab w:val="clear" w:pos="2381"/>
          <w:tab w:val="clear" w:pos="2948"/>
          <w:tab w:val="clear" w:pos="3515"/>
          <w:tab w:val="left" w:pos="624"/>
        </w:tabs>
      </w:pPr>
      <w:r w:rsidRPr="00DB6883">
        <w:t xml:space="preserve">The </w:t>
      </w:r>
      <w:r w:rsidR="00511100">
        <w:t>c</w:t>
      </w:r>
      <w:r w:rsidR="008F5C73" w:rsidRPr="00DB6883">
        <w:t>o</w:t>
      </w:r>
      <w:r w:rsidR="001052DF" w:rsidRPr="00DB6883">
        <w:t>-</w:t>
      </w:r>
      <w:r w:rsidR="00511100">
        <w:t>c</w:t>
      </w:r>
      <w:r w:rsidR="001052DF" w:rsidRPr="00DB6883">
        <w:t xml:space="preserve">hairs of the </w:t>
      </w:r>
      <w:r w:rsidR="00662235" w:rsidRPr="00DB6883">
        <w:t>energy efficiency working group</w:t>
      </w:r>
      <w:r w:rsidR="001052DF" w:rsidRPr="00DB6883">
        <w:t xml:space="preserve">, </w:t>
      </w:r>
      <w:r w:rsidRPr="00DB6883">
        <w:t xml:space="preserve">Roberto Peixoto and Ashley Woodcock, </w:t>
      </w:r>
      <w:r w:rsidR="001052DF" w:rsidRPr="00DB6883">
        <w:t xml:space="preserve">gave a presentation on the Panel’s report. A summary of the presentation prepared by the presenters is set out in </w:t>
      </w:r>
      <w:r w:rsidR="001F2AD7">
        <w:t xml:space="preserve">section C of </w:t>
      </w:r>
      <w:r w:rsidR="001052DF" w:rsidRPr="00DB6883">
        <w:t>annex</w:t>
      </w:r>
      <w:r w:rsidR="00206CEF">
        <w:t xml:space="preserve"> VI</w:t>
      </w:r>
      <w:r w:rsidR="001052DF" w:rsidRPr="00DB6883">
        <w:t xml:space="preserve"> to the present report.</w:t>
      </w:r>
    </w:p>
    <w:p w:rsidR="001052DF" w:rsidRPr="00DB6883" w:rsidRDefault="0019341D" w:rsidP="004E7D79">
      <w:pPr>
        <w:pStyle w:val="Normalnumber"/>
        <w:tabs>
          <w:tab w:val="clear" w:pos="567"/>
          <w:tab w:val="clear" w:pos="1247"/>
          <w:tab w:val="clear" w:pos="1814"/>
          <w:tab w:val="clear" w:pos="2381"/>
          <w:tab w:val="clear" w:pos="2948"/>
          <w:tab w:val="clear" w:pos="3515"/>
          <w:tab w:val="left" w:pos="624"/>
        </w:tabs>
      </w:pPr>
      <w:r w:rsidRPr="00DB6883">
        <w:t>In the ensuing discussion</w:t>
      </w:r>
      <w:r w:rsidR="001052DF" w:rsidRPr="00DB6883">
        <w:t xml:space="preserve">, a number of representatives expressed appreciation for the </w:t>
      </w:r>
      <w:r w:rsidR="002A070C" w:rsidRPr="00DB6883">
        <w:t xml:space="preserve">Panel’s </w:t>
      </w:r>
      <w:r w:rsidR="001052DF" w:rsidRPr="00DB6883">
        <w:t xml:space="preserve">work, </w:t>
      </w:r>
      <w:r w:rsidR="00CD75AB" w:rsidRPr="00DB6883">
        <w:t xml:space="preserve">especially </w:t>
      </w:r>
      <w:r w:rsidR="001052DF" w:rsidRPr="00DB6883">
        <w:t>given the time and resource constraints faced. Several said that the initial report was a useful framework for identifying core issues and as a starting point for addressing further, more specific</w:t>
      </w:r>
      <w:r w:rsidR="005B10F0" w:rsidRPr="00DB6883">
        <w:t>,</w:t>
      </w:r>
      <w:r w:rsidR="001052DF" w:rsidRPr="00DB6883">
        <w:t xml:space="preserve"> issues relat</w:t>
      </w:r>
      <w:r w:rsidR="002B550E" w:rsidRPr="00DB6883">
        <w:t>ing</w:t>
      </w:r>
      <w:r w:rsidR="001052DF" w:rsidRPr="00DB6883">
        <w:t xml:space="preserve"> to energy efficiency, while taking account of the </w:t>
      </w:r>
      <w:r w:rsidR="00B2063A" w:rsidRPr="00DB6883">
        <w:t>various</w:t>
      </w:r>
      <w:r w:rsidR="001052DF" w:rsidRPr="00DB6883">
        <w:t xml:space="preserve"> areas of interest and priorities of parties. </w:t>
      </w:r>
    </w:p>
    <w:p w:rsidR="001052DF" w:rsidRPr="00DB6883" w:rsidRDefault="001052DF" w:rsidP="004E7D79">
      <w:pPr>
        <w:pStyle w:val="Normalnumber"/>
        <w:tabs>
          <w:tab w:val="clear" w:pos="567"/>
          <w:tab w:val="clear" w:pos="1247"/>
          <w:tab w:val="clear" w:pos="1814"/>
          <w:tab w:val="clear" w:pos="2381"/>
          <w:tab w:val="clear" w:pos="2948"/>
          <w:tab w:val="clear" w:pos="3515"/>
          <w:tab w:val="left" w:pos="624"/>
        </w:tabs>
      </w:pPr>
      <w:r w:rsidRPr="00DB6883">
        <w:t>A number of representatives, while acknowledging that the report had been developed in accordance with the mandate provided in decision XXVIII/3, said that the content was too general and</w:t>
      </w:r>
      <w:r w:rsidR="00823F5C" w:rsidRPr="00DB6883">
        <w:t xml:space="preserve"> that it</w:t>
      </w:r>
      <w:r w:rsidRPr="00DB6883">
        <w:t xml:space="preserve"> lacked sufficient detail on practical alternatives, including for high</w:t>
      </w:r>
      <w:r w:rsidR="00951651" w:rsidRPr="00DB6883">
        <w:t>-</w:t>
      </w:r>
      <w:r w:rsidRPr="00DB6883">
        <w:t>ambient</w:t>
      </w:r>
      <w:r w:rsidR="00951651" w:rsidRPr="00DB6883">
        <w:t>-</w:t>
      </w:r>
      <w:r w:rsidRPr="00DB6883">
        <w:t xml:space="preserve">temperature applications. One said that the inclusion of policy, regulatory and information opportunities and financial and related incentives as broad areas within the report </w:t>
      </w:r>
      <w:r w:rsidR="00006CE4" w:rsidRPr="00DB6883">
        <w:t>fell outside the purview</w:t>
      </w:r>
      <w:r w:rsidRPr="00DB6883">
        <w:t xml:space="preserve"> of the Montreal Protocol; the focus should rather be on technical solutions and ensuring that new technologies were energy efficient, readily available, commercially viable and environmentally friendly, and also recognized safety concerns. A technical workshop dealing with such matters would be beneficial. Another said that parties </w:t>
      </w:r>
      <w:r w:rsidR="006B6BCD" w:rsidRPr="00DB6883">
        <w:t xml:space="preserve">operating under paragraph 1 of Article 5 </w:t>
      </w:r>
      <w:r w:rsidRPr="00DB6883">
        <w:t>needed specific information that enabled them to set goals, develop strategies and take decisions on matters relat</w:t>
      </w:r>
      <w:r w:rsidR="007D7E79" w:rsidRPr="00DB6883">
        <w:t>ing</w:t>
      </w:r>
      <w:r w:rsidRPr="00DB6883">
        <w:t xml:space="preserve"> to energy efficiency. </w:t>
      </w:r>
      <w:r w:rsidR="00D1528A" w:rsidRPr="00DB6883">
        <w:t>A third</w:t>
      </w:r>
      <w:r w:rsidRPr="00DB6883">
        <w:t xml:space="preserve"> representative said that</w:t>
      </w:r>
      <w:r w:rsidR="00672A19" w:rsidRPr="00DB6883">
        <w:t>,</w:t>
      </w:r>
      <w:r w:rsidRPr="00DB6883">
        <w:t xml:space="preserve"> when assessing which alternative technological solutions to adopt, the most telling indicator was energy efficiency, which implied </w:t>
      </w:r>
      <w:r w:rsidR="00524CAE" w:rsidRPr="00DB6883">
        <w:t xml:space="preserve">the </w:t>
      </w:r>
      <w:r w:rsidRPr="00DB6883">
        <w:t>development of</w:t>
      </w:r>
      <w:r w:rsidR="00524CAE" w:rsidRPr="00DB6883">
        <w:t xml:space="preserve"> forms of</w:t>
      </w:r>
      <w:r w:rsidRPr="00DB6883">
        <w:t xml:space="preserve"> technolog</w:t>
      </w:r>
      <w:r w:rsidR="00524CAE" w:rsidRPr="00DB6883">
        <w:t>y</w:t>
      </w:r>
      <w:r w:rsidRPr="00DB6883">
        <w:t xml:space="preserve"> that were more efficient than those currently available. Such a focus would stimulate competition between manufacturers and promote innovation, widening technology choices. </w:t>
      </w:r>
    </w:p>
    <w:p w:rsidR="001052DF" w:rsidRPr="00DB6883" w:rsidRDefault="008F70AE" w:rsidP="004E7D79">
      <w:pPr>
        <w:pStyle w:val="Normalnumber"/>
        <w:tabs>
          <w:tab w:val="clear" w:pos="567"/>
          <w:tab w:val="clear" w:pos="1247"/>
          <w:tab w:val="clear" w:pos="1814"/>
          <w:tab w:val="clear" w:pos="2381"/>
          <w:tab w:val="clear" w:pos="2948"/>
          <w:tab w:val="clear" w:pos="3515"/>
          <w:tab w:val="left" w:pos="624"/>
        </w:tabs>
      </w:pPr>
      <w:r w:rsidRPr="00DB6883">
        <w:t>Looking ahead</w:t>
      </w:r>
      <w:r w:rsidR="001052DF" w:rsidRPr="00DB6883">
        <w:t>, one representative said that further information was needed on how to maintain and enhance the energy efficiency of low-</w:t>
      </w:r>
      <w:r w:rsidR="00524CAE" w:rsidRPr="00DB6883">
        <w:t>global-warming-potential</w:t>
      </w:r>
      <w:r w:rsidR="001052DF" w:rsidRPr="00DB6883">
        <w:t xml:space="preserve"> alternatives, in line with paragraph 22 of decision XXVIII/2. It would be useful to complement the Panel’s work, resources and capacity with additional expertise to support future work on the </w:t>
      </w:r>
      <w:r w:rsidRPr="00DB6883">
        <w:t>matter</w:t>
      </w:r>
      <w:r w:rsidR="000C44E3" w:rsidRPr="00DB6883">
        <w:t xml:space="preserve">, which could be done through the </w:t>
      </w:r>
      <w:r w:rsidR="001052DF" w:rsidRPr="00DB6883">
        <w:t>creation of a Panel task force on energy efficiency</w:t>
      </w:r>
      <w:r w:rsidR="000C44E3" w:rsidRPr="00DB6883">
        <w:t xml:space="preserve">, with the </w:t>
      </w:r>
      <w:r w:rsidR="001052DF" w:rsidRPr="00DB6883">
        <w:t xml:space="preserve">intention </w:t>
      </w:r>
      <w:r w:rsidR="000C44E3" w:rsidRPr="00DB6883">
        <w:t>of tapping into</w:t>
      </w:r>
      <w:r w:rsidR="001052DF" w:rsidRPr="00DB6883">
        <w:t xml:space="preserve"> the best available knowledge to inform the work of the parties, without creating an additional financial burden. Several other representatives </w:t>
      </w:r>
      <w:r w:rsidR="000C44E3" w:rsidRPr="00DB6883">
        <w:t xml:space="preserve">expressed </w:t>
      </w:r>
      <w:r w:rsidR="001052DF" w:rsidRPr="00DB6883">
        <w:t>support</w:t>
      </w:r>
      <w:r w:rsidR="000C44E3" w:rsidRPr="00DB6883">
        <w:t xml:space="preserve"> for</w:t>
      </w:r>
      <w:r w:rsidR="001052DF" w:rsidRPr="00DB6883">
        <w:t xml:space="preserve"> the proposal. </w:t>
      </w:r>
    </w:p>
    <w:p w:rsidR="001052DF" w:rsidRPr="00DB6883" w:rsidRDefault="001052DF" w:rsidP="004E7D79">
      <w:pPr>
        <w:pStyle w:val="Normalnumber"/>
        <w:tabs>
          <w:tab w:val="clear" w:pos="567"/>
          <w:tab w:val="clear" w:pos="1247"/>
          <w:tab w:val="clear" w:pos="1814"/>
          <w:tab w:val="clear" w:pos="2381"/>
          <w:tab w:val="clear" w:pos="2948"/>
          <w:tab w:val="clear" w:pos="3515"/>
          <w:tab w:val="left" w:pos="624"/>
        </w:tabs>
      </w:pPr>
      <w:r w:rsidRPr="00DB6883">
        <w:t xml:space="preserve">One representative said that further consideration should be given to </w:t>
      </w:r>
      <w:r w:rsidRPr="001E4C4C">
        <w:t>the role of</w:t>
      </w:r>
      <w:r w:rsidRPr="00DB6883">
        <w:t xml:space="preserve"> proper installation and maintenance to ensure that installed equipment continued to operate at or close to design efficiency, and further analysis should be undertaken of the co-benefits from energy efficiency, including the economic benefits to be </w:t>
      </w:r>
      <w:r w:rsidR="000C44E3" w:rsidRPr="00DB6883">
        <w:t>reaped</w:t>
      </w:r>
      <w:r w:rsidRPr="00DB6883">
        <w:t xml:space="preserve"> from reduced energy consumption. Another </w:t>
      </w:r>
      <w:r w:rsidR="00BC281C" w:rsidRPr="00DB6883">
        <w:t>evoked</w:t>
      </w:r>
      <w:r w:rsidRPr="00DB6883">
        <w:t xml:space="preserve"> the value to be gained in modifying the energy mix to give greater prominence to renewable sources. Another representative said that the principle of extended producer responsibility should also be taken into account when considering energy </w:t>
      </w:r>
      <w:proofErr w:type="gramStart"/>
      <w:r w:rsidRPr="00DB6883">
        <w:t>efficiency,</w:t>
      </w:r>
      <w:proofErr w:type="gramEnd"/>
      <w:r w:rsidRPr="00DB6883">
        <w:t xml:space="preserve"> and the importance of training be given greater attention. </w:t>
      </w:r>
      <w:r w:rsidR="00195A76" w:rsidRPr="00DB6883">
        <w:t>One</w:t>
      </w:r>
      <w:r w:rsidRPr="00DB6883">
        <w:t xml:space="preserve"> representative said that it was crucial to maintain energy efficiency during the transition to alternative technologies. </w:t>
      </w:r>
    </w:p>
    <w:p w:rsidR="001052DF" w:rsidRPr="00DB6883" w:rsidRDefault="001052DF" w:rsidP="004E7D79">
      <w:pPr>
        <w:pStyle w:val="Normalnumber"/>
        <w:tabs>
          <w:tab w:val="clear" w:pos="567"/>
          <w:tab w:val="clear" w:pos="1247"/>
          <w:tab w:val="clear" w:pos="1814"/>
          <w:tab w:val="clear" w:pos="2381"/>
          <w:tab w:val="clear" w:pos="2948"/>
          <w:tab w:val="clear" w:pos="3515"/>
          <w:tab w:val="left" w:pos="624"/>
        </w:tabs>
      </w:pPr>
      <w:r w:rsidRPr="00DB6883">
        <w:lastRenderedPageBreak/>
        <w:t>One representative said that his country, along with various partners, had co-sponsored a workshop on air-conditioning technology, at which presentations had highlighted technological options that promoted energy efficiency. The matter of energy efficiency was complex and contained many elements that were often considered to be outside the scope of the</w:t>
      </w:r>
      <w:r w:rsidR="000F23F3" w:rsidRPr="00DB6883">
        <w:t xml:space="preserve"> Montreal</w:t>
      </w:r>
      <w:r w:rsidRPr="00DB6883">
        <w:t xml:space="preserve"> Protocol, making it important for parties to discuss and attempt to reach agreement on the areas of focus and the types of interventions related to energy efficiency that could be considered under the Protocol, while not straying from its mandate or the parties’ areas of expertise. </w:t>
      </w:r>
    </w:p>
    <w:p w:rsidR="001052DF" w:rsidRPr="00DB6883" w:rsidRDefault="001052DF" w:rsidP="004E7D79">
      <w:pPr>
        <w:pStyle w:val="Normalnumber"/>
        <w:tabs>
          <w:tab w:val="clear" w:pos="567"/>
          <w:tab w:val="clear" w:pos="1247"/>
          <w:tab w:val="clear" w:pos="1814"/>
          <w:tab w:val="clear" w:pos="2381"/>
          <w:tab w:val="clear" w:pos="2948"/>
          <w:tab w:val="clear" w:pos="3515"/>
          <w:tab w:val="left" w:pos="624"/>
        </w:tabs>
      </w:pPr>
      <w:r w:rsidRPr="00DB6883">
        <w:t xml:space="preserve">One representative, speaking on behalf </w:t>
      </w:r>
      <w:r w:rsidRPr="00A35256">
        <w:t>of a group</w:t>
      </w:r>
      <w:r w:rsidRPr="00DB6883">
        <w:t xml:space="preserve"> of countries, said that it would be useful to have additional information in a number of areas to help parties</w:t>
      </w:r>
      <w:r w:rsidR="004E556C" w:rsidRPr="00DB6883">
        <w:t xml:space="preserve"> to</w:t>
      </w:r>
      <w:r w:rsidRPr="00DB6883">
        <w:t xml:space="preserve"> assess their potential for energy efficiency, including components and their design</w:t>
      </w:r>
      <w:r w:rsidR="008D6363" w:rsidRPr="00DB6883">
        <w:t>;</w:t>
      </w:r>
      <w:r w:rsidRPr="00DB6883">
        <w:t xml:space="preserve"> the planning and design of cooling systems</w:t>
      </w:r>
      <w:r w:rsidR="008D6363" w:rsidRPr="00DB6883">
        <w:t>;</w:t>
      </w:r>
      <w:r w:rsidRPr="00DB6883">
        <w:t xml:space="preserve"> the potential benefits of alternative systems</w:t>
      </w:r>
      <w:r w:rsidR="008D6363" w:rsidRPr="00DB6883">
        <w:t>;</w:t>
      </w:r>
      <w:r w:rsidRPr="00DB6883">
        <w:t xml:space="preserve"> and </w:t>
      </w:r>
      <w:r w:rsidR="008D6363" w:rsidRPr="00DB6883">
        <w:t xml:space="preserve">the </w:t>
      </w:r>
      <w:r w:rsidRPr="00DB6883">
        <w:t>reduction of leakage through improved maintenance. Other issues of relevance to energy efficiency that were worthy of further consideration included the role of ext</w:t>
      </w:r>
      <w:r w:rsidR="00164402">
        <w:t>ernal</w:t>
      </w:r>
      <w:r w:rsidRPr="00DB6883">
        <w:t xml:space="preserve"> factors, such as climate conditions; the role of enabling policies, such as green procurement and energy service companies; and product labelling. Parties also needed to consider what data they needed to supply to enable the Panel to make more informed decisions in the future, and what contributions could be made by other organizations operating in the field.</w:t>
      </w:r>
    </w:p>
    <w:p w:rsidR="002A0D8B" w:rsidRPr="00DB6883" w:rsidRDefault="001052DF" w:rsidP="004E7D79">
      <w:pPr>
        <w:pStyle w:val="Normalnumber"/>
        <w:tabs>
          <w:tab w:val="clear" w:pos="567"/>
          <w:tab w:val="clear" w:pos="1247"/>
          <w:tab w:val="clear" w:pos="1814"/>
          <w:tab w:val="clear" w:pos="2381"/>
          <w:tab w:val="clear" w:pos="2948"/>
          <w:tab w:val="clear" w:pos="3515"/>
          <w:tab w:val="left" w:pos="624"/>
        </w:tabs>
      </w:pPr>
      <w:r w:rsidRPr="00DB6883">
        <w:t xml:space="preserve">The </w:t>
      </w:r>
      <w:r w:rsidR="00511100">
        <w:t>c</w:t>
      </w:r>
      <w:r w:rsidRPr="00DB6883">
        <w:t>o-</w:t>
      </w:r>
      <w:r w:rsidR="00511100">
        <w:t>c</w:t>
      </w:r>
      <w:r w:rsidRPr="00DB6883">
        <w:t xml:space="preserve">hairs of the </w:t>
      </w:r>
      <w:r w:rsidR="00662235" w:rsidRPr="00DB6883">
        <w:t xml:space="preserve">energy efficiency working group </w:t>
      </w:r>
      <w:r w:rsidRPr="00DB6883">
        <w:t xml:space="preserve">responded to the issues raised during the discussion. Mr. Woodcock said that </w:t>
      </w:r>
      <w:r w:rsidRPr="00CD35BB">
        <w:t xml:space="preserve">the </w:t>
      </w:r>
      <w:r w:rsidR="006D6ED5" w:rsidRPr="00CD35BB">
        <w:t>w</w:t>
      </w:r>
      <w:r w:rsidRPr="00CD35BB">
        <w:t xml:space="preserve">orking </w:t>
      </w:r>
      <w:r w:rsidR="006D6ED5" w:rsidRPr="00CD35BB">
        <w:t>g</w:t>
      </w:r>
      <w:r w:rsidRPr="00CD35BB">
        <w:t>roup</w:t>
      </w:r>
      <w:r w:rsidR="00164402" w:rsidRPr="00CD35BB">
        <w:t xml:space="preserve"> </w:t>
      </w:r>
      <w:r w:rsidRPr="00CD35BB">
        <w:t xml:space="preserve">had </w:t>
      </w:r>
      <w:r w:rsidR="00980F4E" w:rsidRPr="00CD35BB">
        <w:t>sought</w:t>
      </w:r>
      <w:r w:rsidRPr="00CD35BB">
        <w:t xml:space="preserve"> to </w:t>
      </w:r>
      <w:r w:rsidR="00980F4E" w:rsidRPr="00CD35BB">
        <w:t>remain</w:t>
      </w:r>
      <w:r w:rsidRPr="00CD35BB">
        <w:t xml:space="preserve"> within the spirit of decision XXVIII/3 during its deliberations. It was acknowledged</w:t>
      </w:r>
      <w:r w:rsidRPr="00DB6883">
        <w:t xml:space="preserve"> that the report was a relatively safe first step in a new area, for </w:t>
      </w:r>
      <w:r w:rsidR="00D95D13" w:rsidRPr="00DB6883">
        <w:t xml:space="preserve">both </w:t>
      </w:r>
      <w:r w:rsidRPr="00DB6883">
        <w:t xml:space="preserve">the parties and for the Panel. The Panel could undertake further work on more detailed scenarios, dependent upon the mandate given by the parties. On the matter of </w:t>
      </w:r>
      <w:r w:rsidR="00CA70A5" w:rsidRPr="00DB6883">
        <w:br/>
      </w:r>
      <w:r w:rsidRPr="00DB6883">
        <w:t xml:space="preserve">co-benefits, the relationship between energy efficiency and other benefits was not always straightforward, as in a case where increased demand for energy-efficient products reduced their price, further boosting demand and consequently increasing energy consumption. He agreed </w:t>
      </w:r>
      <w:r w:rsidR="00991DB4" w:rsidRPr="00DB6883">
        <w:t>about</w:t>
      </w:r>
      <w:r w:rsidRPr="00DB6883">
        <w:t xml:space="preserve"> the benefits to be gained from proper maintenance practices. In response to </w:t>
      </w:r>
      <w:r w:rsidR="00DB6E53" w:rsidRPr="00DB6883">
        <w:t>a</w:t>
      </w:r>
      <w:r w:rsidRPr="00DB6883">
        <w:t xml:space="preserve"> </w:t>
      </w:r>
      <w:r w:rsidR="00991DB4" w:rsidRPr="00DB6883">
        <w:t>question</w:t>
      </w:r>
      <w:r w:rsidRPr="00DB6883">
        <w:t xml:space="preserve"> about extended producer responsibility, he said that</w:t>
      </w:r>
      <w:r w:rsidR="00702F77" w:rsidRPr="00DB6883">
        <w:t>,</w:t>
      </w:r>
      <w:r w:rsidRPr="00DB6883">
        <w:t xml:space="preserve"> while producers needed to be held to account, they were generally keen to improve efficiency and to drive technological innovation. </w:t>
      </w:r>
    </w:p>
    <w:p w:rsidR="000D6974" w:rsidRPr="00DB6883" w:rsidRDefault="001052DF" w:rsidP="004E7D79">
      <w:pPr>
        <w:pStyle w:val="Normalnumber"/>
        <w:tabs>
          <w:tab w:val="clear" w:pos="567"/>
          <w:tab w:val="clear" w:pos="1247"/>
          <w:tab w:val="clear" w:pos="1814"/>
          <w:tab w:val="clear" w:pos="2381"/>
          <w:tab w:val="clear" w:pos="2948"/>
          <w:tab w:val="clear" w:pos="3515"/>
          <w:tab w:val="left" w:pos="624"/>
        </w:tabs>
      </w:pPr>
      <w:r w:rsidRPr="00DB6883">
        <w:t>Mr. Peixoto said that many projects were currently testing alternatives for high</w:t>
      </w:r>
      <w:r w:rsidR="00F71A78" w:rsidRPr="00DB6883">
        <w:t>-</w:t>
      </w:r>
      <w:r w:rsidRPr="00DB6883">
        <w:t>ambient</w:t>
      </w:r>
      <w:r w:rsidR="00F71A78" w:rsidRPr="00DB6883">
        <w:t>-</w:t>
      </w:r>
      <w:r w:rsidRPr="00DB6883">
        <w:t xml:space="preserve">temperature conditions with energy efficiency as a parameter, and the results of those tests were becoming available, adding to the store of knowledge on the matter. In response to a </w:t>
      </w:r>
      <w:r w:rsidR="00E33DB1" w:rsidRPr="00DB6883">
        <w:t>question</w:t>
      </w:r>
      <w:r w:rsidRPr="00DB6883">
        <w:t xml:space="preserve"> about lower energy efficiency levels in </w:t>
      </w:r>
      <w:r w:rsidR="00F71A78" w:rsidRPr="00DB6883">
        <w:t>parties operating under paragraph 1 of Article 5</w:t>
      </w:r>
      <w:r w:rsidRPr="00DB6883">
        <w:t>, he said that factors included the absence of specific regulations establishing minimum energy performance, and the cost of more efficient equipment.</w:t>
      </w:r>
    </w:p>
    <w:p w:rsidR="00762024" w:rsidRPr="00DB6883" w:rsidRDefault="00762024" w:rsidP="004E7D79">
      <w:pPr>
        <w:pStyle w:val="Normalnumber"/>
        <w:tabs>
          <w:tab w:val="clear" w:pos="567"/>
          <w:tab w:val="clear" w:pos="1247"/>
          <w:tab w:val="clear" w:pos="1814"/>
          <w:tab w:val="clear" w:pos="2381"/>
          <w:tab w:val="clear" w:pos="2948"/>
          <w:tab w:val="clear" w:pos="3515"/>
          <w:tab w:val="left" w:pos="624"/>
        </w:tabs>
      </w:pPr>
      <w:r w:rsidRPr="00DB6883">
        <w:t>The parties took note of the information provided.</w:t>
      </w:r>
    </w:p>
    <w:p w:rsidR="004B04D7" w:rsidRPr="00DB6883" w:rsidRDefault="007D76E0" w:rsidP="007D76E0">
      <w:pPr>
        <w:pStyle w:val="CH3"/>
      </w:pPr>
      <w:r w:rsidRPr="00DB6883">
        <w:tab/>
        <w:t>2.</w:t>
      </w:r>
      <w:r w:rsidRPr="00DB6883">
        <w:tab/>
      </w:r>
      <w:r w:rsidR="004B04D7" w:rsidRPr="00DB6883">
        <w:t>Issues related to financial and technical support for energy efficiency in parties operating under paragraph 1 of Article 5</w:t>
      </w:r>
    </w:p>
    <w:p w:rsidR="00463D15" w:rsidRPr="00DB6883" w:rsidRDefault="00463D15" w:rsidP="004E7D79">
      <w:pPr>
        <w:pStyle w:val="Normalnumber"/>
        <w:tabs>
          <w:tab w:val="clear" w:pos="567"/>
          <w:tab w:val="clear" w:pos="1247"/>
          <w:tab w:val="clear" w:pos="1814"/>
          <w:tab w:val="clear" w:pos="2381"/>
          <w:tab w:val="clear" w:pos="2948"/>
          <w:tab w:val="clear" w:pos="3515"/>
          <w:tab w:val="left" w:pos="624"/>
        </w:tabs>
      </w:pPr>
      <w:r w:rsidRPr="00DB6883">
        <w:t xml:space="preserve">The Co-Chair recalled that, at </w:t>
      </w:r>
      <w:r w:rsidRPr="00D92483">
        <w:t>its thirty</w:t>
      </w:r>
      <w:r w:rsidRPr="00DB6883">
        <w:t>-ninth meeting, the Open-ended Working Group had considered two draft decisions on the subject, which had been merged into a single draft decision</w:t>
      </w:r>
      <w:r w:rsidR="00475F71" w:rsidRPr="00DB6883">
        <w:t xml:space="preserve"> and </w:t>
      </w:r>
      <w:r w:rsidRPr="00DB6883">
        <w:t xml:space="preserve">forwarded for consideration </w:t>
      </w:r>
      <w:r w:rsidR="00475F71" w:rsidRPr="00DB6883">
        <w:t>by the Twenty-Ninth Meeting of the Parties</w:t>
      </w:r>
      <w:r w:rsidRPr="00DB6883">
        <w:t xml:space="preserve"> (UNEP/OzL.Conv.11/3-UNEP/OzL.Pro.29/3, sect. II, draft decision XXIX</w:t>
      </w:r>
      <w:proofErr w:type="gramStart"/>
      <w:r w:rsidRPr="00DB6883">
        <w:t>/[</w:t>
      </w:r>
      <w:proofErr w:type="gramEnd"/>
      <w:r w:rsidRPr="00DB6883">
        <w:t>E]).</w:t>
      </w:r>
    </w:p>
    <w:p w:rsidR="00463D15" w:rsidRPr="00DB6883" w:rsidRDefault="00463D15" w:rsidP="004E7D79">
      <w:pPr>
        <w:pStyle w:val="Normalnumber"/>
        <w:tabs>
          <w:tab w:val="clear" w:pos="567"/>
          <w:tab w:val="clear" w:pos="1247"/>
          <w:tab w:val="clear" w:pos="1814"/>
          <w:tab w:val="clear" w:pos="2381"/>
          <w:tab w:val="clear" w:pos="2948"/>
          <w:tab w:val="clear" w:pos="3515"/>
          <w:tab w:val="left" w:pos="624"/>
        </w:tabs>
      </w:pPr>
      <w:r w:rsidRPr="00DB6883">
        <w:t xml:space="preserve">Many representatives, including one speaking on behalf of a group of countries, </w:t>
      </w:r>
      <w:r w:rsidR="001A2209" w:rsidRPr="00DB6883">
        <w:t xml:space="preserve">raised the issue </w:t>
      </w:r>
      <w:r w:rsidRPr="00DB6883">
        <w:t xml:space="preserve">of the role of the Montreal Protocol and </w:t>
      </w:r>
      <w:r w:rsidR="00694851" w:rsidRPr="00DB6883">
        <w:t xml:space="preserve">the </w:t>
      </w:r>
      <w:r w:rsidRPr="00DB6883">
        <w:t>Multilateral Fund in enhancing energy efficiency</w:t>
      </w:r>
      <w:r w:rsidR="001A2209" w:rsidRPr="00DB6883">
        <w:t>, agreeing</w:t>
      </w:r>
      <w:r w:rsidRPr="00DB6883">
        <w:t xml:space="preserve"> that</w:t>
      </w:r>
      <w:r w:rsidR="00D11894" w:rsidRPr="00DB6883">
        <w:t xml:space="preserve">, given the breadth and </w:t>
      </w:r>
      <w:r w:rsidRPr="00DB6883">
        <w:t>complex</w:t>
      </w:r>
      <w:r w:rsidR="00D11894" w:rsidRPr="00DB6883">
        <w:t>ity of the</w:t>
      </w:r>
      <w:r w:rsidRPr="00DB6883">
        <w:t xml:space="preserve"> topic</w:t>
      </w:r>
      <w:r w:rsidR="00D11894" w:rsidRPr="00DB6883">
        <w:t>,</w:t>
      </w:r>
      <w:r w:rsidRPr="00DB6883">
        <w:t xml:space="preserve"> the discussion should be focused on energy efficiency within the context of HFC phase-down under the Kigali Amendment. </w:t>
      </w:r>
    </w:p>
    <w:p w:rsidR="00463D15" w:rsidRPr="00DB6883" w:rsidRDefault="00463D15" w:rsidP="004E7D79">
      <w:pPr>
        <w:pStyle w:val="Normalnumber"/>
        <w:tabs>
          <w:tab w:val="clear" w:pos="567"/>
          <w:tab w:val="clear" w:pos="1247"/>
          <w:tab w:val="clear" w:pos="1814"/>
          <w:tab w:val="clear" w:pos="2381"/>
          <w:tab w:val="clear" w:pos="2948"/>
          <w:tab w:val="clear" w:pos="3515"/>
          <w:tab w:val="left" w:pos="624"/>
        </w:tabs>
      </w:pPr>
      <w:r w:rsidRPr="00DB6883">
        <w:t>Most of those who spoke indicated interest in pursuing discussion of the draft decision in a contact group. There was general support for the energy efficiency workshop proposed in the draft decision, with two representatives calling for it to be held in conjunction with the fortieth meeting of the Open-ended Working Group</w:t>
      </w:r>
      <w:r w:rsidR="00036B28" w:rsidRPr="00DB6883">
        <w:t>,</w:t>
      </w:r>
      <w:r w:rsidRPr="00DB6883">
        <w:t xml:space="preserve"> in July 2018. The workshop </w:t>
      </w:r>
      <w:r w:rsidR="00642A9B" w:rsidRPr="00DB6883">
        <w:t>c</w:t>
      </w:r>
      <w:r w:rsidRPr="00DB6883">
        <w:t xml:space="preserve">ould provide the parties with more information on energy efficiency and </w:t>
      </w:r>
      <w:r w:rsidR="00036B28" w:rsidRPr="00DB6883">
        <w:t>serve as</w:t>
      </w:r>
      <w:r w:rsidRPr="00DB6883">
        <w:t xml:space="preserve"> a basis for </w:t>
      </w:r>
      <w:r w:rsidR="0012759F" w:rsidRPr="00DB6883">
        <w:t xml:space="preserve">making </w:t>
      </w:r>
      <w:r w:rsidRPr="00DB6883">
        <w:t>decision</w:t>
      </w:r>
      <w:r w:rsidR="0012759F" w:rsidRPr="00DB6883">
        <w:t>s</w:t>
      </w:r>
      <w:r w:rsidRPr="00DB6883">
        <w:t xml:space="preserve"> on how to handle energy efficiency </w:t>
      </w:r>
      <w:r w:rsidR="0012759F" w:rsidRPr="00DB6883">
        <w:t>under</w:t>
      </w:r>
      <w:r w:rsidRPr="00DB6883">
        <w:t xml:space="preserve"> the Montreal Protocol. One representative, speaking on behalf of a group of countries, said that the workshop should address the mandate for the Techn</w:t>
      </w:r>
      <w:r w:rsidR="00EC3F42" w:rsidRPr="00DB6883">
        <w:t>ology</w:t>
      </w:r>
      <w:r w:rsidRPr="00DB6883">
        <w:t xml:space="preserve"> and Economic Assessment Panel, and that energy efficiency should also be put on the agenda </w:t>
      </w:r>
      <w:r w:rsidR="00EC3F42" w:rsidRPr="00DB6883">
        <w:t>of</w:t>
      </w:r>
      <w:r w:rsidRPr="00DB6883">
        <w:t xml:space="preserve"> the regional network meetings. Two others asked for discussion on the scope of the workshop; one of them cautioned </w:t>
      </w:r>
      <w:r w:rsidR="00B36988" w:rsidRPr="00DB6883">
        <w:t>against</w:t>
      </w:r>
      <w:r w:rsidRPr="00DB6883">
        <w:t xml:space="preserve"> prejudging the approach that the parties might eventually wish to take. </w:t>
      </w:r>
    </w:p>
    <w:p w:rsidR="00463D15" w:rsidRPr="00DB6883" w:rsidRDefault="00463D15" w:rsidP="004E7D79">
      <w:pPr>
        <w:pStyle w:val="Normalnumber"/>
        <w:tabs>
          <w:tab w:val="clear" w:pos="567"/>
          <w:tab w:val="clear" w:pos="1247"/>
          <w:tab w:val="clear" w:pos="1814"/>
          <w:tab w:val="clear" w:pos="2381"/>
          <w:tab w:val="clear" w:pos="2948"/>
          <w:tab w:val="clear" w:pos="3515"/>
          <w:tab w:val="left" w:pos="624"/>
        </w:tabs>
      </w:pPr>
      <w:r w:rsidRPr="00DB6883">
        <w:t>Several representatives, while</w:t>
      </w:r>
      <w:r w:rsidR="00D11DFC" w:rsidRPr="00DB6883">
        <w:t xml:space="preserve"> expressing</w:t>
      </w:r>
      <w:r w:rsidRPr="00DB6883">
        <w:t xml:space="preserve"> </w:t>
      </w:r>
      <w:r w:rsidRPr="005B32D9">
        <w:t>support</w:t>
      </w:r>
      <w:r w:rsidR="00D11DFC" w:rsidRPr="005B32D9">
        <w:t xml:space="preserve"> for</w:t>
      </w:r>
      <w:r w:rsidRPr="005B32D9">
        <w:t xml:space="preserve"> discussions</w:t>
      </w:r>
      <w:r w:rsidRPr="00DB6883">
        <w:t xml:space="preserve"> in a contact group, also raised concerns. One </w:t>
      </w:r>
      <w:r w:rsidR="00180271" w:rsidRPr="00DB6883">
        <w:t>warned</w:t>
      </w:r>
      <w:r w:rsidRPr="00DB6883">
        <w:t xml:space="preserve"> that the draft decision as it stood appeared to prejudge the parties’ approach to energy efficiency: costing </w:t>
      </w:r>
      <w:r w:rsidR="00180271" w:rsidRPr="00DB6883">
        <w:t>appeared</w:t>
      </w:r>
      <w:r w:rsidRPr="00DB6883">
        <w:t xml:space="preserve"> to be proposed within the context of replenishment, even though no funding could be provided for energy efficiency </w:t>
      </w:r>
      <w:r w:rsidR="000D22A2" w:rsidRPr="00DB6883">
        <w:t>because</w:t>
      </w:r>
      <w:r w:rsidRPr="00DB6883">
        <w:t xml:space="preserve"> there were no associated </w:t>
      </w:r>
      <w:r w:rsidRPr="00DB6883">
        <w:lastRenderedPageBreak/>
        <w:t xml:space="preserve">compliance obligations. Similarly, pointing out that the Executive Committee had previously determined that technological upgrades aimed at improving energy efficiency were not eligible for funding, another representative said that </w:t>
      </w:r>
      <w:r w:rsidR="00F5547D" w:rsidRPr="00DB6883">
        <w:t xml:space="preserve">the </w:t>
      </w:r>
      <w:r w:rsidRPr="00DB6883">
        <w:t xml:space="preserve">parties </w:t>
      </w:r>
      <w:r w:rsidR="00F5547D" w:rsidRPr="00DB6883">
        <w:t>must first</w:t>
      </w:r>
      <w:r w:rsidRPr="00DB6883">
        <w:t xml:space="preserve"> decide whether to fund technological improvements aimed at enhancing energy efficiency and whether to invest time in discussing the cost guidelines. Other concerns expressed included the fact that energy efficiency was already on the agenda of the Executive Committee in accordance with decision XXVIII/2</w:t>
      </w:r>
      <w:r w:rsidR="001518E9" w:rsidRPr="00DB6883">
        <w:t>, meaning that</w:t>
      </w:r>
      <w:r w:rsidR="003657CE" w:rsidRPr="00DB6883">
        <w:t xml:space="preserve"> </w:t>
      </w:r>
      <w:r w:rsidRPr="00DB6883">
        <w:t>bringing it to the Meeting of the Parties</w:t>
      </w:r>
      <w:r w:rsidR="003E1FD5" w:rsidRPr="00DB6883">
        <w:t xml:space="preserve"> would</w:t>
      </w:r>
      <w:r w:rsidRPr="00DB6883">
        <w:t xml:space="preserve"> create a parallel </w:t>
      </w:r>
      <w:r w:rsidR="00A80B58" w:rsidRPr="00DB6883">
        <w:t>discussion,</w:t>
      </w:r>
      <w:r w:rsidRPr="00DB6883">
        <w:t xml:space="preserve"> and that the draft decision went beyond the scope of decision XXVIII/2, possibly indicating differ</w:t>
      </w:r>
      <w:r w:rsidR="00A80B58" w:rsidRPr="00DB6883">
        <w:t>ing</w:t>
      </w:r>
      <w:r w:rsidRPr="00DB6883">
        <w:t xml:space="preserve"> interpretations of the guidance in that decision. </w:t>
      </w:r>
    </w:p>
    <w:p w:rsidR="00463D15" w:rsidRPr="00DB6883" w:rsidRDefault="00463D15" w:rsidP="004E7D79">
      <w:pPr>
        <w:pStyle w:val="Normalnumber"/>
        <w:tabs>
          <w:tab w:val="clear" w:pos="567"/>
          <w:tab w:val="clear" w:pos="1247"/>
          <w:tab w:val="clear" w:pos="1814"/>
          <w:tab w:val="clear" w:pos="2381"/>
          <w:tab w:val="clear" w:pos="2948"/>
          <w:tab w:val="clear" w:pos="3515"/>
          <w:tab w:val="left" w:pos="624"/>
        </w:tabs>
      </w:pPr>
      <w:r w:rsidRPr="00DB6883">
        <w:t xml:space="preserve">Several representatives, including one speaking on behalf of a group of countries, advised a measured approach to how energy efficiency </w:t>
      </w:r>
      <w:r w:rsidR="00461050" w:rsidRPr="00DB6883">
        <w:t>could be</w:t>
      </w:r>
      <w:r w:rsidRPr="00DB6883">
        <w:t xml:space="preserve"> dealt with under the Montreal Protocol. The discussion should be viewed as </w:t>
      </w:r>
      <w:r w:rsidR="00232BBD" w:rsidRPr="00DB6883">
        <w:t>highly</w:t>
      </w:r>
      <w:r w:rsidRPr="00DB6883">
        <w:t xml:space="preserve"> preliminary and </w:t>
      </w:r>
      <w:r w:rsidR="00232BBD" w:rsidRPr="00DB6883">
        <w:t>begin</w:t>
      </w:r>
      <w:r w:rsidRPr="00DB6883">
        <w:t xml:space="preserve"> with </w:t>
      </w:r>
      <w:r w:rsidR="00232BBD" w:rsidRPr="00DB6883">
        <w:t xml:space="preserve">the gathering of </w:t>
      </w:r>
      <w:r w:rsidRPr="00DB6883">
        <w:t xml:space="preserve">information to ensure that the parties fully understood all the issues and were in a position to make informed decisions. In particular, it was important to have an overview of the other institutions working within the sphere of energy efficiency, such as the Global Environment Facility and the World Bank, including their activities, programmes and funding, </w:t>
      </w:r>
      <w:r w:rsidR="00232BBD" w:rsidRPr="00DB6883">
        <w:t>together with</w:t>
      </w:r>
      <w:r w:rsidRPr="00DB6883">
        <w:t xml:space="preserve"> the criteria and methodologies </w:t>
      </w:r>
      <w:r w:rsidR="00232BBD" w:rsidRPr="00DB6883">
        <w:t xml:space="preserve">that </w:t>
      </w:r>
      <w:r w:rsidRPr="00DB6883">
        <w:t>they provided for energy efficiency measures. In that regard, one representative pointed out that equipment energy efficiency was an isolated element of the broader issue of overall building</w:t>
      </w:r>
      <w:r w:rsidR="00232BBD" w:rsidRPr="00DB6883">
        <w:t>s</w:t>
      </w:r>
      <w:r w:rsidRPr="00DB6883">
        <w:t xml:space="preserve"> efficiency, which encompassed many factors that </w:t>
      </w:r>
      <w:r w:rsidR="00232BBD" w:rsidRPr="00DB6883">
        <w:t>fell outside the purview</w:t>
      </w:r>
      <w:r w:rsidRPr="00DB6883">
        <w:t xml:space="preserve"> of the Meeting of the Parties. Other proposed areas </w:t>
      </w:r>
      <w:r w:rsidR="00F740DA" w:rsidRPr="00DB6883">
        <w:t>in which</w:t>
      </w:r>
      <w:r w:rsidRPr="00DB6883">
        <w:t xml:space="preserve"> information </w:t>
      </w:r>
      <w:r w:rsidR="00021207" w:rsidRPr="004A0918">
        <w:t>could be gathered</w:t>
      </w:r>
      <w:r w:rsidRPr="00DB6883">
        <w:t xml:space="preserve">, </w:t>
      </w:r>
      <w:r w:rsidR="00021207" w:rsidRPr="00DB6883">
        <w:t>whether</w:t>
      </w:r>
      <w:r w:rsidRPr="00DB6883">
        <w:t xml:space="preserve"> through </w:t>
      </w:r>
      <w:r w:rsidR="003148F8" w:rsidRPr="00DB6883">
        <w:t xml:space="preserve">a </w:t>
      </w:r>
      <w:r w:rsidRPr="00DB6883">
        <w:t xml:space="preserve">workshop or the </w:t>
      </w:r>
      <w:r w:rsidR="003148F8" w:rsidRPr="00DB6883">
        <w:t>Technology and Economic Assessment Panel</w:t>
      </w:r>
      <w:r w:rsidRPr="00DB6883">
        <w:t>, were technolog</w:t>
      </w:r>
      <w:r w:rsidR="0088194E" w:rsidRPr="00DB6883">
        <w:t>y</w:t>
      </w:r>
      <w:r w:rsidRPr="00DB6883">
        <w:t xml:space="preserve"> and practices; potential environmental benefits; potential costs and savings; financing modalities; potential synergies that could support enhanced energy efficiency, including by </w:t>
      </w:r>
      <w:r w:rsidR="00216C2B" w:rsidRPr="00DB6883">
        <w:t>making the transition</w:t>
      </w:r>
      <w:r w:rsidRPr="00DB6883">
        <w:t xml:space="preserve"> to sustainable alternatives; energy efficiency aspects of installation and maintenance; and the historical energy efficiency benefits achieved through the support of the Multilateral Fund.</w:t>
      </w:r>
    </w:p>
    <w:p w:rsidR="00463D15" w:rsidRPr="00DB6883" w:rsidRDefault="00463D15" w:rsidP="004E7D79">
      <w:pPr>
        <w:pStyle w:val="Normalnumber"/>
        <w:tabs>
          <w:tab w:val="clear" w:pos="567"/>
          <w:tab w:val="clear" w:pos="1247"/>
          <w:tab w:val="clear" w:pos="1814"/>
          <w:tab w:val="clear" w:pos="2381"/>
          <w:tab w:val="clear" w:pos="2948"/>
          <w:tab w:val="clear" w:pos="3515"/>
          <w:tab w:val="left" w:pos="624"/>
        </w:tabs>
      </w:pPr>
      <w:r w:rsidRPr="00DB6883">
        <w:t xml:space="preserve">Responding to some </w:t>
      </w:r>
      <w:r w:rsidRPr="00BA2F2B">
        <w:t>of the concerns</w:t>
      </w:r>
      <w:r w:rsidRPr="00DB6883">
        <w:t xml:space="preserve"> raised during the discussion, </w:t>
      </w:r>
      <w:r w:rsidR="00177755" w:rsidRPr="00DB6883">
        <w:t>the representative of India, speaking as a</w:t>
      </w:r>
      <w:r w:rsidRPr="00DB6883">
        <w:t xml:space="preserve"> proponent of the draft decision</w:t>
      </w:r>
      <w:r w:rsidR="00177755" w:rsidRPr="00DB6883">
        <w:t>,</w:t>
      </w:r>
      <w:r w:rsidRPr="00DB6883">
        <w:t xml:space="preserve"> recalled that </w:t>
      </w:r>
      <w:r w:rsidR="00177755" w:rsidRPr="00DB6883">
        <w:t xml:space="preserve">in </w:t>
      </w:r>
      <w:r w:rsidRPr="00DB6883">
        <w:t xml:space="preserve">paragraph 22 of decision XXVIII/2 the Executive Committee </w:t>
      </w:r>
      <w:r w:rsidR="00177755" w:rsidRPr="00DB6883">
        <w:t xml:space="preserve">had been requested </w:t>
      </w:r>
      <w:r w:rsidRPr="00DB6883">
        <w:t>to develop cost guidance relat</w:t>
      </w:r>
      <w:r w:rsidR="00177755" w:rsidRPr="00DB6883">
        <w:t>ing</w:t>
      </w:r>
      <w:r w:rsidRPr="00DB6883">
        <w:t xml:space="preserve"> to energy efficiency. Addressing the lack of compliance obligations for energy efficiency, he </w:t>
      </w:r>
      <w:r w:rsidR="00177755" w:rsidRPr="00DB6883">
        <w:t xml:space="preserve">noted that the issue was </w:t>
      </w:r>
      <w:r w:rsidRPr="00DB6883">
        <w:t>global</w:t>
      </w:r>
      <w:r w:rsidR="00177755" w:rsidRPr="00DB6883">
        <w:t>-</w:t>
      </w:r>
      <w:r w:rsidRPr="00DB6883">
        <w:t>warming potential rather than ozone</w:t>
      </w:r>
      <w:r w:rsidR="00177755" w:rsidRPr="00DB6883">
        <w:t>-</w:t>
      </w:r>
      <w:r w:rsidRPr="00DB6883">
        <w:t xml:space="preserve">depleting potential, </w:t>
      </w:r>
      <w:r w:rsidR="00177755" w:rsidRPr="00DB6883">
        <w:t>urging the parties</w:t>
      </w:r>
      <w:r w:rsidRPr="00DB6883">
        <w:t xml:space="preserve"> not to be reluctant to create a new system for measuring baseline as a means of </w:t>
      </w:r>
      <w:r w:rsidR="00177755" w:rsidRPr="00DB6883">
        <w:t>making</w:t>
      </w:r>
      <w:r w:rsidRPr="00DB6883">
        <w:t xml:space="preserve"> paragraph 22 </w:t>
      </w:r>
      <w:r w:rsidR="00177755" w:rsidRPr="00DB6883">
        <w:t xml:space="preserve">of decision XXVIII/2 </w:t>
      </w:r>
      <w:r w:rsidRPr="00DB6883">
        <w:t>and decision XXVIII/3</w:t>
      </w:r>
      <w:r w:rsidR="00177755" w:rsidRPr="00DB6883">
        <w:t xml:space="preserve"> operational</w:t>
      </w:r>
      <w:r w:rsidRPr="00DB6883">
        <w:t xml:space="preserve">. With </w:t>
      </w:r>
      <w:r w:rsidR="00177755" w:rsidRPr="00DB6883">
        <w:t>regard</w:t>
      </w:r>
      <w:r w:rsidRPr="00DB6883">
        <w:t xml:space="preserve"> to the incidental nature of energy efficiency gains achieved during </w:t>
      </w:r>
      <w:r w:rsidR="00386E3D" w:rsidRPr="00DB6883">
        <w:t>the</w:t>
      </w:r>
      <w:r w:rsidRPr="00DB6883">
        <w:t xml:space="preserve"> phase-out</w:t>
      </w:r>
      <w:r w:rsidR="00386E3D" w:rsidRPr="00DB6883">
        <w:t xml:space="preserve"> of ozone-depleting substances</w:t>
      </w:r>
      <w:r w:rsidRPr="00DB6883">
        <w:t>, he said that reports clearly showed that equipment efficiency had a major impact in terms of global</w:t>
      </w:r>
      <w:r w:rsidR="007440FC" w:rsidRPr="00DB6883">
        <w:t>-</w:t>
      </w:r>
      <w:r w:rsidRPr="00DB6883">
        <w:t xml:space="preserve">warming potential. Furthermore, equipment energy efficiency received a stand-alone rating in his country and need not be considered </w:t>
      </w:r>
      <w:r w:rsidR="007440FC" w:rsidRPr="00DB6883">
        <w:t>to be</w:t>
      </w:r>
      <w:r w:rsidRPr="00DB6883">
        <w:t xml:space="preserve"> part of building energy efficiency. </w:t>
      </w:r>
    </w:p>
    <w:p w:rsidR="00BD2FC8" w:rsidRPr="00DB6883" w:rsidRDefault="00463D15" w:rsidP="004E7D79">
      <w:pPr>
        <w:pStyle w:val="Normalnumber"/>
        <w:tabs>
          <w:tab w:val="clear" w:pos="567"/>
          <w:tab w:val="clear" w:pos="1247"/>
          <w:tab w:val="clear" w:pos="1814"/>
          <w:tab w:val="clear" w:pos="2381"/>
          <w:tab w:val="clear" w:pos="2948"/>
          <w:tab w:val="clear" w:pos="3515"/>
          <w:tab w:val="left" w:pos="624"/>
        </w:tabs>
      </w:pPr>
      <w:r w:rsidRPr="00DB6883">
        <w:t>The parties agreed to establish a contact group on energy efficiency to consider the draft decision</w:t>
      </w:r>
      <w:r w:rsidR="004C4ECC" w:rsidRPr="00DB6883">
        <w:t xml:space="preserve">, to be chaired by </w:t>
      </w:r>
      <w:r w:rsidR="004F54D8" w:rsidRPr="00DB6883">
        <w:t>Patrick McInerney (Australia) and Leslie Smith (Grenada)</w:t>
      </w:r>
      <w:r w:rsidRPr="00DB6883">
        <w:t xml:space="preserve">. </w:t>
      </w:r>
    </w:p>
    <w:p w:rsidR="00463D15" w:rsidRPr="00DB6883" w:rsidRDefault="00463D15" w:rsidP="004E7D79">
      <w:pPr>
        <w:pStyle w:val="Normalnumber"/>
        <w:tabs>
          <w:tab w:val="clear" w:pos="567"/>
          <w:tab w:val="clear" w:pos="1247"/>
          <w:tab w:val="clear" w:pos="1814"/>
          <w:tab w:val="clear" w:pos="2381"/>
          <w:tab w:val="clear" w:pos="2948"/>
          <w:tab w:val="clear" w:pos="3515"/>
          <w:tab w:val="left" w:pos="624"/>
        </w:tabs>
      </w:pPr>
      <w:r w:rsidRPr="00DB6883">
        <w:t xml:space="preserve">Subsequently, the representative of </w:t>
      </w:r>
      <w:r w:rsidR="00BD2FC8" w:rsidRPr="00DB6883">
        <w:t xml:space="preserve">the Federated States of </w:t>
      </w:r>
      <w:r w:rsidRPr="00DB6883">
        <w:t>Micronesia</w:t>
      </w:r>
      <w:r w:rsidR="00535ED2" w:rsidRPr="00DB6883">
        <w:t>, also on behalf of Morocco,</w:t>
      </w:r>
      <w:r w:rsidRPr="00DB6883">
        <w:t xml:space="preserve"> introduced a </w:t>
      </w:r>
      <w:r w:rsidR="004B1652" w:rsidRPr="00DB6883">
        <w:t xml:space="preserve">draft decision on energy efficiency, set out in a </w:t>
      </w:r>
      <w:r w:rsidRPr="00DB6883">
        <w:t xml:space="preserve">conference room paper. The parties agreed to send that draft decision to the contact group on energy efficiency, on the understanding that it would be discussed separately from the draft decision </w:t>
      </w:r>
      <w:r w:rsidR="003C34F9" w:rsidRPr="00DB6883">
        <w:t xml:space="preserve">forwarded by the </w:t>
      </w:r>
      <w:r w:rsidR="00BD730B">
        <w:br/>
      </w:r>
      <w:r w:rsidR="003C34F9" w:rsidRPr="00DB6883">
        <w:t>Open-ended Working Group.</w:t>
      </w:r>
    </w:p>
    <w:p w:rsidR="00807791" w:rsidRPr="00DB6883" w:rsidRDefault="00807791" w:rsidP="004E7D79">
      <w:pPr>
        <w:pStyle w:val="Normalnumber"/>
        <w:tabs>
          <w:tab w:val="clear" w:pos="567"/>
          <w:tab w:val="clear" w:pos="1247"/>
          <w:tab w:val="clear" w:pos="1814"/>
          <w:tab w:val="clear" w:pos="2381"/>
          <w:tab w:val="clear" w:pos="2948"/>
          <w:tab w:val="clear" w:pos="3515"/>
          <w:tab w:val="left" w:pos="624"/>
        </w:tabs>
      </w:pPr>
      <w:r w:rsidRPr="00DB6883">
        <w:t xml:space="preserve">Subsequently, the </w:t>
      </w:r>
      <w:r w:rsidR="00511100">
        <w:t>c</w:t>
      </w:r>
      <w:r w:rsidRPr="00DB6883">
        <w:t>o-</w:t>
      </w:r>
      <w:r w:rsidR="00511100">
        <w:t>c</w:t>
      </w:r>
      <w:r w:rsidRPr="00DB6883">
        <w:t>hairs of the contact group introduced a draft decision, submitted by India, Bahrain, Kuwait, Lebanon, Saudi Arabia and the African Group,</w:t>
      </w:r>
      <w:r w:rsidR="00135253">
        <w:t xml:space="preserve"> </w:t>
      </w:r>
      <w:r w:rsidRPr="00DB6883">
        <w:t>contained in a conference room paper, based on the draft decision originally forwarded by the Open-ended Working Group.</w:t>
      </w:r>
    </w:p>
    <w:p w:rsidR="00807791" w:rsidRPr="00DB6883" w:rsidRDefault="00807791" w:rsidP="004E7D79">
      <w:pPr>
        <w:pStyle w:val="Normalnumber"/>
        <w:tabs>
          <w:tab w:val="clear" w:pos="567"/>
          <w:tab w:val="clear" w:pos="1247"/>
          <w:tab w:val="clear" w:pos="1814"/>
          <w:tab w:val="clear" w:pos="2381"/>
          <w:tab w:val="clear" w:pos="2948"/>
          <w:tab w:val="clear" w:pos="3515"/>
          <w:tab w:val="left" w:pos="624"/>
        </w:tabs>
      </w:pPr>
      <w:r w:rsidRPr="00DB6883">
        <w:t>The parties agreed to forward the draft decision, as orally amended, for consideration and adoption during the high</w:t>
      </w:r>
      <w:r w:rsidRPr="00DB6883">
        <w:noBreakHyphen/>
        <w:t>level segment.</w:t>
      </w:r>
    </w:p>
    <w:p w:rsidR="006A3E2C" w:rsidRPr="00E07AFA" w:rsidRDefault="006A3E2C" w:rsidP="004E7D79">
      <w:pPr>
        <w:pStyle w:val="Normalnumber"/>
        <w:tabs>
          <w:tab w:val="clear" w:pos="567"/>
          <w:tab w:val="clear" w:pos="1247"/>
          <w:tab w:val="clear" w:pos="1814"/>
          <w:tab w:val="clear" w:pos="2381"/>
          <w:tab w:val="clear" w:pos="2948"/>
          <w:tab w:val="clear" w:pos="3515"/>
          <w:tab w:val="left" w:pos="624"/>
        </w:tabs>
      </w:pPr>
      <w:r w:rsidRPr="00DB6883">
        <w:t xml:space="preserve">Subsequently, the </w:t>
      </w:r>
      <w:r w:rsidR="00511100">
        <w:t>c</w:t>
      </w:r>
      <w:r w:rsidRPr="00DB6883">
        <w:t>o-</w:t>
      </w:r>
      <w:r w:rsidR="00511100">
        <w:t>c</w:t>
      </w:r>
      <w:r w:rsidRPr="00DB6883">
        <w:t xml:space="preserve">hairs reported that the contact group had been unable to reach agreement on the draft decision submitted by the Federated States of Micronesia and Morocco. Several parties had stated, however, that it was important for the Technology and Economic Assessment Panel to include appropriate expertise on issues relating to energy efficiency. It was suggested that, as the parties considered the topic in more detail, gaps in their knowledge might appear, although the extent to which that was a matter of concern would become more evident after further discussion in 2018, including at the </w:t>
      </w:r>
      <w:r w:rsidRPr="00E07AFA">
        <w:t xml:space="preserve">proposed workshop on energy efficiency. </w:t>
      </w:r>
    </w:p>
    <w:p w:rsidR="006A3E2C" w:rsidRPr="00E07AFA" w:rsidRDefault="006A3E2C" w:rsidP="004E7D79">
      <w:pPr>
        <w:pStyle w:val="Normalnumber"/>
        <w:tabs>
          <w:tab w:val="clear" w:pos="567"/>
          <w:tab w:val="clear" w:pos="1247"/>
          <w:tab w:val="clear" w:pos="1814"/>
          <w:tab w:val="clear" w:pos="2381"/>
          <w:tab w:val="clear" w:pos="2948"/>
          <w:tab w:val="clear" w:pos="3515"/>
          <w:tab w:val="left" w:pos="624"/>
        </w:tabs>
      </w:pPr>
      <w:r w:rsidRPr="00E07AFA">
        <w:t>The parties agreed that the issue should be returned to in the course of their discussions in 2018.</w:t>
      </w:r>
    </w:p>
    <w:p w:rsidR="004B04D7" w:rsidRPr="00DB6883" w:rsidRDefault="007D76E0" w:rsidP="009E7709">
      <w:pPr>
        <w:pStyle w:val="CH2"/>
      </w:pPr>
      <w:r w:rsidRPr="00DB6883">
        <w:lastRenderedPageBreak/>
        <w:tab/>
        <w:t>H.</w:t>
      </w:r>
      <w:r w:rsidRPr="00DB6883">
        <w:tab/>
      </w:r>
      <w:r w:rsidR="004B04D7" w:rsidRPr="00DB6883">
        <w:t>Safety standards relevant to low-global-warming-potential alternatives</w:t>
      </w:r>
    </w:p>
    <w:p w:rsidR="000C73CD" w:rsidRPr="00DB6883" w:rsidRDefault="000C73CD" w:rsidP="004E7D79">
      <w:pPr>
        <w:pStyle w:val="Normalnumber"/>
        <w:tabs>
          <w:tab w:val="clear" w:pos="567"/>
          <w:tab w:val="clear" w:pos="1247"/>
          <w:tab w:val="clear" w:pos="1814"/>
          <w:tab w:val="clear" w:pos="2381"/>
          <w:tab w:val="clear" w:pos="2948"/>
          <w:tab w:val="clear" w:pos="3515"/>
          <w:tab w:val="left" w:pos="624"/>
        </w:tabs>
      </w:pPr>
      <w:r w:rsidRPr="00DB6883">
        <w:t xml:space="preserve">The Co-Chair recalled that, at its thirty-ninth meeting, the Open-ended Working Group had discussed safety standards relevant to low-global-warming-potential alternatives on the basis of a workshop held immediately before the meeting and the report by the Technology and Economic Assessment Panel on safety standards that had been requested in decision XXVIII/4. </w:t>
      </w:r>
    </w:p>
    <w:p w:rsidR="000C73CD" w:rsidRPr="00DB6883" w:rsidRDefault="000C73CD" w:rsidP="004E7D79">
      <w:pPr>
        <w:pStyle w:val="Normalnumber"/>
        <w:tabs>
          <w:tab w:val="clear" w:pos="567"/>
          <w:tab w:val="clear" w:pos="1247"/>
          <w:tab w:val="clear" w:pos="1814"/>
          <w:tab w:val="clear" w:pos="2381"/>
          <w:tab w:val="clear" w:pos="2948"/>
          <w:tab w:val="clear" w:pos="3515"/>
          <w:tab w:val="left" w:pos="624"/>
        </w:tabs>
      </w:pPr>
      <w:r w:rsidRPr="00DB6883">
        <w:t>The representatives of China and the European Union introduced a draft decision, set out in a conference room paper, based on a number of the ideas raised at the workshop and at the meeting of the Open-ended Working Group. It was proposed therein that the Technology and Economic Assessment Panel, in consultation with the relevant task force, should provide a tabular overview of the safety standards relevant to the safe use of low-global-warming-potential alternatives in refrigeration, air-conditioning and heat-pump equipment, and liaise with standards organizations to keep the overview up to date. It was also proposed that parties should submit to the Secretariat information on their national safety standards relevant to the use of low-global-warming-potential flammable refrigerants, updating that information as necessary. All the aforementioned information should be made available by the Secretariat on its website.</w:t>
      </w:r>
    </w:p>
    <w:p w:rsidR="000C73CD" w:rsidRPr="00DB6883" w:rsidRDefault="000C73CD" w:rsidP="004E7D79">
      <w:pPr>
        <w:pStyle w:val="Normalnumber"/>
        <w:tabs>
          <w:tab w:val="clear" w:pos="567"/>
          <w:tab w:val="clear" w:pos="1247"/>
          <w:tab w:val="clear" w:pos="1814"/>
          <w:tab w:val="clear" w:pos="2381"/>
          <w:tab w:val="clear" w:pos="2948"/>
          <w:tab w:val="clear" w:pos="3515"/>
          <w:tab w:val="left" w:pos="624"/>
        </w:tabs>
      </w:pPr>
      <w:r w:rsidRPr="00DB6883">
        <w:t>Several representatives raised concerns with regard to ensuring that new safety standards should be at least as good as, and preferably better than, the standards that they replaced; liability and responsibility for the consequences if safety standards should prove inadequate; the increased safety risks in countries with high ambient temperatures; the lack of mention of specific aspects of safety, such as flammability, high-pressurization and toxicity; the narrow scope of the text in relation to the wealth of issues discussed at the workshop and by the Open-ended Working Group; the risk that giving the Panel a continuing task would lead to a cumulative drain on the Panel and that time-bound tasks were preferable; the utility of gathering information on national-level standard-setting; whether the Secretariat, rather than the Panel, should liaise with standards bodies, to accord with paragraph 7 of decision XXVIII/4 and also to enable the Panel to concentrate on its core mandate as an advisory body; and the importance of national capacity-building to make technicians aware and capable of adhering to relevant safety standards.</w:t>
      </w:r>
    </w:p>
    <w:p w:rsidR="000C73CD" w:rsidRPr="00DB6883" w:rsidRDefault="000C73CD" w:rsidP="004E7D79">
      <w:pPr>
        <w:pStyle w:val="Normalnumber"/>
        <w:tabs>
          <w:tab w:val="clear" w:pos="567"/>
          <w:tab w:val="clear" w:pos="1247"/>
          <w:tab w:val="clear" w:pos="1814"/>
          <w:tab w:val="clear" w:pos="2381"/>
          <w:tab w:val="clear" w:pos="2948"/>
          <w:tab w:val="clear" w:pos="3515"/>
          <w:tab w:val="left" w:pos="624"/>
        </w:tabs>
      </w:pPr>
      <w:r w:rsidRPr="00DB6883">
        <w:t xml:space="preserve">Several representatives, one speaking on behalf of a group of countries, recalled that it was not the responsibility of the Meeting of the Parties to set safety standards. The same representative speaking on behalf of a group of countries said that it was important for the bodies that had that role to be properly informed so that Montreal Protocol policies were reflected in their work. Another representative recalled that adherence to internationally set standards was voluntary, and a national concern, and </w:t>
      </w:r>
      <w:proofErr w:type="gramStart"/>
      <w:r w:rsidRPr="00DB6883">
        <w:t>that countries</w:t>
      </w:r>
      <w:proofErr w:type="gramEnd"/>
      <w:r w:rsidRPr="00DB6883">
        <w:t xml:space="preserve"> were entirely at liberty to make their standards even more stringent than those proposed.</w:t>
      </w:r>
    </w:p>
    <w:p w:rsidR="000C73CD" w:rsidRPr="00DB6883" w:rsidRDefault="000C73CD" w:rsidP="004E7D79">
      <w:pPr>
        <w:pStyle w:val="Normalnumber"/>
        <w:tabs>
          <w:tab w:val="clear" w:pos="567"/>
          <w:tab w:val="clear" w:pos="1247"/>
          <w:tab w:val="clear" w:pos="1814"/>
          <w:tab w:val="clear" w:pos="2381"/>
          <w:tab w:val="clear" w:pos="2948"/>
          <w:tab w:val="clear" w:pos="3515"/>
          <w:tab w:val="left" w:pos="624"/>
        </w:tabs>
      </w:pPr>
      <w:r w:rsidRPr="00DB6883">
        <w:t>The parties agreed to establish an informal group of interested parties to further discuss the matter of safety standards relevant to low-global-warming-potential alternatives, with a view to producing a revised draft decision.</w:t>
      </w:r>
    </w:p>
    <w:p w:rsidR="00887B76" w:rsidRPr="00DB6883" w:rsidRDefault="00887B76" w:rsidP="004E7D79">
      <w:pPr>
        <w:pStyle w:val="Normalnumber"/>
        <w:tabs>
          <w:tab w:val="clear" w:pos="567"/>
          <w:tab w:val="clear" w:pos="1247"/>
          <w:tab w:val="clear" w:pos="1814"/>
          <w:tab w:val="clear" w:pos="2381"/>
          <w:tab w:val="clear" w:pos="2948"/>
          <w:tab w:val="clear" w:pos="3515"/>
          <w:tab w:val="left" w:pos="624"/>
        </w:tabs>
      </w:pPr>
      <w:r w:rsidRPr="00DB6883">
        <w:t>Subsequently, the representative of the European Union, speaking also on behalf of China, introduce</w:t>
      </w:r>
      <w:r w:rsidR="00625AD7" w:rsidRPr="00DB6883">
        <w:t>d</w:t>
      </w:r>
      <w:r w:rsidRPr="00DB6883">
        <w:t xml:space="preserve"> a revised draft decision, as set out in a conference room paper.</w:t>
      </w:r>
    </w:p>
    <w:p w:rsidR="00887B76" w:rsidRPr="00DB6883" w:rsidRDefault="00887B76" w:rsidP="004E7D79">
      <w:pPr>
        <w:pStyle w:val="Normalnumber"/>
        <w:tabs>
          <w:tab w:val="clear" w:pos="567"/>
          <w:tab w:val="clear" w:pos="1247"/>
          <w:tab w:val="clear" w:pos="1814"/>
          <w:tab w:val="clear" w:pos="2381"/>
          <w:tab w:val="clear" w:pos="2948"/>
          <w:tab w:val="clear" w:pos="3515"/>
          <w:tab w:val="left" w:pos="624"/>
        </w:tabs>
      </w:pPr>
      <w:r w:rsidRPr="00DB6883">
        <w:t>The parties agreed to forward the draft decision for consideration and adoption during the high</w:t>
      </w:r>
      <w:r w:rsidRPr="00DB6883">
        <w:noBreakHyphen/>
        <w:t>level segment</w:t>
      </w:r>
      <w:r w:rsidR="00985BC9" w:rsidRPr="00DB6883">
        <w:t>.</w:t>
      </w:r>
    </w:p>
    <w:p w:rsidR="004B04D7" w:rsidRPr="00DB6883" w:rsidRDefault="007D76E0" w:rsidP="00EC2399">
      <w:pPr>
        <w:pStyle w:val="CH2"/>
      </w:pPr>
      <w:r w:rsidRPr="00DB6883">
        <w:tab/>
        <w:t>I.</w:t>
      </w:r>
      <w:r w:rsidRPr="00DB6883">
        <w:tab/>
      </w:r>
      <w:r w:rsidR="004B04D7" w:rsidRPr="00DB6883">
        <w:t>Consideration of hydrofluorocarbons not listed in Annex F to the Montreal Protocol</w:t>
      </w:r>
    </w:p>
    <w:p w:rsidR="000C73CD" w:rsidRPr="00DB6883" w:rsidRDefault="000C73CD" w:rsidP="004E7D79">
      <w:pPr>
        <w:pStyle w:val="Normalnumber"/>
        <w:tabs>
          <w:tab w:val="clear" w:pos="567"/>
          <w:tab w:val="clear" w:pos="1247"/>
          <w:tab w:val="clear" w:pos="1814"/>
          <w:tab w:val="clear" w:pos="2381"/>
          <w:tab w:val="clear" w:pos="2948"/>
          <w:tab w:val="clear" w:pos="3515"/>
          <w:tab w:val="left" w:pos="624"/>
        </w:tabs>
      </w:pPr>
      <w:r w:rsidRPr="00DB6883">
        <w:t>The Co-Chair recalled that, at its thirty-</w:t>
      </w:r>
      <w:r w:rsidRPr="00AC5736">
        <w:t>ninth meeting</w:t>
      </w:r>
      <w:r w:rsidRPr="00DB6883">
        <w:t>, the Open-ended Working Group had considered a draft decision by Norway and Switzerland that had been submitted to the Twenty-Eighth Meeting of the Parties, in 2016, but had been withdrawn owing to time constraints.</w:t>
      </w:r>
    </w:p>
    <w:p w:rsidR="000C73CD" w:rsidRPr="00DB6883" w:rsidRDefault="000C73CD" w:rsidP="004E7D79">
      <w:pPr>
        <w:pStyle w:val="Normalnumber"/>
        <w:tabs>
          <w:tab w:val="clear" w:pos="567"/>
          <w:tab w:val="clear" w:pos="1247"/>
          <w:tab w:val="clear" w:pos="1814"/>
          <w:tab w:val="clear" w:pos="2381"/>
          <w:tab w:val="clear" w:pos="2948"/>
          <w:tab w:val="clear" w:pos="3515"/>
          <w:tab w:val="left" w:pos="624"/>
        </w:tabs>
      </w:pPr>
      <w:r w:rsidRPr="00DB6883">
        <w:t xml:space="preserve">The representative of Switzerland, on behalf of the proponents, introduced the draft decision, set out in a conference room paper, which had been revised intersessionally. It was proposed therein that the assessment panels regularly provide information on the consumption and production of HFCs, and potentially other fluorinated substances, not listed in Annex F to the </w:t>
      </w:r>
      <w:r w:rsidR="000F23F3" w:rsidRPr="00DB6883">
        <w:t xml:space="preserve">Montreal </w:t>
      </w:r>
      <w:r w:rsidRPr="00DB6883">
        <w:t>Protocol</w:t>
      </w:r>
      <w:r w:rsidR="00D65ACF">
        <w:t>,</w:t>
      </w:r>
      <w:r w:rsidRPr="00DB6883">
        <w:t xml:space="preserve"> that had global-warming potential in the range of those listed in Annex F. </w:t>
      </w:r>
    </w:p>
    <w:p w:rsidR="000C73CD" w:rsidRPr="00DB6883" w:rsidRDefault="000C73CD" w:rsidP="004E7D79">
      <w:pPr>
        <w:pStyle w:val="Normalnumber"/>
        <w:tabs>
          <w:tab w:val="clear" w:pos="567"/>
          <w:tab w:val="clear" w:pos="1247"/>
          <w:tab w:val="clear" w:pos="1814"/>
          <w:tab w:val="clear" w:pos="2381"/>
          <w:tab w:val="clear" w:pos="2948"/>
          <w:tab w:val="clear" w:pos="3515"/>
          <w:tab w:val="left" w:pos="624"/>
        </w:tabs>
      </w:pPr>
      <w:r w:rsidRPr="00DB6883">
        <w:t xml:space="preserve">One representative expressed concern that the proposal was a tacit attempt to reopen negotiations on the Kigali Amendment. Others disagreed, however, voicing support for the regular provision of reporting on the matter to the parties so that they might be informed. </w:t>
      </w:r>
    </w:p>
    <w:p w:rsidR="000C73CD" w:rsidRPr="00DB6883" w:rsidRDefault="000C73CD" w:rsidP="004E7D79">
      <w:pPr>
        <w:pStyle w:val="Normalnumber"/>
        <w:tabs>
          <w:tab w:val="clear" w:pos="567"/>
          <w:tab w:val="clear" w:pos="1247"/>
          <w:tab w:val="clear" w:pos="1814"/>
          <w:tab w:val="clear" w:pos="2381"/>
          <w:tab w:val="clear" w:pos="2948"/>
          <w:tab w:val="clear" w:pos="3515"/>
          <w:tab w:val="left" w:pos="624"/>
        </w:tabs>
      </w:pPr>
      <w:r w:rsidRPr="00DB6883">
        <w:t xml:space="preserve">Concern was expressed by several representatives that a number of the paragraphs prejudged policy matters or future action by parties. They proposed that the decision should be somewhat </w:t>
      </w:r>
      <w:r w:rsidRPr="00DB6883">
        <w:lastRenderedPageBreak/>
        <w:t>simplified to pertain only to the provision of information on trends. Similarly, they said, some of the additional preambular text raised concerns.</w:t>
      </w:r>
    </w:p>
    <w:p w:rsidR="000C73CD" w:rsidRPr="00DB6883" w:rsidRDefault="000C73CD" w:rsidP="004E7D79">
      <w:pPr>
        <w:pStyle w:val="Normalnumber"/>
        <w:tabs>
          <w:tab w:val="clear" w:pos="567"/>
          <w:tab w:val="clear" w:pos="1247"/>
          <w:tab w:val="clear" w:pos="1814"/>
          <w:tab w:val="clear" w:pos="2381"/>
          <w:tab w:val="clear" w:pos="2948"/>
          <w:tab w:val="clear" w:pos="3515"/>
          <w:tab w:val="left" w:pos="624"/>
        </w:tabs>
      </w:pPr>
      <w:r w:rsidRPr="00DB6883">
        <w:t>Two representatives said that they were not in favour of extending the scope from HFCs to all fluorinated substances. They expressed support for the provision of the information through the quadrennial report</w:t>
      </w:r>
      <w:r w:rsidR="00240FEE" w:rsidRPr="00DB6883">
        <w:t xml:space="preserve"> of the Scientific Assessment Panel</w:t>
      </w:r>
      <w:r w:rsidRPr="00DB6883">
        <w:t>, whereas another representative, speaking on behalf of a group of countries, asked for the information to be updated as often as possible. Another representative warned of distracting the assessment panels from their task of supporting the parties in implementing the Kigali Amendment if they were requested to undertake work relating to substances other than those required for compliance purposes.</w:t>
      </w:r>
    </w:p>
    <w:p w:rsidR="000C73CD" w:rsidRPr="00DB6883" w:rsidRDefault="000C73CD" w:rsidP="004E7D79">
      <w:pPr>
        <w:pStyle w:val="Normalnumber"/>
        <w:tabs>
          <w:tab w:val="clear" w:pos="567"/>
          <w:tab w:val="clear" w:pos="1247"/>
          <w:tab w:val="clear" w:pos="1814"/>
          <w:tab w:val="clear" w:pos="2381"/>
          <w:tab w:val="clear" w:pos="2948"/>
          <w:tab w:val="clear" w:pos="3515"/>
          <w:tab w:val="left" w:pos="624"/>
        </w:tabs>
      </w:pPr>
      <w:r w:rsidRPr="00DB6883">
        <w:t xml:space="preserve">The representative of Switzerland explained that it was not the proponents’ objective to reopen discussions on the content of the Kigali Amendment, but to be able to raise awareness among any industry taking up the substances in question of the lack of future sustainability of such substances. </w:t>
      </w:r>
    </w:p>
    <w:p w:rsidR="000C73CD" w:rsidRPr="00DB6883" w:rsidRDefault="000C73CD" w:rsidP="004E7D79">
      <w:pPr>
        <w:pStyle w:val="Normalnumber"/>
        <w:tabs>
          <w:tab w:val="clear" w:pos="567"/>
          <w:tab w:val="clear" w:pos="1247"/>
          <w:tab w:val="clear" w:pos="1814"/>
          <w:tab w:val="clear" w:pos="2381"/>
          <w:tab w:val="clear" w:pos="2948"/>
          <w:tab w:val="clear" w:pos="3515"/>
          <w:tab w:val="left" w:pos="624"/>
        </w:tabs>
      </w:pPr>
      <w:r w:rsidRPr="00DB6883">
        <w:t xml:space="preserve">The parties agreed to establish an informal group of interested parties to discuss the proposal further, with the representatives of Norway and Switzerland initially to hold informal discussions with interested parties </w:t>
      </w:r>
      <w:r w:rsidR="00CB51C6">
        <w:t>i</w:t>
      </w:r>
      <w:r w:rsidRPr="00DB6883">
        <w:t>n the margins</w:t>
      </w:r>
      <w:r w:rsidR="00CB51C6">
        <w:t xml:space="preserve"> of the meeting</w:t>
      </w:r>
      <w:r w:rsidRPr="00DB6883">
        <w:t>.</w:t>
      </w:r>
    </w:p>
    <w:p w:rsidR="00807791" w:rsidRPr="00DB6883" w:rsidRDefault="00807791" w:rsidP="004E7D79">
      <w:pPr>
        <w:pStyle w:val="Normalnumber"/>
        <w:tabs>
          <w:tab w:val="clear" w:pos="567"/>
          <w:tab w:val="clear" w:pos="1247"/>
          <w:tab w:val="clear" w:pos="1814"/>
          <w:tab w:val="clear" w:pos="2381"/>
          <w:tab w:val="clear" w:pos="2948"/>
          <w:tab w:val="clear" w:pos="3515"/>
          <w:tab w:val="left" w:pos="624"/>
        </w:tabs>
      </w:pPr>
      <w:r w:rsidRPr="00DB6883">
        <w:t>Subsequently, the representative of Switzerland, on behalf of the informal group of interested parties, introduced a revised draft decision, as set out in a conference room paper. Were the decision to be adopted, the assessment panels would be requested to provide in their quadrennial reports to be submitted to the Thirty-Fifth Meeting of the Parties, in 2023, and every four years thereafter, information on the consumption and production of HFCs not listed in Annex F to the Protocol that had global-warming-potential values no less than the lowest global-warming-potential value of the HFCs listed in Annex F.</w:t>
      </w:r>
    </w:p>
    <w:p w:rsidR="00807791" w:rsidRPr="00DB6883" w:rsidRDefault="00807791" w:rsidP="004E7D79">
      <w:pPr>
        <w:pStyle w:val="Normalnumber"/>
        <w:tabs>
          <w:tab w:val="clear" w:pos="567"/>
          <w:tab w:val="clear" w:pos="1247"/>
          <w:tab w:val="clear" w:pos="1814"/>
          <w:tab w:val="clear" w:pos="2381"/>
          <w:tab w:val="clear" w:pos="2948"/>
          <w:tab w:val="clear" w:pos="3515"/>
          <w:tab w:val="left" w:pos="624"/>
        </w:tabs>
      </w:pPr>
      <w:r w:rsidRPr="00DB6883">
        <w:t>The parties agreed to forward the draft decision for consideration and adoption during the high</w:t>
      </w:r>
      <w:r w:rsidRPr="00DB6883">
        <w:noBreakHyphen/>
        <w:t>level segment.</w:t>
      </w:r>
    </w:p>
    <w:p w:rsidR="004B04D7" w:rsidRPr="00DB6883" w:rsidRDefault="007D76E0" w:rsidP="00EC2399">
      <w:pPr>
        <w:pStyle w:val="CH2"/>
      </w:pPr>
      <w:r w:rsidRPr="00DB6883">
        <w:tab/>
        <w:t>J.</w:t>
      </w:r>
      <w:r w:rsidRPr="00DB6883">
        <w:tab/>
      </w:r>
      <w:r w:rsidR="004B04D7" w:rsidRPr="00DB6883">
        <w:t xml:space="preserve">Nomination and appointment of </w:t>
      </w:r>
      <w:r w:rsidR="00511100">
        <w:t>c</w:t>
      </w:r>
      <w:r w:rsidR="008F5C73" w:rsidRPr="00DB6883">
        <w:t>o</w:t>
      </w:r>
      <w:r w:rsidR="004B04D7" w:rsidRPr="00DB6883">
        <w:t>-</w:t>
      </w:r>
      <w:r w:rsidR="00511100">
        <w:t>c</w:t>
      </w:r>
      <w:r w:rsidR="004B04D7" w:rsidRPr="00DB6883">
        <w:t>hairs and members of the Technology and Economic Assessment Panel and its technical options committees</w:t>
      </w:r>
    </w:p>
    <w:p w:rsidR="000C73CD" w:rsidRPr="00DB6883" w:rsidRDefault="000C73CD" w:rsidP="004E7D79">
      <w:pPr>
        <w:pStyle w:val="Normalnumber"/>
        <w:tabs>
          <w:tab w:val="clear" w:pos="567"/>
          <w:tab w:val="clear" w:pos="1247"/>
          <w:tab w:val="clear" w:pos="1814"/>
          <w:tab w:val="clear" w:pos="2381"/>
          <w:tab w:val="clear" w:pos="2948"/>
          <w:tab w:val="clear" w:pos="3515"/>
          <w:tab w:val="left" w:pos="624"/>
        </w:tabs>
      </w:pPr>
      <w:r w:rsidRPr="00DB6883">
        <w:t xml:space="preserve">The Co-Chair recalled that the Secretariat had thus far received five nominations: Sergey Kopylov, to continue to co-chair the Halons Technical Options Committee for four years; Marta Pizano, to continue to co-chair the Methyl Bromide Technical Options Committee for four years; Mohamed Besri, currently the </w:t>
      </w:r>
      <w:r w:rsidR="008F5C73">
        <w:t>C</w:t>
      </w:r>
      <w:r w:rsidRPr="00DB6883">
        <w:t>o-</w:t>
      </w:r>
      <w:r w:rsidR="008F5C73">
        <w:t>C</w:t>
      </w:r>
      <w:r w:rsidRPr="00DB6883">
        <w:t xml:space="preserve">hair of the Methyl Bromide Technical Options Committee, to serve as senior expert on the Technology and Economic Assessment Panel for two years; Marco González, to serve as senior expert on the Panel for two years; and </w:t>
      </w:r>
      <w:r w:rsidR="00C773FB" w:rsidRPr="00DB6883">
        <w:t xml:space="preserve">Shiqiu </w:t>
      </w:r>
      <w:r w:rsidRPr="00DB6883">
        <w:t>Zhang, to serve as senior expert on the Panel for four years.</w:t>
      </w:r>
    </w:p>
    <w:p w:rsidR="000C73CD" w:rsidRPr="00DB6883" w:rsidRDefault="000C73CD" w:rsidP="004E7D79">
      <w:pPr>
        <w:pStyle w:val="Normalnumber"/>
        <w:tabs>
          <w:tab w:val="clear" w:pos="567"/>
          <w:tab w:val="clear" w:pos="1247"/>
          <w:tab w:val="clear" w:pos="1814"/>
          <w:tab w:val="clear" w:pos="2381"/>
          <w:tab w:val="clear" w:pos="2948"/>
          <w:tab w:val="clear" w:pos="3515"/>
          <w:tab w:val="left" w:pos="624"/>
        </w:tabs>
      </w:pPr>
      <w:r w:rsidRPr="00DB6883">
        <w:t>A number of representatives suggested that there was a need to further consider the future work and membership of the Refrigeration, Air-Conditioning and Heat Pumps Technical Options Committee, given the many activities that would be necessary around the phase-out of HCFCs and the new commitments under the Kigali Amendment.</w:t>
      </w:r>
    </w:p>
    <w:p w:rsidR="006A3E2C" w:rsidRPr="00DB6883" w:rsidRDefault="006A3E2C" w:rsidP="004E7D79">
      <w:pPr>
        <w:pStyle w:val="Normalnumber"/>
        <w:tabs>
          <w:tab w:val="clear" w:pos="567"/>
          <w:tab w:val="clear" w:pos="1247"/>
          <w:tab w:val="clear" w:pos="1814"/>
          <w:tab w:val="clear" w:pos="2381"/>
          <w:tab w:val="clear" w:pos="2948"/>
          <w:tab w:val="clear" w:pos="3515"/>
          <w:tab w:val="left" w:pos="624"/>
        </w:tabs>
      </w:pPr>
      <w:r w:rsidRPr="00DB6883">
        <w:t xml:space="preserve">Subsequently, the representative of the United States, after conducting consultations with interested parties, introduced a draft decision, as set out in a conference room paper. If the decision were to be adopted, the parties, in addition to appointing a number of </w:t>
      </w:r>
      <w:r w:rsidR="00511100">
        <w:t>c</w:t>
      </w:r>
      <w:r w:rsidRPr="00DB6883">
        <w:t>o-</w:t>
      </w:r>
      <w:r w:rsidR="00511100">
        <w:t>c</w:t>
      </w:r>
      <w:r w:rsidRPr="00DB6883">
        <w:t>hairs and members of the Technology and Economic Assessment Panel and its technical options committees, would encourage consultations on potential nominations of senior experts and suggest that reference be made to the matrix of expertise needed before making nominations for appointments of senior experts. The parties would also request the Secretariat to add to the agenda for the fortieth meeting of the Open-ended Working Group consideration of senior expert nominations from parties.</w:t>
      </w:r>
    </w:p>
    <w:p w:rsidR="006A3E2C" w:rsidRPr="00DB6883" w:rsidRDefault="006A3E2C" w:rsidP="004E7D79">
      <w:pPr>
        <w:pStyle w:val="Normalnumber"/>
        <w:tabs>
          <w:tab w:val="clear" w:pos="567"/>
          <w:tab w:val="clear" w:pos="1247"/>
          <w:tab w:val="clear" w:pos="1814"/>
          <w:tab w:val="clear" w:pos="2381"/>
          <w:tab w:val="clear" w:pos="2948"/>
          <w:tab w:val="clear" w:pos="3515"/>
          <w:tab w:val="left" w:pos="624"/>
        </w:tabs>
      </w:pPr>
      <w:r w:rsidRPr="00DB6883">
        <w:t>The parties agreed to forward the draft decision for consideration and adoption during the high</w:t>
      </w:r>
      <w:r w:rsidRPr="00DB6883">
        <w:noBreakHyphen/>
        <w:t>level segment.</w:t>
      </w:r>
    </w:p>
    <w:p w:rsidR="004B04D7" w:rsidRPr="00DB6883" w:rsidRDefault="007D76E0" w:rsidP="00CD35BB">
      <w:pPr>
        <w:pStyle w:val="CH2"/>
        <w:keepNext w:val="0"/>
        <w:keepLines w:val="0"/>
        <w:tabs>
          <w:tab w:val="left" w:pos="624"/>
          <w:tab w:val="left" w:pos="1871"/>
          <w:tab w:val="left" w:pos="2495"/>
          <w:tab w:val="left" w:pos="3119"/>
        </w:tabs>
      </w:pPr>
      <w:r w:rsidRPr="00DB6883">
        <w:tab/>
        <w:t>K.</w:t>
      </w:r>
      <w:r w:rsidRPr="00DB6883">
        <w:tab/>
      </w:r>
      <w:r w:rsidR="004B04D7" w:rsidRPr="00DB6883">
        <w:t>Consideration of the membership of Mon</w:t>
      </w:r>
      <w:r w:rsidRPr="00DB6883">
        <w:t>treal Protocol bodies for 2018</w:t>
      </w:r>
    </w:p>
    <w:p w:rsidR="000C73CD" w:rsidRPr="00DB6883" w:rsidRDefault="000C73CD" w:rsidP="00CD35BB">
      <w:pPr>
        <w:pStyle w:val="Normalnumber"/>
        <w:tabs>
          <w:tab w:val="clear" w:pos="567"/>
          <w:tab w:val="clear" w:pos="1247"/>
          <w:tab w:val="clear" w:pos="1814"/>
          <w:tab w:val="clear" w:pos="2381"/>
          <w:tab w:val="clear" w:pos="2948"/>
          <w:tab w:val="clear" w:pos="3515"/>
          <w:tab w:val="left" w:pos="624"/>
        </w:tabs>
      </w:pPr>
      <w:r w:rsidRPr="00DB6883">
        <w:t xml:space="preserve">The Co-Chair requested regional groups to submit nominations to the Secretariat for positions in various bodies under the Montreal Protocol for 2018, including the Implementation Committee, the Executive Committee of the Multilateral Fund and the </w:t>
      </w:r>
      <w:r w:rsidR="00511100">
        <w:t>c</w:t>
      </w:r>
      <w:r w:rsidRPr="00DB6883">
        <w:t>o-</w:t>
      </w:r>
      <w:r w:rsidR="00511100">
        <w:t>c</w:t>
      </w:r>
      <w:r w:rsidRPr="00DB6883">
        <w:t>hairs of the Open-ended Working Group.</w:t>
      </w:r>
    </w:p>
    <w:p w:rsidR="00807791" w:rsidRPr="00DB6883" w:rsidRDefault="00807791" w:rsidP="004E7D79">
      <w:pPr>
        <w:pStyle w:val="Normalnumber"/>
        <w:tabs>
          <w:tab w:val="clear" w:pos="567"/>
          <w:tab w:val="clear" w:pos="1247"/>
          <w:tab w:val="clear" w:pos="1814"/>
          <w:tab w:val="clear" w:pos="2381"/>
          <w:tab w:val="clear" w:pos="2948"/>
          <w:tab w:val="clear" w:pos="3515"/>
          <w:tab w:val="left" w:pos="624"/>
        </w:tabs>
      </w:pPr>
      <w:r w:rsidRPr="00DB6883">
        <w:t>Subsequently, the representative of the Secretariat reported that</w:t>
      </w:r>
      <w:r w:rsidR="00A110C8" w:rsidRPr="00DB6883">
        <w:t>, upon</w:t>
      </w:r>
      <w:r w:rsidRPr="00DB6883">
        <w:t xml:space="preserve"> the </w:t>
      </w:r>
      <w:r w:rsidR="00A110C8" w:rsidRPr="00DB6883">
        <w:t xml:space="preserve">receipt of the </w:t>
      </w:r>
      <w:r w:rsidRPr="00DB6883">
        <w:t>names of the nominees</w:t>
      </w:r>
      <w:r w:rsidR="00A110C8" w:rsidRPr="00DB6883">
        <w:t>,</w:t>
      </w:r>
      <w:r w:rsidRPr="00DB6883">
        <w:t xml:space="preserve"> the relevant draft decisions had been included in the compilation of decisions for the parties’ consideration and adoption during the high-level segment</w:t>
      </w:r>
      <w:r w:rsidR="003707F1" w:rsidRPr="00DB6883">
        <w:t>.</w:t>
      </w:r>
    </w:p>
    <w:p w:rsidR="004B04D7" w:rsidRPr="00DB6883" w:rsidRDefault="007D76E0" w:rsidP="007D76E0">
      <w:pPr>
        <w:pStyle w:val="CH2"/>
        <w:keepNext w:val="0"/>
        <w:keepLines w:val="0"/>
        <w:tabs>
          <w:tab w:val="left" w:pos="624"/>
          <w:tab w:val="left" w:pos="1871"/>
          <w:tab w:val="left" w:pos="2495"/>
          <w:tab w:val="left" w:pos="3119"/>
        </w:tabs>
      </w:pPr>
      <w:r w:rsidRPr="00DB6883">
        <w:lastRenderedPageBreak/>
        <w:tab/>
        <w:t>L.</w:t>
      </w:r>
      <w:r w:rsidRPr="00DB6883">
        <w:tab/>
      </w:r>
      <w:r w:rsidRPr="00DB6883">
        <w:tab/>
      </w:r>
      <w:r w:rsidR="004B04D7" w:rsidRPr="00DB6883">
        <w:t>Compliance and reporting issues considered by the Implementation Co</w:t>
      </w:r>
      <w:r w:rsidRPr="00DB6883">
        <w:t>mmittee</w:t>
      </w:r>
    </w:p>
    <w:p w:rsidR="000C73CD" w:rsidRPr="00DB6883" w:rsidRDefault="000C73CD" w:rsidP="004E7D79">
      <w:pPr>
        <w:pStyle w:val="Normalnumber"/>
        <w:tabs>
          <w:tab w:val="clear" w:pos="567"/>
          <w:tab w:val="clear" w:pos="1247"/>
          <w:tab w:val="clear" w:pos="1814"/>
          <w:tab w:val="clear" w:pos="2381"/>
          <w:tab w:val="clear" w:pos="2948"/>
          <w:tab w:val="clear" w:pos="3515"/>
          <w:tab w:val="left" w:pos="624"/>
        </w:tabs>
      </w:pPr>
      <w:r w:rsidRPr="00DB6883">
        <w:t xml:space="preserve">The Vice-President of the </w:t>
      </w:r>
      <w:r w:rsidRPr="00097E3D">
        <w:t>Implementation Committee</w:t>
      </w:r>
      <w:r w:rsidRPr="00DB6883">
        <w:t>, Leonard Marindany Kirui (Kenya), on behalf of the President, Brian Ruddie (United Kingdom), who was indisposed, presented a report on the outcomes of the fifty-eighth and fifty-ninth meetings of the Committee, including an overview of the draft decisions that the Committee had approved for consideration by the Twenty-Ninth Meeting of the Parties.</w:t>
      </w:r>
    </w:p>
    <w:p w:rsidR="000C73CD" w:rsidRPr="00DB6883" w:rsidRDefault="000C73CD" w:rsidP="004E7D79">
      <w:pPr>
        <w:pStyle w:val="Normalnumber"/>
        <w:tabs>
          <w:tab w:val="clear" w:pos="567"/>
          <w:tab w:val="clear" w:pos="1247"/>
          <w:tab w:val="clear" w:pos="1814"/>
          <w:tab w:val="clear" w:pos="2381"/>
          <w:tab w:val="clear" w:pos="2948"/>
          <w:tab w:val="clear" w:pos="3515"/>
          <w:tab w:val="left" w:pos="624"/>
        </w:tabs>
      </w:pPr>
      <w:r w:rsidRPr="00DB6883">
        <w:t xml:space="preserve">He </w:t>
      </w:r>
      <w:r w:rsidRPr="00933176">
        <w:t>observed that, in common with recent years, the agenda of both the Committee’s meetings had been relatively light, which reflected the high level of compliance of parties with their obligations under the Montreal Protocol. For example, all parties had reported their production and consumption data for 2016 under Article 7 and only one situation of non-compliance needed to be brought to the attention of the parties, that of Kazakhstan, which had encountered difficulties in complying with its commitments under its existing plan of action. Kazakhstan had provided an explanation for the situation and submitted</w:t>
      </w:r>
      <w:r w:rsidRPr="00DB6883">
        <w:t xml:space="preserve"> a revised plan of action, as set out in the second draft decision. The party was hopeful that it would receive support from the Global Environment Facility to build its capacity, which would bolster the implementation of its revised plan of action.</w:t>
      </w:r>
    </w:p>
    <w:p w:rsidR="000C73CD" w:rsidRPr="00DB6883" w:rsidRDefault="000C73CD" w:rsidP="004E7D79">
      <w:pPr>
        <w:pStyle w:val="Normalnumber"/>
        <w:tabs>
          <w:tab w:val="clear" w:pos="567"/>
          <w:tab w:val="clear" w:pos="1247"/>
          <w:tab w:val="clear" w:pos="1814"/>
          <w:tab w:val="clear" w:pos="2381"/>
          <w:tab w:val="clear" w:pos="2948"/>
          <w:tab w:val="clear" w:pos="3515"/>
          <w:tab w:val="left" w:pos="624"/>
        </w:tabs>
      </w:pPr>
      <w:r w:rsidRPr="00DB6883">
        <w:t xml:space="preserve">Three further draft decisions pertained to requests for changes in baseline data by Fiji, Pakistan and the Philippines. The Committee had considered the justifications provided by the parties for the requests, along with the supporting documentation submitted, and had concluded that each request had met the requirements of decision XV/19. </w:t>
      </w:r>
    </w:p>
    <w:p w:rsidR="000C73CD" w:rsidRPr="00DB6883" w:rsidRDefault="000C73CD" w:rsidP="004E7D79">
      <w:pPr>
        <w:pStyle w:val="Normalnumber"/>
        <w:tabs>
          <w:tab w:val="clear" w:pos="567"/>
          <w:tab w:val="clear" w:pos="1247"/>
          <w:tab w:val="clear" w:pos="1814"/>
          <w:tab w:val="clear" w:pos="2381"/>
          <w:tab w:val="clear" w:pos="2948"/>
          <w:tab w:val="clear" w:pos="3515"/>
          <w:tab w:val="left" w:pos="624"/>
        </w:tabs>
      </w:pPr>
      <w:r w:rsidRPr="00DB6883">
        <w:t>The final draft decision revisited the matter of cells left blank by parties in their Article 7 data reporting forms, which had been addressed initially in decision XXIV/14. There had been steady progress on the issue, with most parties complying with the decision by completing the cells with zeros rather than leaving them blank, but the Secretariat was nevertheless required to seek clarification from a number of parties every year, which caused delays in compiling information and assessing compliance. Parties were therefore urged, when submitting forms for reporting data in accordance with Article 7, to ensure that all cells were completed with a number, including zero, if appropriate, rather than leaving the cell blank.</w:t>
      </w:r>
    </w:p>
    <w:p w:rsidR="000C73CD" w:rsidRPr="00DB6883" w:rsidRDefault="000C73CD" w:rsidP="004E7D79">
      <w:pPr>
        <w:pStyle w:val="Normalnumber"/>
        <w:tabs>
          <w:tab w:val="clear" w:pos="567"/>
          <w:tab w:val="clear" w:pos="1247"/>
          <w:tab w:val="clear" w:pos="1814"/>
          <w:tab w:val="clear" w:pos="2381"/>
          <w:tab w:val="clear" w:pos="2948"/>
          <w:tab w:val="clear" w:pos="3515"/>
          <w:tab w:val="left" w:pos="624"/>
        </w:tabs>
      </w:pPr>
      <w:r w:rsidRPr="00DB6883">
        <w:t xml:space="preserve">The Committee had discussed the satisfactory progress made by the Democratic People’s Republic of Korea, Libya and Ukraine in meeting their obligations under their existing plans of action. The Committee had also considered the situation of Israel, which had recently encountered difficulties in submitting the required information in a timely fashion. The party had expressed its commitment to ensuring that it would in the future comply fully with its reporting requirements under the </w:t>
      </w:r>
      <w:r w:rsidR="000F23F3" w:rsidRPr="00DB6883">
        <w:t xml:space="preserve">Montreal </w:t>
      </w:r>
      <w:r w:rsidRPr="00DB6883">
        <w:t>Protocol in a timely manner.</w:t>
      </w:r>
    </w:p>
    <w:p w:rsidR="000C73CD" w:rsidRPr="00DB6883" w:rsidRDefault="000C73CD" w:rsidP="004E7D79">
      <w:pPr>
        <w:pStyle w:val="Normalnumber"/>
        <w:tabs>
          <w:tab w:val="clear" w:pos="567"/>
          <w:tab w:val="clear" w:pos="1247"/>
          <w:tab w:val="clear" w:pos="1814"/>
          <w:tab w:val="clear" w:pos="2381"/>
          <w:tab w:val="clear" w:pos="2948"/>
          <w:tab w:val="clear" w:pos="3515"/>
          <w:tab w:val="left" w:pos="624"/>
        </w:tabs>
      </w:pPr>
      <w:r w:rsidRPr="00DB6883">
        <w:t xml:space="preserve">In closing, he observed that the non-compliance procedure of the Montreal Protocol had set a unique and highly successful example among multilateral environmental agreements. He had every confidence that the solid foundation that it provided would continue to serve the needs of the parties in implementing the Kigali Amendment and phasing down HFCs. </w:t>
      </w:r>
    </w:p>
    <w:p w:rsidR="000C73CD" w:rsidRPr="00DB6883" w:rsidRDefault="000C73CD" w:rsidP="004E7D79">
      <w:pPr>
        <w:pStyle w:val="Normalnumber"/>
        <w:tabs>
          <w:tab w:val="clear" w:pos="567"/>
          <w:tab w:val="clear" w:pos="1247"/>
          <w:tab w:val="clear" w:pos="1814"/>
          <w:tab w:val="clear" w:pos="2381"/>
          <w:tab w:val="clear" w:pos="2948"/>
          <w:tab w:val="clear" w:pos="3515"/>
          <w:tab w:val="left" w:pos="624"/>
        </w:tabs>
      </w:pPr>
      <w:r w:rsidRPr="00DB6883">
        <w:t>The parties agreed to forward the draft decisions from the Implementation Committee for consideration and adoption during the high-level segment.</w:t>
      </w:r>
    </w:p>
    <w:p w:rsidR="004B04D7" w:rsidRPr="00DB6883" w:rsidRDefault="007D76E0" w:rsidP="007D76E0">
      <w:pPr>
        <w:pStyle w:val="CH1"/>
      </w:pPr>
      <w:r w:rsidRPr="00DB6883">
        <w:tab/>
        <w:t>V.</w:t>
      </w:r>
      <w:r w:rsidRPr="00DB6883">
        <w:tab/>
        <w:t>Vienna Convention issues</w:t>
      </w:r>
    </w:p>
    <w:p w:rsidR="00731A3E" w:rsidRPr="00DB6883" w:rsidRDefault="007D76E0" w:rsidP="00731A3E">
      <w:pPr>
        <w:pStyle w:val="CH2"/>
      </w:pPr>
      <w:r w:rsidRPr="00DB6883">
        <w:tab/>
        <w:t>A.</w:t>
      </w:r>
      <w:r w:rsidRPr="00DB6883">
        <w:tab/>
      </w:r>
      <w:r w:rsidR="004B04D7" w:rsidRPr="00DB6883">
        <w:t>Report of the tenth meeting of the Ozone Research Managers of the P</w:t>
      </w:r>
      <w:r w:rsidRPr="00DB6883">
        <w:t>arties to</w:t>
      </w:r>
      <w:r w:rsidR="006F3932" w:rsidRPr="00DB6883">
        <w:t xml:space="preserve"> the Vienna Convention</w:t>
      </w:r>
      <w:r w:rsidRPr="00DB6883">
        <w:t xml:space="preserve"> </w:t>
      </w:r>
    </w:p>
    <w:p w:rsidR="00D05281" w:rsidRPr="00DB6883" w:rsidRDefault="00D05281" w:rsidP="004E7D79">
      <w:pPr>
        <w:pStyle w:val="Normalnumber"/>
        <w:tabs>
          <w:tab w:val="clear" w:pos="567"/>
          <w:tab w:val="clear" w:pos="1247"/>
          <w:tab w:val="clear" w:pos="1814"/>
          <w:tab w:val="clear" w:pos="2381"/>
          <w:tab w:val="clear" w:pos="2948"/>
          <w:tab w:val="clear" w:pos="3515"/>
          <w:tab w:val="left" w:pos="624"/>
        </w:tabs>
      </w:pPr>
      <w:r w:rsidRPr="00DB6883">
        <w:t xml:space="preserve">The Co-Chair recalled that the </w:t>
      </w:r>
      <w:r w:rsidRPr="008E2782">
        <w:t>tenth meeting</w:t>
      </w:r>
      <w:r w:rsidRPr="00DB6883">
        <w:t xml:space="preserve"> of the Ozone Research Managers of the Parties to the Vienna Convention had been held in Geneva in March 2017. The Managers, he said, met every three years, six months before the Conference of the Parties to the Vienna Convention, to discuss issues relating to ozone research and systematic observation and to develop recommendations for consideration by the Conference of the Parties. Those recommendations were included in document UNEP/OzL.Conv.11/5.</w:t>
      </w:r>
    </w:p>
    <w:p w:rsidR="00D05281" w:rsidRPr="00DB6883" w:rsidRDefault="00D05281" w:rsidP="00CD35BB">
      <w:pPr>
        <w:pStyle w:val="Normalnumber"/>
        <w:keepNext/>
        <w:keepLines/>
        <w:tabs>
          <w:tab w:val="clear" w:pos="567"/>
          <w:tab w:val="clear" w:pos="1247"/>
          <w:tab w:val="clear" w:pos="1814"/>
          <w:tab w:val="clear" w:pos="2381"/>
          <w:tab w:val="clear" w:pos="2948"/>
          <w:tab w:val="clear" w:pos="3515"/>
          <w:tab w:val="left" w:pos="624"/>
        </w:tabs>
      </w:pPr>
      <w:r w:rsidRPr="00DB6883">
        <w:lastRenderedPageBreak/>
        <w:t xml:space="preserve">The </w:t>
      </w:r>
      <w:r w:rsidR="00F740DA" w:rsidRPr="00DB6883">
        <w:t xml:space="preserve">Co-Chair </w:t>
      </w:r>
      <w:r w:rsidRPr="00DB6883">
        <w:t>of the tenth meeting of the Ozone Research Managers, Kenneth Jucks (United</w:t>
      </w:r>
      <w:r w:rsidR="00CA70A5" w:rsidRPr="00DB6883">
        <w:t> </w:t>
      </w:r>
      <w:r w:rsidRPr="00DB6883">
        <w:t xml:space="preserve">States), gave a presentation on the outcomes of that meeting. He first clarified </w:t>
      </w:r>
      <w:r w:rsidR="009C5F92" w:rsidRPr="00DB6883">
        <w:t>that the</w:t>
      </w:r>
      <w:r w:rsidRPr="00DB6883">
        <w:t xml:space="preserve"> purpose of the reports of the Managers</w:t>
      </w:r>
      <w:r w:rsidR="009C5F92" w:rsidRPr="00DB6883">
        <w:t xml:space="preserve"> was </w:t>
      </w:r>
      <w:r w:rsidRPr="00DB6883">
        <w:t xml:space="preserve">to address research and monitoring needs and to make specific recommendations regarding international action for improved research coordination and networking. </w:t>
      </w:r>
      <w:r w:rsidR="005A49C7" w:rsidRPr="00DB6883">
        <w:t>After giving</w:t>
      </w:r>
      <w:r w:rsidRPr="00DB6883">
        <w:t xml:space="preserve"> a summary of the main items discussed at the meeting, he said that the recommendations of the Managers </w:t>
      </w:r>
      <w:r w:rsidR="00312DCA" w:rsidRPr="00DB6883">
        <w:t>had been</w:t>
      </w:r>
      <w:r w:rsidRPr="00DB6883">
        <w:t xml:space="preserve"> formulated within </w:t>
      </w:r>
      <w:r w:rsidR="00AA3E0A" w:rsidRPr="00DB6883">
        <w:t>a</w:t>
      </w:r>
      <w:r w:rsidRPr="00DB6883">
        <w:t xml:space="preserve"> framework of four overarching goals: to improve the understanding and accuracy of future projections of global ozone data; to maintain and enhance existing observation capabilities for climate and ozone layer variables; to continue and enhance the </w:t>
      </w:r>
      <w:r w:rsidR="0056284D" w:rsidRPr="00DB6883">
        <w:t xml:space="preserve">funding available in the </w:t>
      </w:r>
      <w:r w:rsidR="00FC6535">
        <w:t xml:space="preserve">General </w:t>
      </w:r>
      <w:r w:rsidRPr="00FC6535">
        <w:t>Trust Fund</w:t>
      </w:r>
      <w:r w:rsidRPr="00DB6883">
        <w:t xml:space="preserve"> for Financing Activities on Research and Systematic Observations Relevant to the Vienna Convention; and to build capacity to meet those goals. </w:t>
      </w:r>
    </w:p>
    <w:p w:rsidR="00D05281" w:rsidRPr="00DB6883" w:rsidRDefault="00D05281" w:rsidP="004E7D79">
      <w:pPr>
        <w:pStyle w:val="Normalnumber"/>
        <w:tabs>
          <w:tab w:val="clear" w:pos="567"/>
          <w:tab w:val="clear" w:pos="1247"/>
          <w:tab w:val="clear" w:pos="1814"/>
          <w:tab w:val="clear" w:pos="2381"/>
          <w:tab w:val="clear" w:pos="2948"/>
          <w:tab w:val="clear" w:pos="3515"/>
          <w:tab w:val="left" w:pos="624"/>
        </w:tabs>
      </w:pPr>
      <w:r w:rsidRPr="00DB6883">
        <w:t>On the matter of research needs, he said</w:t>
      </w:r>
      <w:r w:rsidR="00E81155" w:rsidRPr="00DB6883">
        <w:t xml:space="preserve"> that</w:t>
      </w:r>
      <w:r w:rsidRPr="00DB6883">
        <w:t xml:space="preserve"> the main priorities were to understand the complex coupling of ozone, atmospheric chemistry, transport and climate change and to improve understanding of the emissions and distribution of short-lived and long-lived ozone-depleting substances and </w:t>
      </w:r>
      <w:r w:rsidRPr="003158CB">
        <w:t>greenhouse gases</w:t>
      </w:r>
      <w:r w:rsidRPr="00DB6883">
        <w:t>, including the uncertainties relat</w:t>
      </w:r>
      <w:r w:rsidR="00465400" w:rsidRPr="00DB6883">
        <w:t>ing</w:t>
      </w:r>
      <w:r w:rsidRPr="00DB6883">
        <w:t xml:space="preserve"> to carbon tetrachloride and methyl bromide emissions. Systematic observations were required to meet the research needs, including satellite observations of key trace gases in the stratosphere, </w:t>
      </w:r>
      <w:r w:rsidR="00EF4CE3" w:rsidRPr="00DB6883">
        <w:t>al</w:t>
      </w:r>
      <w:r w:rsidRPr="00DB6883">
        <w:t>though th</w:t>
      </w:r>
      <w:r w:rsidR="00EF4CE3" w:rsidRPr="00DB6883">
        <w:t>o</w:t>
      </w:r>
      <w:r w:rsidRPr="00DB6883">
        <w:t>se had been compromised by the steady decrease in the number of measuring stations. Long-term monitoring was needed to clarify circulation and transport patterns, especially in data-poor regions. The</w:t>
      </w:r>
      <w:r w:rsidR="00EF4CE3" w:rsidRPr="00DB6883">
        <w:t>re was a need to</w:t>
      </w:r>
      <w:r w:rsidRPr="00DB6883">
        <w:t xml:space="preserve"> continue the implementation of new and cost-effective instruments for ozone and trace gases and </w:t>
      </w:r>
      <w:r w:rsidR="0018389F" w:rsidRPr="00DB6883">
        <w:t>to</w:t>
      </w:r>
      <w:r w:rsidRPr="00DB6883">
        <w:t xml:space="preserve"> further develop and apply data analysis protocols. Mechanisms should be set up to give appropriate recognition to data providers and to exchange findings and feedback on data quality. Other priority areas included data archiving and stewardship, and capacity-building, </w:t>
      </w:r>
      <w:r w:rsidR="00AA3E0A" w:rsidRPr="00DB6883">
        <w:t>including</w:t>
      </w:r>
      <w:r w:rsidRPr="00DB6883">
        <w:t xml:space="preserve"> the provision of training opportunities for local station operators in developing countries. Opportunities for </w:t>
      </w:r>
      <w:r w:rsidR="00F740DA" w:rsidRPr="00DB6883">
        <w:t xml:space="preserve">building </w:t>
      </w:r>
      <w:r w:rsidRPr="00DB6883">
        <w:t xml:space="preserve">capacity and for increasing the impact of observational network programmes could be significantly enhanced by </w:t>
      </w:r>
      <w:r w:rsidR="00EB2BE8" w:rsidRPr="00DB6883">
        <w:t>having greater</w:t>
      </w:r>
      <w:r w:rsidRPr="00DB6883">
        <w:t xml:space="preserve"> resource</w:t>
      </w:r>
      <w:r w:rsidR="00EB2BE8" w:rsidRPr="00DB6883">
        <w:t>s available in the</w:t>
      </w:r>
      <w:r w:rsidRPr="00DB6883">
        <w:t xml:space="preserve"> Trust Fund. </w:t>
      </w:r>
    </w:p>
    <w:p w:rsidR="00D05281" w:rsidRPr="00DB6883" w:rsidRDefault="00D05281" w:rsidP="004E7D79">
      <w:pPr>
        <w:pStyle w:val="Normalnumber"/>
        <w:tabs>
          <w:tab w:val="clear" w:pos="567"/>
          <w:tab w:val="clear" w:pos="1247"/>
          <w:tab w:val="clear" w:pos="1814"/>
          <w:tab w:val="clear" w:pos="2381"/>
          <w:tab w:val="clear" w:pos="2948"/>
          <w:tab w:val="clear" w:pos="3515"/>
          <w:tab w:val="left" w:pos="624"/>
        </w:tabs>
      </w:pPr>
      <w:r w:rsidRPr="00DB6883">
        <w:t xml:space="preserve">In the ensuing discussion, several representatives </w:t>
      </w:r>
      <w:r w:rsidRPr="00C82EBE">
        <w:t>expressed a</w:t>
      </w:r>
      <w:r w:rsidRPr="00DB6883">
        <w:t xml:space="preserve">ppreciation for the work undertaken by the Ozone Research Managers. One, speaking on behalf of a group of countries, said that there was a clear link between ozone layer research and climate change research and enhancing those links would be of benefit to the continued implementation of both the Montreal Protocol and the Paris Agreement. Knowledge gaps still existed for a wide range of chemicals and their impact on the ozone layer, requiring continued measurement, long-term </w:t>
      </w:r>
      <w:r w:rsidR="001B15B1" w:rsidRPr="00DB6883">
        <w:t>high-</w:t>
      </w:r>
      <w:r w:rsidRPr="00DB6883">
        <w:t xml:space="preserve">quality research and broad geographical coverage of monitoring activities. Funding had been provided through the European Union Horizon 2020 programme to support operations in that area, </w:t>
      </w:r>
      <w:r w:rsidR="00F740DA" w:rsidRPr="00DB6883">
        <w:t>while</w:t>
      </w:r>
      <w:r w:rsidRPr="00DB6883">
        <w:t xml:space="preserve"> the Sentinel-5 satellite had been launched in October 2017 as an atmospheric monitoring mission under the Copernicus </w:t>
      </w:r>
      <w:r w:rsidR="001B15B1" w:rsidRPr="00DB6883">
        <w:t xml:space="preserve">Earth </w:t>
      </w:r>
      <w:r w:rsidRPr="00DB6883">
        <w:t xml:space="preserve">observation programme. </w:t>
      </w:r>
      <w:r w:rsidR="001B15B1" w:rsidRPr="00DB6883">
        <w:t>Lastly</w:t>
      </w:r>
      <w:r w:rsidRPr="00DB6883">
        <w:t>, he stressed the importance of archiving data for long-term</w:t>
      </w:r>
      <w:r w:rsidR="00F740DA" w:rsidRPr="00DB6883">
        <w:t>,</w:t>
      </w:r>
      <w:r w:rsidR="001B15B1" w:rsidRPr="00DB6883">
        <w:t xml:space="preserve"> </w:t>
      </w:r>
      <w:r w:rsidRPr="00DB6883">
        <w:t>open access and use. Another representative said that the research recommended by the Managers helped</w:t>
      </w:r>
      <w:r w:rsidR="00B52DB7" w:rsidRPr="00DB6883">
        <w:t xml:space="preserve"> to</w:t>
      </w:r>
      <w:r w:rsidRPr="00DB6883">
        <w:t xml:space="preserve"> make the connection between policy and science, aiding decision-making, and he highlighted the role of capacity-building </w:t>
      </w:r>
      <w:r w:rsidR="004C04E5" w:rsidRPr="00DB6883">
        <w:t>in</w:t>
      </w:r>
      <w:r w:rsidRPr="00DB6883">
        <w:t xml:space="preserve"> enabl</w:t>
      </w:r>
      <w:r w:rsidR="004C04E5" w:rsidRPr="00DB6883">
        <w:t>ing</w:t>
      </w:r>
      <w:r w:rsidRPr="00DB6883">
        <w:t xml:space="preserve"> countries to integrate scientific evidence into their policymaking processes. </w:t>
      </w:r>
    </w:p>
    <w:p w:rsidR="00D05281" w:rsidRPr="00DB6883" w:rsidRDefault="00D05281" w:rsidP="004E7D79">
      <w:pPr>
        <w:pStyle w:val="Normalnumber"/>
        <w:tabs>
          <w:tab w:val="clear" w:pos="567"/>
          <w:tab w:val="clear" w:pos="1247"/>
          <w:tab w:val="clear" w:pos="1814"/>
          <w:tab w:val="clear" w:pos="2381"/>
          <w:tab w:val="clear" w:pos="2948"/>
          <w:tab w:val="clear" w:pos="3515"/>
          <w:tab w:val="left" w:pos="624"/>
        </w:tabs>
      </w:pPr>
      <w:r w:rsidRPr="00DB6883">
        <w:t xml:space="preserve">In response, Mr. Jucks said that </w:t>
      </w:r>
      <w:r w:rsidR="00EC58F2" w:rsidRPr="00DB6883">
        <w:t>several</w:t>
      </w:r>
      <w:r w:rsidRPr="00DB6883">
        <w:t xml:space="preserve"> websites contained relevant and useful data, but there was a lack of awareness of th</w:t>
      </w:r>
      <w:r w:rsidR="002E23A4" w:rsidRPr="00DB6883">
        <w:t>os</w:t>
      </w:r>
      <w:r w:rsidRPr="00DB6883">
        <w:t>e data and how to apply them at</w:t>
      </w:r>
      <w:r w:rsidR="002E23A4" w:rsidRPr="00DB6883">
        <w:t xml:space="preserve"> the</w:t>
      </w:r>
      <w:r w:rsidRPr="00DB6883">
        <w:t xml:space="preserve"> national level. The Ozone Research Managers aimed to improve the access and capabilities of parties that </w:t>
      </w:r>
      <w:r w:rsidR="00F740DA" w:rsidRPr="00DB6883">
        <w:t>wished</w:t>
      </w:r>
      <w:r w:rsidRPr="00DB6883">
        <w:t xml:space="preserve"> to use the data. </w:t>
      </w:r>
    </w:p>
    <w:p w:rsidR="00D05281" w:rsidRPr="00DB6883" w:rsidRDefault="00D05281" w:rsidP="004E7D79">
      <w:pPr>
        <w:pStyle w:val="Normalnumber"/>
        <w:tabs>
          <w:tab w:val="clear" w:pos="567"/>
          <w:tab w:val="clear" w:pos="1247"/>
          <w:tab w:val="clear" w:pos="1814"/>
          <w:tab w:val="clear" w:pos="2381"/>
          <w:tab w:val="clear" w:pos="2948"/>
          <w:tab w:val="clear" w:pos="3515"/>
          <w:tab w:val="left" w:pos="624"/>
        </w:tabs>
      </w:pPr>
      <w:r w:rsidRPr="00DB6883">
        <w:t>The representative of Australia introduced a draft decision</w:t>
      </w:r>
      <w:r w:rsidR="004B1652" w:rsidRPr="00DB6883">
        <w:t>, set out in a</w:t>
      </w:r>
      <w:r w:rsidRPr="00DB6883">
        <w:t xml:space="preserve"> </w:t>
      </w:r>
      <w:r w:rsidR="004B1652" w:rsidRPr="00DB6883">
        <w:t xml:space="preserve">conference room paper, </w:t>
      </w:r>
      <w:r w:rsidRPr="00DB6883">
        <w:t>on</w:t>
      </w:r>
      <w:r w:rsidR="00902E79" w:rsidRPr="00DB6883">
        <w:t xml:space="preserve"> the</w:t>
      </w:r>
      <w:r w:rsidRPr="00DB6883">
        <w:t xml:space="preserve"> recommendations of the tenth meeting of the Ozone Research Managers, </w:t>
      </w:r>
      <w:proofErr w:type="gramStart"/>
      <w:r w:rsidRPr="00DB6883">
        <w:t>submitted</w:t>
      </w:r>
      <w:proofErr w:type="gramEnd"/>
      <w:r w:rsidRPr="00DB6883">
        <w:t xml:space="preserve"> by Australia, Bangladesh, Guatemala and Kazakhstan as members of the Bureau of the tenth meeting of the Conference of the Parties, along with Belarus, the Dominican Republic and Rwanda. She said that the Bureau had been well informed of the activities of the Managers, and the draft decision </w:t>
      </w:r>
      <w:r w:rsidR="009A1B87" w:rsidRPr="00DB6883">
        <w:t xml:space="preserve">contained </w:t>
      </w:r>
      <w:r w:rsidRPr="00DB6883">
        <w:t>encourage</w:t>
      </w:r>
      <w:r w:rsidR="009A1B87" w:rsidRPr="00DB6883">
        <w:t>ment to</w:t>
      </w:r>
      <w:r w:rsidRPr="00DB6883">
        <w:t xml:space="preserve"> the parties to adopt and implement, as appropriate, the recommendations of the Managers at their tenth meeting and to accord priority to research, capacity-building and communication activities. </w:t>
      </w:r>
    </w:p>
    <w:p w:rsidR="00D05281" w:rsidRPr="00DB6883" w:rsidRDefault="00D05281" w:rsidP="004E7D79">
      <w:pPr>
        <w:pStyle w:val="Normalnumber"/>
        <w:tabs>
          <w:tab w:val="clear" w:pos="567"/>
          <w:tab w:val="clear" w:pos="1247"/>
          <w:tab w:val="clear" w:pos="1814"/>
          <w:tab w:val="clear" w:pos="2381"/>
          <w:tab w:val="clear" w:pos="2948"/>
          <w:tab w:val="clear" w:pos="3515"/>
          <w:tab w:val="left" w:pos="624"/>
        </w:tabs>
      </w:pPr>
      <w:r w:rsidRPr="00DB6883">
        <w:t>The parties agreed t</w:t>
      </w:r>
      <w:r w:rsidR="00741D58" w:rsidRPr="00DB6883">
        <w:t xml:space="preserve">hat </w:t>
      </w:r>
      <w:r w:rsidRPr="00DB6883">
        <w:t xml:space="preserve">the matter </w:t>
      </w:r>
      <w:r w:rsidR="00741D58" w:rsidRPr="00DB6883">
        <w:t>should be further</w:t>
      </w:r>
      <w:r w:rsidRPr="00DB6883">
        <w:t xml:space="preserve"> </w:t>
      </w:r>
      <w:r w:rsidR="00741D58" w:rsidRPr="00DB6883">
        <w:t xml:space="preserve">discussed </w:t>
      </w:r>
      <w:r w:rsidRPr="00DB6883">
        <w:t>informal</w:t>
      </w:r>
      <w:r w:rsidR="00741D58" w:rsidRPr="00DB6883">
        <w:t>ly by the</w:t>
      </w:r>
      <w:r w:rsidRPr="00DB6883">
        <w:t xml:space="preserve"> interested parties.</w:t>
      </w:r>
    </w:p>
    <w:p w:rsidR="007217A9" w:rsidRPr="00DB6883" w:rsidRDefault="007217A9" w:rsidP="004E7D79">
      <w:pPr>
        <w:pStyle w:val="Normalnumber"/>
        <w:tabs>
          <w:tab w:val="clear" w:pos="567"/>
          <w:tab w:val="clear" w:pos="1247"/>
          <w:tab w:val="clear" w:pos="1814"/>
          <w:tab w:val="clear" w:pos="2381"/>
          <w:tab w:val="clear" w:pos="2948"/>
          <w:tab w:val="clear" w:pos="3515"/>
          <w:tab w:val="left" w:pos="624"/>
        </w:tabs>
      </w:pPr>
      <w:r w:rsidRPr="00DB6883">
        <w:t>Following those discussions, the parties agreed to forward the draft decision, as amended, for consideration and adoption during the high-level segment.</w:t>
      </w:r>
    </w:p>
    <w:p w:rsidR="004B04D7" w:rsidRPr="00DB6883" w:rsidRDefault="007D76E0" w:rsidP="00CD35BB">
      <w:pPr>
        <w:pStyle w:val="CH2"/>
      </w:pPr>
      <w:r w:rsidRPr="00DB6883">
        <w:lastRenderedPageBreak/>
        <w:tab/>
        <w:t>B.</w:t>
      </w:r>
      <w:r w:rsidRPr="00DB6883">
        <w:tab/>
      </w:r>
      <w:r w:rsidR="004B04D7" w:rsidRPr="00DB6883">
        <w:t xml:space="preserve">Status of the </w:t>
      </w:r>
      <w:r w:rsidR="004A2E45" w:rsidRPr="00DB6883">
        <w:t xml:space="preserve">General Trust Fund </w:t>
      </w:r>
      <w:r w:rsidR="003E77F5" w:rsidRPr="00DB6883">
        <w:t xml:space="preserve">for </w:t>
      </w:r>
      <w:r w:rsidR="004A2E45" w:rsidRPr="00DB6883">
        <w:t xml:space="preserve">Financing Activities </w:t>
      </w:r>
      <w:r w:rsidR="003E77F5" w:rsidRPr="00DB6883">
        <w:t xml:space="preserve">on </w:t>
      </w:r>
      <w:r w:rsidR="004A2E45" w:rsidRPr="00DB6883">
        <w:t xml:space="preserve">Research </w:t>
      </w:r>
      <w:r w:rsidR="003E77F5" w:rsidRPr="00DB6883">
        <w:t xml:space="preserve">and </w:t>
      </w:r>
      <w:r w:rsidR="004A2E45" w:rsidRPr="00DB6883">
        <w:t xml:space="preserve">Systematic Observations Relevant </w:t>
      </w:r>
      <w:r w:rsidR="004B04D7" w:rsidRPr="00DB6883">
        <w:t>to the</w:t>
      </w:r>
      <w:r w:rsidRPr="00DB6883">
        <w:t xml:space="preserve"> Vienna Convention</w:t>
      </w:r>
    </w:p>
    <w:p w:rsidR="00FB1DB3" w:rsidRPr="00DB6883" w:rsidRDefault="00FB1DB3" w:rsidP="00CD35BB">
      <w:pPr>
        <w:pStyle w:val="Normalnumber"/>
        <w:keepNext/>
        <w:keepLines/>
        <w:tabs>
          <w:tab w:val="clear" w:pos="567"/>
          <w:tab w:val="clear" w:pos="1247"/>
          <w:tab w:val="clear" w:pos="1814"/>
          <w:tab w:val="clear" w:pos="2381"/>
          <w:tab w:val="clear" w:pos="2948"/>
          <w:tab w:val="clear" w:pos="3515"/>
          <w:tab w:val="left" w:pos="624"/>
        </w:tabs>
      </w:pPr>
      <w:r w:rsidRPr="00DB6883">
        <w:t xml:space="preserve">The Co-Chair recalled that, at its </w:t>
      </w:r>
      <w:r w:rsidRPr="006B3AFD">
        <w:t>tenth meeting</w:t>
      </w:r>
      <w:r w:rsidRPr="00DB6883">
        <w:t xml:space="preserve">, the Conference of the Parties had established an advisory committee for the General Trust Fund for Financing Activities on Research and Systematic Observations Relevant to the Vienna Convention in an effort to improve its performance by ensuring that projects to be funded from the Trust Fund were of high quality. The Committee had also been requested to develop a short-term plan and a long-term strategy for the Trust Fund to enhance its effectiveness. </w:t>
      </w:r>
    </w:p>
    <w:p w:rsidR="00FB1DB3" w:rsidRPr="00DB6883" w:rsidRDefault="00FB1DB3" w:rsidP="004E7D79">
      <w:pPr>
        <w:pStyle w:val="Normalnumber"/>
        <w:tabs>
          <w:tab w:val="clear" w:pos="567"/>
          <w:tab w:val="clear" w:pos="1247"/>
          <w:tab w:val="clear" w:pos="1814"/>
          <w:tab w:val="clear" w:pos="2381"/>
          <w:tab w:val="clear" w:pos="2948"/>
          <w:tab w:val="clear" w:pos="3515"/>
          <w:tab w:val="left" w:pos="624"/>
        </w:tabs>
      </w:pPr>
      <w:r w:rsidRPr="00DB6883">
        <w:t xml:space="preserve">The Chair of the Advisory Committee, A. R. Ravishankara, presented a report on the work of the Committee. He said that the Trust Fund had been established in 2003 to support activities relating to research, capacity-building and systematic observations. The functions of the Committee were to revive the Trust Fund, align activities with the recommendations of the Ozone Research Managers, develop a long-term strategy and short-term action plan for the Trust Fund and align funding with the needs identified by the scientific community. The current priorities of the Committee were to review proposals from parties operating under paragraph 1 of Article 5 and parties with economies in transition and to make recommendations on funding; to evaluate the progress of funded projects; and to work with the Managers to identify knowledge gaps that could be addressed through the Trust Fund. He gave an outline of the activities undertaken to date and summarized the main components of the long-term strategy and short-term action plan. To fund the proposed activities it would be necessary to look beyond the voluntary contributions of parties and leverage additional sources of funding. Under the proposed rules for Trust Fund support, parties would be requested to submit only activities that pertained to recognized </w:t>
      </w:r>
      <w:proofErr w:type="gramStart"/>
      <w:r w:rsidRPr="00DB6883">
        <w:t>gaps,</w:t>
      </w:r>
      <w:proofErr w:type="gramEnd"/>
      <w:r w:rsidRPr="00DB6883">
        <w:t xml:space="preserve"> make in-kind contributions and show how funded activities would be sustained in the long term. Parties could assist by supporting extension of the life of the Trust Fund, contributing funding and resources, encouraging agencies within parties not operating under paragraph 1 of Article 5 to take part in activities and raising awareness among scientists and other relevant stakeholders of the work of the Trust Fund. </w:t>
      </w:r>
    </w:p>
    <w:p w:rsidR="00FB1DB3" w:rsidRPr="00DB6883" w:rsidRDefault="00FB1DB3" w:rsidP="004E7D79">
      <w:pPr>
        <w:pStyle w:val="Normalnumber"/>
        <w:tabs>
          <w:tab w:val="clear" w:pos="567"/>
          <w:tab w:val="clear" w:pos="1247"/>
          <w:tab w:val="clear" w:pos="1814"/>
          <w:tab w:val="clear" w:pos="2381"/>
          <w:tab w:val="clear" w:pos="2948"/>
          <w:tab w:val="clear" w:pos="3515"/>
          <w:tab w:val="left" w:pos="624"/>
        </w:tabs>
      </w:pPr>
      <w:r w:rsidRPr="00DB6883">
        <w:t>The representative of the Secretariat gave a presentation on the status of the Trust Fund, which had been establ</w:t>
      </w:r>
      <w:r w:rsidRPr="00134C84">
        <w:t>ished in 2003 pursuant to decision VI/2 of the Conference of the Parties. Among its functions, the Trust Fund provided complementary support for the continued maintenance and calibration of the existing ground-bas</w:t>
      </w:r>
      <w:r w:rsidRPr="00DB6883">
        <w:t xml:space="preserve">ed stations, under the Global Atmosphere Watch </w:t>
      </w:r>
      <w:r w:rsidR="005910C7" w:rsidRPr="00DB6883">
        <w:t xml:space="preserve">programme </w:t>
      </w:r>
      <w:r w:rsidRPr="00DB6883">
        <w:t>of the World Meteorological Organization (WMO), that were monitoring column ozone, ozone profiles and ultraviolet radiation in developing countries and those with economies in transition. A memorandum of understanding on institutional arrangements had been signed by</w:t>
      </w:r>
      <w:r w:rsidR="005910C7" w:rsidRPr="00DB6883">
        <w:t xml:space="preserve"> the United Nations Environment Programme (</w:t>
      </w:r>
      <w:r w:rsidRPr="00DB6883">
        <w:t>UNEP</w:t>
      </w:r>
      <w:r w:rsidR="005910C7" w:rsidRPr="00DB6883">
        <w:t>)</w:t>
      </w:r>
      <w:r w:rsidRPr="00DB6883">
        <w:t xml:space="preserve"> and WMO in 2005. Projects and activities were implemented through WMO and since 2015 had been overseen by the </w:t>
      </w:r>
      <w:r w:rsidR="005910C7" w:rsidRPr="00DB6883">
        <w:t xml:space="preserve">Advisory Committee </w:t>
      </w:r>
      <w:r w:rsidRPr="00DB6883">
        <w:t>of the Trust Fund, pursuant to decision X/3 of the Conference of the Parties. Between 2003 and 30 September 2017</w:t>
      </w:r>
      <w:r w:rsidR="005910C7" w:rsidRPr="00DB6883">
        <w:t>,</w:t>
      </w:r>
      <w:r w:rsidRPr="00DB6883">
        <w:t xml:space="preserve"> the Trust Fund had received total funds of $355,381 from contributing parties and in-kind contributions in conjunction with activities implemented under the Trust Fund. Activities funded to a total of $327,081 (completed, planned and in progress) included intercomparison or relocation of Dobson instruments, calibration of Brewer instruments and workshops and training courses. </w:t>
      </w:r>
      <w:r w:rsidR="005910C7" w:rsidRPr="00DB6883">
        <w:t>T</w:t>
      </w:r>
      <w:r w:rsidRPr="00DB6883">
        <w:t>he limited resources</w:t>
      </w:r>
      <w:r w:rsidR="005910C7" w:rsidRPr="00DB6883">
        <w:t xml:space="preserve"> notwithstanding</w:t>
      </w:r>
      <w:r w:rsidRPr="00DB6883">
        <w:t>, the activities implemented had contributed to building the capacity of countries and improving the quality of the global ozone network. Eight new project proposals had been submitted in 2016 and 2017; funding had been approved for two, while consultations on the remain</w:t>
      </w:r>
      <w:r w:rsidR="005910C7" w:rsidRPr="00DB6883">
        <w:t>der</w:t>
      </w:r>
      <w:r w:rsidRPr="00DB6883">
        <w:t xml:space="preserve"> were continuing</w:t>
      </w:r>
      <w:r w:rsidR="005D237C" w:rsidRPr="00DB6883">
        <w:t xml:space="preserve"> and were subject to</w:t>
      </w:r>
      <w:r w:rsidRPr="00DB6883">
        <w:t xml:space="preserve"> availability of funding. In October 2017</w:t>
      </w:r>
      <w:r w:rsidR="006E7DF6" w:rsidRPr="00DB6883">
        <w:t>,</w:t>
      </w:r>
      <w:r w:rsidRPr="00DB6883">
        <w:t xml:space="preserve"> Germany had offered </w:t>
      </w:r>
      <w:r w:rsidR="006E7DF6" w:rsidRPr="00DB6883">
        <w:t>€</w:t>
      </w:r>
      <w:r w:rsidRPr="00DB6883">
        <w:t>30,000 to WMO for activities relat</w:t>
      </w:r>
      <w:r w:rsidR="006E7DF6" w:rsidRPr="00DB6883">
        <w:t>ing</w:t>
      </w:r>
      <w:r w:rsidRPr="00DB6883">
        <w:t xml:space="preserve"> to the Trust Fund. Parties </w:t>
      </w:r>
      <w:r w:rsidR="00113FA0" w:rsidRPr="00DB6883">
        <w:t>sh</w:t>
      </w:r>
      <w:r w:rsidRPr="00DB6883">
        <w:t xml:space="preserve">ould give consideration to the matter of the extension of the life of the Trust Fund, which </w:t>
      </w:r>
      <w:r w:rsidR="00C73BC2" w:rsidRPr="00DB6883">
        <w:t>was to</w:t>
      </w:r>
      <w:r w:rsidRPr="00DB6883">
        <w:t xml:space="preserve"> expire in December 2019, and the long-term strategy and short-term plan of action for the Trust Fund prepared by its </w:t>
      </w:r>
      <w:r w:rsidR="006E7DF6" w:rsidRPr="00DB6883">
        <w:t>Advisory Committee</w:t>
      </w:r>
      <w:r w:rsidRPr="00DB6883">
        <w:t>, as outlined in document UNEP/OzL.Conv.11/6.</w:t>
      </w:r>
    </w:p>
    <w:p w:rsidR="00FB1DB3" w:rsidRPr="00DB6883" w:rsidRDefault="00FB1DB3" w:rsidP="004E7D79">
      <w:pPr>
        <w:pStyle w:val="Normalnumber"/>
        <w:tabs>
          <w:tab w:val="clear" w:pos="567"/>
          <w:tab w:val="clear" w:pos="1247"/>
          <w:tab w:val="clear" w:pos="1814"/>
          <w:tab w:val="clear" w:pos="2381"/>
          <w:tab w:val="clear" w:pos="2948"/>
          <w:tab w:val="clear" w:pos="3515"/>
          <w:tab w:val="left" w:pos="624"/>
        </w:tabs>
      </w:pPr>
      <w:r w:rsidRPr="00DB6883">
        <w:t xml:space="preserve">The representative of WMO gave a presentation </w:t>
      </w:r>
      <w:r w:rsidRPr="006B3AFD">
        <w:t>on recent activities</w:t>
      </w:r>
      <w:r w:rsidRPr="00DB6883">
        <w:t xml:space="preserve"> and near</w:t>
      </w:r>
      <w:r w:rsidR="0023177B" w:rsidRPr="00DB6883">
        <w:t>-</w:t>
      </w:r>
      <w:r w:rsidRPr="00DB6883">
        <w:t xml:space="preserve">future plans </w:t>
      </w:r>
      <w:r w:rsidR="0023177B" w:rsidRPr="00DB6883">
        <w:t>in relation to</w:t>
      </w:r>
      <w:r w:rsidRPr="00DB6883">
        <w:t xml:space="preserve"> the Trust Fund. Capacity-building had been undertaken to ensure data quality </w:t>
      </w:r>
      <w:r w:rsidR="0050761B" w:rsidRPr="00DB6883">
        <w:t>throughout</w:t>
      </w:r>
      <w:r w:rsidRPr="00DB6883">
        <w:t xml:space="preserve"> the global network, including instrument calibration campaigns, data analysis workshops and assistance for research and systematic observations. Activities since 2014 had included </w:t>
      </w:r>
      <w:r w:rsidR="0050761B" w:rsidRPr="00DB6883">
        <w:t xml:space="preserve">the </w:t>
      </w:r>
      <w:r w:rsidRPr="00DB6883">
        <w:t xml:space="preserve">relocation of Dobson instruments, Dobson intercomparison exercises in Japan (for Asia), Australia (for the </w:t>
      </w:r>
      <w:r w:rsidR="00CA70A5" w:rsidRPr="00DB6883">
        <w:br/>
      </w:r>
      <w:r w:rsidRPr="00DB6883">
        <w:t xml:space="preserve">south-west Pacific region) and Spain (for </w:t>
      </w:r>
      <w:r w:rsidR="00BD5CE9" w:rsidRPr="00DB6883">
        <w:t xml:space="preserve">North </w:t>
      </w:r>
      <w:r w:rsidRPr="00DB6883">
        <w:t>Africa), capacity-building on data management and instrument calibration in Kenya</w:t>
      </w:r>
      <w:r w:rsidR="006B3AFD">
        <w:t>,</w:t>
      </w:r>
      <w:r w:rsidRPr="00DB6883">
        <w:t xml:space="preserve"> and other training activities. </w:t>
      </w:r>
      <w:r w:rsidR="0050761B" w:rsidRPr="00DB6883">
        <w:t>Overall</w:t>
      </w:r>
      <w:r w:rsidRPr="00DB6883">
        <w:t xml:space="preserve">, </w:t>
      </w:r>
      <w:r w:rsidR="0044276C" w:rsidRPr="00DB6883">
        <w:t>during</w:t>
      </w:r>
      <w:r w:rsidRPr="00DB6883">
        <w:t xml:space="preserve"> the period 2015–2017, 10</w:t>
      </w:r>
      <w:r w:rsidR="00C82100" w:rsidRPr="00DB6883">
        <w:t> </w:t>
      </w:r>
      <w:r w:rsidRPr="00DB6883">
        <w:t xml:space="preserve">instruments had been calibrated and 34 participants from developing countries had received training; however, much greater success could have been achieved with greater replenishment of the Trust Fund. </w:t>
      </w:r>
    </w:p>
    <w:p w:rsidR="00FB1DB3" w:rsidRPr="00DB6883" w:rsidRDefault="00FB1DB3" w:rsidP="004E7D79">
      <w:pPr>
        <w:pStyle w:val="Normalnumber"/>
        <w:tabs>
          <w:tab w:val="clear" w:pos="567"/>
          <w:tab w:val="clear" w:pos="1247"/>
          <w:tab w:val="clear" w:pos="1814"/>
          <w:tab w:val="clear" w:pos="2381"/>
          <w:tab w:val="clear" w:pos="2948"/>
          <w:tab w:val="clear" w:pos="3515"/>
          <w:tab w:val="left" w:pos="624"/>
        </w:tabs>
      </w:pPr>
      <w:r w:rsidRPr="00DB6883">
        <w:t>In the ensuing discussion, a number of representatives stressed the important role played by the Trust Fund in financing research-related activities, its relatively limited resources</w:t>
      </w:r>
      <w:r w:rsidR="001237D9" w:rsidRPr="00DB6883">
        <w:t xml:space="preserve"> notwithstanding</w:t>
      </w:r>
      <w:r w:rsidRPr="00DB6883">
        <w:t xml:space="preserve">. </w:t>
      </w:r>
      <w:r w:rsidRPr="00DB6883">
        <w:lastRenderedPageBreak/>
        <w:t xml:space="preserve">One said that the establishment of the </w:t>
      </w:r>
      <w:r w:rsidR="001237D9" w:rsidRPr="00DB6883">
        <w:t xml:space="preserve">Advisory Committee </w:t>
      </w:r>
      <w:r w:rsidRPr="00DB6883">
        <w:t xml:space="preserve">had helped to ensure quality of performance and value for money and would assist in mobilizing funding. </w:t>
      </w:r>
    </w:p>
    <w:p w:rsidR="00FB1DB3" w:rsidRPr="00DB6883" w:rsidRDefault="00FB1DB3" w:rsidP="004E7D79">
      <w:pPr>
        <w:pStyle w:val="Normalnumber"/>
        <w:tabs>
          <w:tab w:val="clear" w:pos="567"/>
          <w:tab w:val="clear" w:pos="1247"/>
          <w:tab w:val="clear" w:pos="1814"/>
          <w:tab w:val="clear" w:pos="2381"/>
          <w:tab w:val="clear" w:pos="2948"/>
          <w:tab w:val="clear" w:pos="3515"/>
          <w:tab w:val="left" w:pos="624"/>
        </w:tabs>
      </w:pPr>
      <w:r w:rsidRPr="00DB6883">
        <w:t>The representative of Australia introduced a draft decision</w:t>
      </w:r>
      <w:r w:rsidR="004B1652" w:rsidRPr="00DB6883">
        <w:t xml:space="preserve"> </w:t>
      </w:r>
      <w:r w:rsidRPr="00DB6883">
        <w:t xml:space="preserve">on the Trust Fund, </w:t>
      </w:r>
      <w:r w:rsidR="004B1652" w:rsidRPr="00DB6883">
        <w:t xml:space="preserve">set out in a conference room paper, </w:t>
      </w:r>
      <w:proofErr w:type="gramStart"/>
      <w:r w:rsidRPr="00DB6883">
        <w:t>submitted</w:t>
      </w:r>
      <w:proofErr w:type="gramEnd"/>
      <w:r w:rsidRPr="00DB6883">
        <w:t xml:space="preserve"> by Australia, Bangladesh, Guatemala and Kazakhstan as members of the Bureau of the tenth meeting of the Conference of the Parties, along with Belarus, the Dominican Republic and Rwanda. The main points of the draft decision were a request to the Executive Director of UNEP to extend the life of the Trust Fund until 31 December 2026; a request for the </w:t>
      </w:r>
      <w:r w:rsidR="00A104B7" w:rsidRPr="00DB6883">
        <w:t xml:space="preserve">Advisory Committee </w:t>
      </w:r>
      <w:r w:rsidRPr="00DB6883">
        <w:t xml:space="preserve">to implement the long-term strategy and short-term plan of the Trust Fund; and a request for parties and relevant international organizations to make financial or in-kind contributions to support activities under the Trust Fund. </w:t>
      </w:r>
    </w:p>
    <w:p w:rsidR="00FB1DB3" w:rsidRPr="00DB6883" w:rsidRDefault="00FB1DB3" w:rsidP="004E7D79">
      <w:pPr>
        <w:pStyle w:val="Normalnumber"/>
        <w:tabs>
          <w:tab w:val="clear" w:pos="567"/>
          <w:tab w:val="clear" w:pos="1247"/>
          <w:tab w:val="clear" w:pos="1814"/>
          <w:tab w:val="clear" w:pos="2381"/>
          <w:tab w:val="clear" w:pos="2948"/>
          <w:tab w:val="clear" w:pos="3515"/>
          <w:tab w:val="left" w:pos="624"/>
        </w:tabs>
      </w:pPr>
      <w:r w:rsidRPr="00DB6883">
        <w:t xml:space="preserve">Several representatives welcomed the draft decision, stressing the importance of the activities being carried out with the support of the Trust Fund. </w:t>
      </w:r>
      <w:r w:rsidR="007615F4" w:rsidRPr="00DB6883">
        <w:t>The parties agreed that the matter should be further discussed informally by the interested parties</w:t>
      </w:r>
      <w:r w:rsidR="00A104B7" w:rsidRPr="00DB6883">
        <w:t>.</w:t>
      </w:r>
    </w:p>
    <w:p w:rsidR="008917AE" w:rsidRPr="00DB6883" w:rsidRDefault="008917AE" w:rsidP="004E7D79">
      <w:pPr>
        <w:pStyle w:val="Normalnumber"/>
        <w:tabs>
          <w:tab w:val="clear" w:pos="567"/>
          <w:tab w:val="clear" w:pos="1247"/>
          <w:tab w:val="clear" w:pos="1814"/>
          <w:tab w:val="clear" w:pos="2381"/>
          <w:tab w:val="clear" w:pos="2948"/>
          <w:tab w:val="clear" w:pos="3515"/>
          <w:tab w:val="left" w:pos="624"/>
        </w:tabs>
      </w:pPr>
      <w:r w:rsidRPr="00DB6883">
        <w:t xml:space="preserve">Subsequently, the representative of Australia introduced a revised draft decision, </w:t>
      </w:r>
      <w:r w:rsidR="00220A1D" w:rsidRPr="00DB6883">
        <w:t xml:space="preserve">set out in a conference room paper, </w:t>
      </w:r>
      <w:r w:rsidRPr="00DB6883">
        <w:t xml:space="preserve">which included a new paragraph </w:t>
      </w:r>
      <w:r w:rsidR="00B01484" w:rsidRPr="00DB6883">
        <w:t xml:space="preserve">by which the Conference of the Parties would </w:t>
      </w:r>
      <w:r w:rsidRPr="00DB6883">
        <w:t xml:space="preserve">request the Advisory Committee to develop a strategic plan for mobilizing public and financial resources and in-kind contributions for the Trust Fund, to safeguard necessary research and observation activities, and to </w:t>
      </w:r>
      <w:r w:rsidR="00BC455B" w:rsidRPr="00DB6883">
        <w:t>submit</w:t>
      </w:r>
      <w:r w:rsidRPr="00DB6883">
        <w:t xml:space="preserve"> it to the Conference of the Parties </w:t>
      </w:r>
      <w:r w:rsidR="00BC455B" w:rsidRPr="00DB6883">
        <w:t>at its twelfth meeting</w:t>
      </w:r>
      <w:r w:rsidRPr="00DB6883">
        <w:t>.</w:t>
      </w:r>
    </w:p>
    <w:p w:rsidR="008917AE" w:rsidRPr="00DB6883" w:rsidRDefault="008917AE" w:rsidP="004E7D79">
      <w:pPr>
        <w:pStyle w:val="Normalnumber"/>
        <w:tabs>
          <w:tab w:val="clear" w:pos="567"/>
          <w:tab w:val="clear" w:pos="1247"/>
          <w:tab w:val="clear" w:pos="1814"/>
          <w:tab w:val="clear" w:pos="2381"/>
          <w:tab w:val="clear" w:pos="2948"/>
          <w:tab w:val="clear" w:pos="3515"/>
          <w:tab w:val="left" w:pos="624"/>
        </w:tabs>
      </w:pPr>
      <w:r w:rsidRPr="00DB6883">
        <w:t xml:space="preserve">The representative of Norway </w:t>
      </w:r>
      <w:r w:rsidR="007B6BFC" w:rsidRPr="00DB6883">
        <w:t>said</w:t>
      </w:r>
      <w:r w:rsidRPr="00DB6883">
        <w:t xml:space="preserve"> that his </w:t>
      </w:r>
      <w:r w:rsidR="00382EF2" w:rsidRPr="00DB6883">
        <w:t>Government</w:t>
      </w:r>
      <w:r w:rsidRPr="00DB6883">
        <w:t xml:space="preserve"> was pledging an additional sum to the Trust Fund to support the development of the knowledge base that was so vital to the successful implementation of the Vienna Convention and the Montreal Protocol, </w:t>
      </w:r>
      <w:r w:rsidR="00E97DC9" w:rsidRPr="00DB6883">
        <w:t>especially with</w:t>
      </w:r>
      <w:r w:rsidRPr="00DB6883">
        <w:t xml:space="preserve"> regard to the lin</w:t>
      </w:r>
      <w:r w:rsidR="00A5330B" w:rsidRPr="00DB6883">
        <w:t>k</w:t>
      </w:r>
      <w:r w:rsidRPr="00DB6883">
        <w:t xml:space="preserve">s between ozone depletion and climate change. Expressing his concern at the limited resources available </w:t>
      </w:r>
      <w:r w:rsidR="0084606B" w:rsidRPr="00DB6883">
        <w:t>in</w:t>
      </w:r>
      <w:r w:rsidRPr="00DB6883">
        <w:t xml:space="preserve"> the Trust Fund, he encouraged other donors to follow </w:t>
      </w:r>
      <w:r w:rsidR="006E5D0B" w:rsidRPr="00DB6883">
        <w:t>his country’s</w:t>
      </w:r>
      <w:r w:rsidRPr="00DB6883">
        <w:t xml:space="preserve"> example.</w:t>
      </w:r>
    </w:p>
    <w:p w:rsidR="008917AE" w:rsidRPr="00DB6883" w:rsidRDefault="008917AE" w:rsidP="004E7D79">
      <w:pPr>
        <w:pStyle w:val="Normalnumber"/>
        <w:tabs>
          <w:tab w:val="clear" w:pos="567"/>
          <w:tab w:val="clear" w:pos="1247"/>
          <w:tab w:val="clear" w:pos="1814"/>
          <w:tab w:val="clear" w:pos="2381"/>
          <w:tab w:val="clear" w:pos="2948"/>
          <w:tab w:val="clear" w:pos="3515"/>
          <w:tab w:val="left" w:pos="624"/>
        </w:tabs>
      </w:pPr>
      <w:r w:rsidRPr="00DB6883">
        <w:t xml:space="preserve">The parties agreed to forward the draft decision for consideration and adoption during the </w:t>
      </w:r>
      <w:r w:rsidR="00CA70A5" w:rsidRPr="00DB6883">
        <w:br/>
      </w:r>
      <w:r w:rsidRPr="00DB6883">
        <w:t>high-level segment.</w:t>
      </w:r>
    </w:p>
    <w:p w:rsidR="004B04D7" w:rsidRPr="00DB6883" w:rsidRDefault="007D76E0" w:rsidP="007D76E0">
      <w:pPr>
        <w:pStyle w:val="CH1"/>
      </w:pPr>
      <w:r w:rsidRPr="00DB6883">
        <w:tab/>
        <w:t>VI</w:t>
      </w:r>
      <w:r w:rsidR="004B04D7" w:rsidRPr="00DB6883">
        <w:t>.</w:t>
      </w:r>
      <w:r w:rsidRPr="00DB6883">
        <w:tab/>
        <w:t>Other matters</w:t>
      </w:r>
    </w:p>
    <w:p w:rsidR="00187F17" w:rsidRPr="00DB6883" w:rsidRDefault="00830585" w:rsidP="00830585">
      <w:pPr>
        <w:pStyle w:val="CH2"/>
      </w:pPr>
      <w:r w:rsidRPr="00DB6883">
        <w:tab/>
        <w:t>A.</w:t>
      </w:r>
      <w:r w:rsidRPr="00DB6883">
        <w:tab/>
      </w:r>
      <w:r w:rsidR="00187F17" w:rsidRPr="00DB6883">
        <w:t>Linkages between hydrochlorofluorocarbons and hydrofluorocarbons</w:t>
      </w:r>
    </w:p>
    <w:p w:rsidR="00187F17" w:rsidRPr="00DB6883" w:rsidRDefault="00187F17" w:rsidP="004E7D79">
      <w:pPr>
        <w:pStyle w:val="Normalnumber"/>
        <w:tabs>
          <w:tab w:val="clear" w:pos="567"/>
          <w:tab w:val="clear" w:pos="1247"/>
          <w:tab w:val="clear" w:pos="1814"/>
          <w:tab w:val="clear" w:pos="2381"/>
          <w:tab w:val="clear" w:pos="2948"/>
          <w:tab w:val="clear" w:pos="3515"/>
          <w:tab w:val="left" w:pos="624"/>
        </w:tabs>
      </w:pPr>
      <w:r w:rsidRPr="00DB6883">
        <w:t xml:space="preserve">As agreed at the time of </w:t>
      </w:r>
      <w:r w:rsidRPr="009D4669">
        <w:t>the adoption of</w:t>
      </w:r>
      <w:r w:rsidRPr="00DB6883">
        <w:t xml:space="preserve"> the agenda, the representative of Saudi Arabia introduced the subject of linkages between hydrochlorofluorocarbons and hydrofluorocarbons, with particular reference to paragraphs 6–8 of decision XXVIII/2. He explained that his concern was to avoid the need for industry to carry out a double transition, from HCFCs to high-global-warming-potential HFCs and subsequently to low-global-warming-potential alternatives. Many parties operating under paragraph 1 of Article 5 had begun to phase out HCFCs on the understanding that HFCs would be an acceptable alternative, but, following the adoption of the Kigali Amendment, they faced the substantial costs of converting from HFCs and those of converting from HCFCs.</w:t>
      </w:r>
    </w:p>
    <w:p w:rsidR="00187F17" w:rsidRPr="00DB6883" w:rsidRDefault="00187F17" w:rsidP="004E7D79">
      <w:pPr>
        <w:pStyle w:val="Normalnumber"/>
        <w:tabs>
          <w:tab w:val="clear" w:pos="567"/>
          <w:tab w:val="clear" w:pos="1247"/>
          <w:tab w:val="clear" w:pos="1814"/>
          <w:tab w:val="clear" w:pos="2381"/>
          <w:tab w:val="clear" w:pos="2948"/>
          <w:tab w:val="clear" w:pos="3515"/>
          <w:tab w:val="left" w:pos="624"/>
        </w:tabs>
      </w:pPr>
      <w:r w:rsidRPr="00DB6883">
        <w:t>In paragraph 6 of decision XXVIII/2, the parties had recognized a need for flexibility if no other technically proven and economically viable alternatives were available. A mechanism to put that principle into effect was needed. While he did not have firm proposals to put forward and was not expecting a decision to be taken at the current stage, he wished to signal the importance of the issue to parties operating under paragraph 1 of Article 5 and to encourage a constructive discussion on the topic.</w:t>
      </w:r>
    </w:p>
    <w:p w:rsidR="00187F17" w:rsidRPr="00DB6883" w:rsidRDefault="00187F17" w:rsidP="004E7D79">
      <w:pPr>
        <w:pStyle w:val="Normalnumber"/>
        <w:tabs>
          <w:tab w:val="clear" w:pos="567"/>
          <w:tab w:val="clear" w:pos="1247"/>
          <w:tab w:val="clear" w:pos="1814"/>
          <w:tab w:val="clear" w:pos="2381"/>
          <w:tab w:val="clear" w:pos="2948"/>
          <w:tab w:val="clear" w:pos="3515"/>
          <w:tab w:val="left" w:pos="624"/>
        </w:tabs>
      </w:pPr>
      <w:r w:rsidRPr="00DB6883">
        <w:t>Other representatives expressed agreement with the position of Saudi Arabia. One pointed out that his country’s HCFC phase-out management plan had been drawn up in 2011 on the assumption that HFC alternatives would be readily available. In some cases HFCs remained the only alternatives available, for example in household air conditioning in countries with high ambient temperatures, where R-410A, a blend of very high global-warming-potential HFCs, was the only alternative to HCFC-22. The costs of installing R-410A in thousands of households and subsequently replacing it again some 10 to 15 years later would be prohibitive. Air conditioning was a requirement, not a luxury, in his country and many others that faced summer temperatures in excess of 50°C, and it was unclear how their Governments should be planning for the years ahead. Representatives called for all parties’ understanding and guidance in helping parties operating under paragraph 1 of Article 5 to plan strategically.</w:t>
      </w:r>
    </w:p>
    <w:p w:rsidR="00187F17" w:rsidRPr="00DB6883" w:rsidRDefault="00187F17" w:rsidP="004E7D79">
      <w:pPr>
        <w:pStyle w:val="Normalnumber"/>
        <w:tabs>
          <w:tab w:val="clear" w:pos="567"/>
          <w:tab w:val="clear" w:pos="1247"/>
          <w:tab w:val="clear" w:pos="1814"/>
          <w:tab w:val="clear" w:pos="2381"/>
          <w:tab w:val="clear" w:pos="2948"/>
          <w:tab w:val="clear" w:pos="3515"/>
          <w:tab w:val="left" w:pos="624"/>
        </w:tabs>
      </w:pPr>
      <w:r w:rsidRPr="00DB6883">
        <w:t xml:space="preserve">One representative highlighted the challenges faced in replacing HCFCs in refrigeration technology used by fishing fleets, which was a problem common to many developing countries, including </w:t>
      </w:r>
      <w:proofErr w:type="gramStart"/>
      <w:r w:rsidRPr="00DB6883">
        <w:t>small island</w:t>
      </w:r>
      <w:proofErr w:type="gramEnd"/>
      <w:r w:rsidRPr="00DB6883">
        <w:t xml:space="preserve"> developing States. Another drew attention to the needs of low-volume-</w:t>
      </w:r>
      <w:r w:rsidRPr="00DB6883">
        <w:lastRenderedPageBreak/>
        <w:t>consuming countries, which relied entirely on imports of equipment and refrigerants and faced challenges in ensuring the provision of suitable training for technicians and capacity-building.</w:t>
      </w:r>
    </w:p>
    <w:p w:rsidR="00187F17" w:rsidRPr="00DB6883" w:rsidRDefault="00187F17" w:rsidP="004E7D79">
      <w:pPr>
        <w:pStyle w:val="Normalnumber"/>
        <w:tabs>
          <w:tab w:val="clear" w:pos="567"/>
          <w:tab w:val="clear" w:pos="1247"/>
          <w:tab w:val="clear" w:pos="1814"/>
          <w:tab w:val="clear" w:pos="2381"/>
          <w:tab w:val="clear" w:pos="2948"/>
          <w:tab w:val="clear" w:pos="3515"/>
          <w:tab w:val="left" w:pos="624"/>
        </w:tabs>
      </w:pPr>
      <w:r w:rsidRPr="00DB6883">
        <w:t>Other representatives acknowledged the concerns of parties operating under paragraph 1 of Article 5, in particular those with high-ambient-temperature climates, and the need to avoid double conversions, which would be both financially and environmentally harmful. They were confident that flexible and progressive solutions could be found in the framework of the Montreal Protocol, just as in the past. They expressed their willingness to include the item on the agenda of meetings under the Montreal Protocol in 2018 and, in the meantime, to work with interested parties to develop a way forward.</w:t>
      </w:r>
    </w:p>
    <w:p w:rsidR="00187F17" w:rsidRPr="00DB6883" w:rsidRDefault="00187F17" w:rsidP="004E7D79">
      <w:pPr>
        <w:pStyle w:val="Normalnumber"/>
        <w:tabs>
          <w:tab w:val="clear" w:pos="567"/>
          <w:tab w:val="clear" w:pos="1247"/>
          <w:tab w:val="clear" w:pos="1814"/>
          <w:tab w:val="clear" w:pos="2381"/>
          <w:tab w:val="clear" w:pos="2948"/>
          <w:tab w:val="clear" w:pos="3515"/>
          <w:tab w:val="left" w:pos="624"/>
        </w:tabs>
      </w:pPr>
      <w:r w:rsidRPr="00DB6883">
        <w:t>A number of representatives drew attention to the provisions of decision XXVIII/2, in which the parties had envisaged the possibility of deferring consideration of the HCFC compliance status of any party operating under a high-ambient-temperature exemption for 2025 and 2026 (with the possibility of extensions) where it had exceeded its allowable consumption levels owing to HCFC-22 consumption for specified uses in air conditioning. That, they said, would avoid the need to replace HCFC-22 with R-410A. For sectors other than air conditioning, the parties could seek guidance from the Technology and Economic Assessment Panel. They also pointed out that it had never been the aim under the Montreal Protocol to prescribe the use of particular technology; that was up to individual parties.</w:t>
      </w:r>
    </w:p>
    <w:p w:rsidR="00187F17" w:rsidRPr="00DB6883" w:rsidRDefault="00187F17" w:rsidP="004E7D79">
      <w:pPr>
        <w:pStyle w:val="Normalnumber"/>
        <w:tabs>
          <w:tab w:val="clear" w:pos="567"/>
          <w:tab w:val="clear" w:pos="1247"/>
          <w:tab w:val="clear" w:pos="1814"/>
          <w:tab w:val="clear" w:pos="2381"/>
          <w:tab w:val="clear" w:pos="2948"/>
          <w:tab w:val="clear" w:pos="3515"/>
          <w:tab w:val="left" w:pos="624"/>
        </w:tabs>
      </w:pPr>
      <w:r w:rsidRPr="00DB6883">
        <w:t xml:space="preserve">One representative recalled in </w:t>
      </w:r>
      <w:r w:rsidRPr="004F2239">
        <w:t>particular that</w:t>
      </w:r>
      <w:r w:rsidRPr="00DB6883">
        <w:t xml:space="preserve"> paragraphs 6–8 of decision XXVIII/2 had been included after discussions initiated by Saudi Arabia; they provided a framework that would be helpful in guiding future discussions</w:t>
      </w:r>
      <w:r w:rsidR="007B1690">
        <w:t>;</w:t>
      </w:r>
      <w:r w:rsidRPr="00DB6883">
        <w:t xml:space="preserve"> and their provisions were not limited to high-ambient-temperature countries. He would be willing to engage in discussions to clarify what further information parties needed, including, for example, information on industry trends in developing appropriate technologies. He also recalled that the date on which parties operating under high-ambient-temperature conditions could have consideration of their HCFC compliance status deferred had originally been proposed as 2020; it had been postponed to 2025 and 2026 at the suggestion of countries operating under </w:t>
      </w:r>
      <w:r w:rsidR="00C82100" w:rsidRPr="00DB6883">
        <w:br/>
      </w:r>
      <w:r w:rsidRPr="00DB6883">
        <w:t>high-ambient-temperature conditions.</w:t>
      </w:r>
    </w:p>
    <w:p w:rsidR="00187F17" w:rsidRPr="00DB6883" w:rsidRDefault="00187F17" w:rsidP="004E7D79">
      <w:pPr>
        <w:pStyle w:val="Normalnumber"/>
        <w:tabs>
          <w:tab w:val="clear" w:pos="567"/>
          <w:tab w:val="clear" w:pos="1247"/>
          <w:tab w:val="clear" w:pos="1814"/>
          <w:tab w:val="clear" w:pos="2381"/>
          <w:tab w:val="clear" w:pos="2948"/>
          <w:tab w:val="clear" w:pos="3515"/>
          <w:tab w:val="left" w:pos="624"/>
        </w:tabs>
      </w:pPr>
      <w:r w:rsidRPr="00DB6883">
        <w:t xml:space="preserve">Responding to those </w:t>
      </w:r>
      <w:r w:rsidRPr="00ED4D94">
        <w:t>comments, the representative</w:t>
      </w:r>
      <w:r w:rsidRPr="00DB6883">
        <w:t xml:space="preserve"> of Saudi Arabia expressed thanks to the parties for their willingness to display flexibility. He explained that his concerns were relevant to all parties operating under paragraph 1 of Article 5, not only those operating under high-ambient-temperature conditions, but that the latter group were facing particularly difficult challenges. He said that he recognized that the provisions of decision XXVIII/2 meant that such parties could wait longer for the transition, but was nonetheless concerned that there appeared to be no available low-global-warming-potential alternatives to several uses of HCFCs and the industries producing such alternatives were based abroad. He clarified that he was not expecting to be told which specific alternatives to use, but rather was seeking general guidance on the way forward.</w:t>
      </w:r>
    </w:p>
    <w:p w:rsidR="00187F17" w:rsidRPr="00DB6883" w:rsidRDefault="00187F17" w:rsidP="004E7D79">
      <w:pPr>
        <w:pStyle w:val="Normalnumber"/>
        <w:tabs>
          <w:tab w:val="clear" w:pos="567"/>
          <w:tab w:val="clear" w:pos="1247"/>
          <w:tab w:val="clear" w:pos="1814"/>
          <w:tab w:val="clear" w:pos="2381"/>
          <w:tab w:val="clear" w:pos="2948"/>
          <w:tab w:val="clear" w:pos="3515"/>
          <w:tab w:val="left" w:pos="624"/>
        </w:tabs>
      </w:pPr>
      <w:r w:rsidRPr="00DB6883">
        <w:t xml:space="preserve">The Co-Chair acknowledged parties’ concerns around the availability of suitable technology and substances to carry out the transition, in particular to avoid double conversions, the role of the Montreal Protocol in providing information rather than prescribing the use of particular technology and the need to develop a mechanism to make the provisions of paragraphs 6–8 of decision XXVIII/2 operational. </w:t>
      </w:r>
    </w:p>
    <w:p w:rsidR="00187F17" w:rsidRPr="00DB6883" w:rsidRDefault="00187F17" w:rsidP="004E7D79">
      <w:pPr>
        <w:pStyle w:val="Normalnumber"/>
        <w:tabs>
          <w:tab w:val="clear" w:pos="567"/>
          <w:tab w:val="clear" w:pos="1247"/>
          <w:tab w:val="clear" w:pos="1814"/>
          <w:tab w:val="clear" w:pos="2381"/>
          <w:tab w:val="clear" w:pos="2948"/>
          <w:tab w:val="clear" w:pos="3515"/>
          <w:tab w:val="left" w:pos="624"/>
        </w:tabs>
      </w:pPr>
      <w:r w:rsidRPr="00DB6883">
        <w:t>The parties agreed to include the item on the agenda of the fortieth meeting of the Open-ended Working Group.</w:t>
      </w:r>
    </w:p>
    <w:p w:rsidR="00187F17" w:rsidRPr="00DB6883" w:rsidRDefault="00830585" w:rsidP="00830585">
      <w:pPr>
        <w:pStyle w:val="CH2"/>
      </w:pPr>
      <w:r w:rsidRPr="00DB6883">
        <w:tab/>
        <w:t>B.</w:t>
      </w:r>
      <w:r w:rsidRPr="00DB6883">
        <w:tab/>
      </w:r>
      <w:r w:rsidR="00187F17" w:rsidRPr="00DB6883">
        <w:t>Impact of hurricanes on the ability of Caribbean States to meet their obligations under the Montreal Protocol</w:t>
      </w:r>
    </w:p>
    <w:p w:rsidR="00187F17" w:rsidRPr="00DB6883" w:rsidRDefault="00187F17" w:rsidP="004E7D79">
      <w:pPr>
        <w:pStyle w:val="Normalnumber"/>
        <w:tabs>
          <w:tab w:val="clear" w:pos="567"/>
          <w:tab w:val="clear" w:pos="1247"/>
          <w:tab w:val="clear" w:pos="1814"/>
          <w:tab w:val="clear" w:pos="2381"/>
          <w:tab w:val="clear" w:pos="2948"/>
          <w:tab w:val="clear" w:pos="3515"/>
          <w:tab w:val="left" w:pos="624"/>
        </w:tabs>
      </w:pPr>
      <w:r w:rsidRPr="00DB6883">
        <w:t xml:space="preserve">As agreed at the time of the adoption </w:t>
      </w:r>
      <w:r w:rsidRPr="00911D73">
        <w:t>of the agenda</w:t>
      </w:r>
      <w:r w:rsidRPr="00DB6883">
        <w:t>, the representative of Grenada introduced the subject of the impact of recent hurricanes on the ability of several Caribbean States to meet their obligations under the Montreal Protocol. He explained that 2017 had seen an unusually large number of category 5 hurricanes affect the Caribbean, with loss of life and severe damage to the infrastructure and the local economy. Antigua and Barbuda, the Bahamas, Cuba, Dominica and the Dominican Republic had been particularly badly affected. He acknowledged with appreciation the decision of the Executive Committee of the Multilateral Fund to provide additional assistance to Dominica and appealed to all the institutions under the Montreal Protocol to consider the impact of the hurricanes on the ability of the affected parties to meet their commitments.</w:t>
      </w:r>
    </w:p>
    <w:p w:rsidR="00187F17" w:rsidRPr="00DB6883" w:rsidRDefault="00187F17" w:rsidP="004E7D79">
      <w:pPr>
        <w:pStyle w:val="Normalnumber"/>
        <w:tabs>
          <w:tab w:val="clear" w:pos="567"/>
          <w:tab w:val="clear" w:pos="1247"/>
          <w:tab w:val="clear" w:pos="1814"/>
          <w:tab w:val="clear" w:pos="2381"/>
          <w:tab w:val="clear" w:pos="2948"/>
          <w:tab w:val="clear" w:pos="3515"/>
          <w:tab w:val="left" w:pos="624"/>
        </w:tabs>
      </w:pPr>
      <w:r w:rsidRPr="00DB6883">
        <w:t xml:space="preserve">Expressing their sympathy with the plight of the countries affected by the hurricanes, representatives highlighted other impacts of climate change and natural disasters, including the effects </w:t>
      </w:r>
      <w:r w:rsidRPr="00DB6883">
        <w:lastRenderedPageBreak/>
        <w:t>of higher rainfall leading to extensive flooding, thereby severely affecting food production. Another pointed to the impact of earthquakes and tsunami</w:t>
      </w:r>
      <w:r w:rsidR="00372E86">
        <w:t>s</w:t>
      </w:r>
      <w:r w:rsidRPr="00DB6883">
        <w:t xml:space="preserve">. </w:t>
      </w:r>
    </w:p>
    <w:p w:rsidR="00396F2D" w:rsidRPr="00DB6883" w:rsidRDefault="00187F17" w:rsidP="004E7D79">
      <w:pPr>
        <w:pStyle w:val="Normalnumber"/>
        <w:tabs>
          <w:tab w:val="clear" w:pos="567"/>
          <w:tab w:val="clear" w:pos="1247"/>
          <w:tab w:val="clear" w:pos="1814"/>
          <w:tab w:val="clear" w:pos="2381"/>
          <w:tab w:val="clear" w:pos="2948"/>
          <w:tab w:val="clear" w:pos="3515"/>
          <w:tab w:val="left" w:pos="624"/>
        </w:tabs>
      </w:pPr>
      <w:r w:rsidRPr="00DB6883">
        <w:t>One representative, while expressing his sympathy for those problems, queried whether the Montreal Protocol was the appropriate forum in which to discuss such issues. As he had said during discussions on the Kigali Amendment, he did not wish to see the Protocol evolve into an alternative or parallel climate treaty or extend even wider to encompass other environmental issues such as deforestation, desertification or loss of biodiversity.</w:t>
      </w:r>
    </w:p>
    <w:p w:rsidR="00396F2D" w:rsidRPr="004E7D79" w:rsidRDefault="00396F2D" w:rsidP="004E7D79">
      <w:pPr>
        <w:pStyle w:val="Normalnumber"/>
        <w:tabs>
          <w:tab w:val="clear" w:pos="567"/>
          <w:tab w:val="clear" w:pos="1247"/>
          <w:tab w:val="clear" w:pos="1814"/>
          <w:tab w:val="clear" w:pos="2381"/>
          <w:tab w:val="clear" w:pos="2948"/>
          <w:tab w:val="clear" w:pos="3515"/>
          <w:tab w:val="left" w:pos="624"/>
        </w:tabs>
      </w:pPr>
      <w:r w:rsidRPr="004E7D79">
        <w:t>Subsequently, the representative of Grenada introduced a draft decision,</w:t>
      </w:r>
      <w:r w:rsidR="00613BF9" w:rsidRPr="004E7D79">
        <w:t xml:space="preserve"> set out in a conference room paper,</w:t>
      </w:r>
      <w:r w:rsidRPr="004E7D79">
        <w:t xml:space="preserve"> by which the parties would encourage all parties to assist Antigua and Barbuda, the Bahamas, Cuba, Dominica and the Dominican Republic by controlling the export of ozone-depleting substances, and technologies dependent on them, to those countries, to avoid increasing their dependence on such substances, which could lead to a state of non-compliance; request the Executive Committee of the Multilateral Fund, the implementing agencies and the Implementation Committee to consider the impacts of the hurricanes on those countries in their decisions and activities; and request the relevant parties to provide an update on the situation at the Thirtieth Meeting of the Parties. </w:t>
      </w:r>
    </w:p>
    <w:p w:rsidR="00187F17" w:rsidRPr="00DB6883" w:rsidRDefault="00396F2D" w:rsidP="004E7D79">
      <w:pPr>
        <w:pStyle w:val="Normalnumber"/>
        <w:tabs>
          <w:tab w:val="clear" w:pos="567"/>
          <w:tab w:val="clear" w:pos="1247"/>
          <w:tab w:val="clear" w:pos="1814"/>
          <w:tab w:val="clear" w:pos="2381"/>
          <w:tab w:val="clear" w:pos="2948"/>
          <w:tab w:val="clear" w:pos="3515"/>
          <w:tab w:val="left" w:pos="624"/>
        </w:tabs>
      </w:pPr>
      <w:r w:rsidRPr="004E7D79">
        <w:t xml:space="preserve">Several representatives expressed their sympathy </w:t>
      </w:r>
      <w:r w:rsidR="00C228D0" w:rsidRPr="004E7D79">
        <w:t>for</w:t>
      </w:r>
      <w:r w:rsidRPr="004E7D79">
        <w:t xml:space="preserve"> the affected parties and their support in principle </w:t>
      </w:r>
      <w:r w:rsidR="008F27B1" w:rsidRPr="004E7D79">
        <w:t>for the draft decision, recogniz</w:t>
      </w:r>
      <w:r w:rsidRPr="004E7D79">
        <w:t xml:space="preserve">ing that the parties had adopted a similar decision with regard to Haiti after the earthquake in 2010. One </w:t>
      </w:r>
      <w:r w:rsidR="00EF048D" w:rsidRPr="004E7D79">
        <w:t>representative</w:t>
      </w:r>
      <w:r w:rsidRPr="004E7D79">
        <w:t xml:space="preserve"> </w:t>
      </w:r>
      <w:r w:rsidR="00EF048D" w:rsidRPr="004E7D79">
        <w:t>called</w:t>
      </w:r>
      <w:r w:rsidRPr="004E7D79">
        <w:t xml:space="preserve"> for a fact-finding mission to the region.</w:t>
      </w:r>
      <w:r w:rsidR="00187F17" w:rsidRPr="00DB6883">
        <w:t xml:space="preserve"> </w:t>
      </w:r>
    </w:p>
    <w:p w:rsidR="00443FCA" w:rsidRPr="00DB6883" w:rsidRDefault="00443FCA" w:rsidP="004E7D79">
      <w:pPr>
        <w:pStyle w:val="Normalnumber"/>
        <w:tabs>
          <w:tab w:val="clear" w:pos="567"/>
          <w:tab w:val="clear" w:pos="1247"/>
          <w:tab w:val="clear" w:pos="1814"/>
          <w:tab w:val="clear" w:pos="2381"/>
          <w:tab w:val="clear" w:pos="2948"/>
          <w:tab w:val="clear" w:pos="3515"/>
          <w:tab w:val="left" w:pos="624"/>
        </w:tabs>
      </w:pPr>
      <w:r w:rsidRPr="00DB6883">
        <w:t>Subsequently, the representative of Grenada introduced a revised draft decision, set out in a conference room paper.</w:t>
      </w:r>
    </w:p>
    <w:p w:rsidR="00443FCA" w:rsidRPr="00DB6883" w:rsidRDefault="00443FCA" w:rsidP="004E7D79">
      <w:pPr>
        <w:pStyle w:val="Normalnumber"/>
        <w:tabs>
          <w:tab w:val="clear" w:pos="567"/>
          <w:tab w:val="clear" w:pos="1247"/>
          <w:tab w:val="clear" w:pos="1814"/>
          <w:tab w:val="clear" w:pos="2381"/>
          <w:tab w:val="clear" w:pos="2948"/>
          <w:tab w:val="clear" w:pos="3515"/>
          <w:tab w:val="left" w:pos="624"/>
        </w:tabs>
      </w:pPr>
      <w:r w:rsidRPr="00DB6883">
        <w:t>The parties agreed to forward the draft decision for consideration and adoption during the high</w:t>
      </w:r>
      <w:r w:rsidRPr="00DB6883">
        <w:noBreakHyphen/>
        <w:t>level segment.</w:t>
      </w:r>
    </w:p>
    <w:p w:rsidR="004B04D7" w:rsidRPr="00DB6883" w:rsidRDefault="00CA70A5" w:rsidP="00830585">
      <w:pPr>
        <w:pStyle w:val="CH1"/>
      </w:pPr>
      <w:r w:rsidRPr="00DB6883">
        <w:tab/>
      </w:r>
      <w:r w:rsidRPr="00DB6883">
        <w:tab/>
      </w:r>
      <w:r w:rsidR="007D76E0" w:rsidRPr="00DB6883">
        <w:t xml:space="preserve">Part </w:t>
      </w:r>
      <w:r w:rsidR="0067504C" w:rsidRPr="00DB6883">
        <w:t>two</w:t>
      </w:r>
      <w:r w:rsidR="007D76E0" w:rsidRPr="00DB6883">
        <w:t xml:space="preserve">: </w:t>
      </w:r>
      <w:r w:rsidR="006E403A" w:rsidRPr="00DB6883">
        <w:t>high</w:t>
      </w:r>
      <w:r w:rsidR="004B04D7" w:rsidRPr="00DB6883">
        <w:t>-level segment (23 and 24 November 2017)</w:t>
      </w:r>
    </w:p>
    <w:p w:rsidR="004C6B9D" w:rsidRPr="00DB6883" w:rsidRDefault="00830585" w:rsidP="00830585">
      <w:pPr>
        <w:pStyle w:val="CH1"/>
      </w:pPr>
      <w:r w:rsidRPr="00DB6883">
        <w:tab/>
        <w:t>I.</w:t>
      </w:r>
      <w:r w:rsidRPr="00DB6883">
        <w:tab/>
      </w:r>
      <w:r w:rsidR="004C6B9D" w:rsidRPr="00DB6883">
        <w:t>Opening of the high-level segment</w:t>
      </w:r>
    </w:p>
    <w:p w:rsidR="004C6B9D" w:rsidRPr="00DF6D5C" w:rsidRDefault="004C6B9D" w:rsidP="004E7D79">
      <w:pPr>
        <w:pStyle w:val="Normalnumber"/>
        <w:tabs>
          <w:tab w:val="clear" w:pos="567"/>
          <w:tab w:val="clear" w:pos="1247"/>
          <w:tab w:val="clear" w:pos="1814"/>
          <w:tab w:val="clear" w:pos="2381"/>
          <w:tab w:val="clear" w:pos="2948"/>
          <w:tab w:val="clear" w:pos="3515"/>
          <w:tab w:val="left" w:pos="624"/>
        </w:tabs>
      </w:pPr>
      <w:r w:rsidRPr="00DB6883">
        <w:t xml:space="preserve">The high-level segment was opened at 10.10 a.m. on Thursday, 23 November 2017, by the President of the Bureau of the tenth meeting of the Conference of the Parties to the Vienna Convention and </w:t>
      </w:r>
      <w:r w:rsidRPr="00DF6D5C">
        <w:t>Minister of Environment and Natural Resources of Guatemala</w:t>
      </w:r>
      <w:r w:rsidRPr="004E7D79">
        <w:t>, Sydney Alexander Samuels Milson</w:t>
      </w:r>
      <w:r w:rsidRPr="00DF6D5C">
        <w:t>.</w:t>
      </w:r>
    </w:p>
    <w:p w:rsidR="004C6B9D" w:rsidRPr="00DB6883" w:rsidRDefault="004C6B9D" w:rsidP="004E7D79">
      <w:pPr>
        <w:pStyle w:val="Normalnumber"/>
        <w:tabs>
          <w:tab w:val="clear" w:pos="567"/>
          <w:tab w:val="clear" w:pos="1247"/>
          <w:tab w:val="clear" w:pos="1814"/>
          <w:tab w:val="clear" w:pos="2381"/>
          <w:tab w:val="clear" w:pos="2948"/>
          <w:tab w:val="clear" w:pos="3515"/>
          <w:tab w:val="left" w:pos="624"/>
        </w:tabs>
      </w:pPr>
      <w:r w:rsidRPr="00E861A7">
        <w:t>Opening statements were delivered by Mr.</w:t>
      </w:r>
      <w:r w:rsidRPr="00DB6883">
        <w:t xml:space="preserve"> Milson; the President of the Bureau of the Twenty</w:t>
      </w:r>
      <w:r w:rsidRPr="00DB6883">
        <w:noBreakHyphen/>
        <w:t>Eighth Meeting of the Parties to the Montreal Protocol and Minister of Environment of Rwanda, Vincent Biruta; the Executive Director of UNEP, Erik Solheim; and the Minister of Environment and Climate Change of Canada, Catherine McKenna.</w:t>
      </w:r>
    </w:p>
    <w:p w:rsidR="004C6B9D" w:rsidRPr="00DB6883" w:rsidRDefault="004C6B9D" w:rsidP="004E7D79">
      <w:pPr>
        <w:pStyle w:val="Normalnumber"/>
        <w:tabs>
          <w:tab w:val="clear" w:pos="567"/>
          <w:tab w:val="clear" w:pos="1247"/>
          <w:tab w:val="clear" w:pos="1814"/>
          <w:tab w:val="clear" w:pos="2381"/>
          <w:tab w:val="clear" w:pos="2948"/>
          <w:tab w:val="clear" w:pos="3515"/>
          <w:tab w:val="left" w:pos="624"/>
        </w:tabs>
      </w:pPr>
      <w:r w:rsidRPr="00DB6883">
        <w:t xml:space="preserve">In his statement, Mr. Milson welcomed </w:t>
      </w:r>
      <w:r w:rsidRPr="00E204AE">
        <w:t>the positive developments</w:t>
      </w:r>
      <w:r w:rsidRPr="00DB6883">
        <w:t xml:space="preserve"> in the implementation of the Vienna Convention since the previous meeting of the Conference of the Parties, but stressed that future scientific monitoring and research activities were threatened by the parlous financial situation of the General Trust Fund for Financing Activities on Research and Systematic Observations Relevant to the Vienna Convention. He called for the Conference of the Parties to make a renewed commitment to financing the Trust Fund in order to have sufficient data to move forward in improving knowledge of climate uncertainties and to be able to combat the significant challenges of climate change, ozone depletion and pollution. There was a compelling need to identify and stop those human activities that were endangering the environment before it was too late, he said, urging the Conference of the Parties to take any measure and decision necessary to provide the ozone layer with the protection that it needed. </w:t>
      </w:r>
    </w:p>
    <w:p w:rsidR="004C6B9D" w:rsidRPr="00DB6883" w:rsidRDefault="004C6B9D" w:rsidP="004E7D79">
      <w:pPr>
        <w:pStyle w:val="Normalnumber"/>
        <w:tabs>
          <w:tab w:val="clear" w:pos="567"/>
          <w:tab w:val="clear" w:pos="1247"/>
          <w:tab w:val="clear" w:pos="1814"/>
          <w:tab w:val="clear" w:pos="2381"/>
          <w:tab w:val="clear" w:pos="2948"/>
          <w:tab w:val="clear" w:pos="3515"/>
          <w:tab w:val="left" w:pos="624"/>
        </w:tabs>
      </w:pPr>
      <w:r w:rsidRPr="00DB6883">
        <w:t xml:space="preserve">Mr. Biruta, in his statement, noted that the city of Montreal had become synonymous with the protection of the ozone layer, thanks to the sterling work of the Government of Canada over the years, from the Vienna Convention for the Protection of the Ozone Layer to the Conference of the Plenipotentiaries on the Protocol on Chlorofluorocarbons, which adopted the Montreal Protocol in 1987, to the present day. The Protocol was a significant success story, having saved millions of people from the deleterious effects of ozone depletion, and, with the adoption and subsequent ratification of the Kigali Amendment by 22 parties, more success was to come when the Amendment entered into force in 2019. Those parties that had not yet ratified the Amendment should do so forthwith. Looking to the agenda of the current meeting, he noted that without sufficient financial support it would be almost impossible for parties operating under paragraph 1 of Article 5 to sustain their efforts to phase out ozone-depleting substances and to begin work to phase down hydrofluorocarbons, in line with the </w:t>
      </w:r>
      <w:r w:rsidRPr="00DB6883">
        <w:lastRenderedPageBreak/>
        <w:t>Amendment. It was therefore critical that the Multilateral Fund be adequately replenished. The strong link between energy efficiency and the Amendment should also be emphasized, as work to ensure energy efficiency could see a doubling of the climate benefits from the Amendment.</w:t>
      </w:r>
    </w:p>
    <w:p w:rsidR="004C6B9D" w:rsidRPr="00DB6883" w:rsidRDefault="004C6B9D" w:rsidP="004E7D79">
      <w:pPr>
        <w:pStyle w:val="Normalnumber"/>
        <w:tabs>
          <w:tab w:val="clear" w:pos="567"/>
          <w:tab w:val="clear" w:pos="1247"/>
          <w:tab w:val="clear" w:pos="1814"/>
          <w:tab w:val="clear" w:pos="2381"/>
          <w:tab w:val="clear" w:pos="2948"/>
          <w:tab w:val="clear" w:pos="3515"/>
          <w:tab w:val="left" w:pos="624"/>
        </w:tabs>
      </w:pPr>
      <w:r w:rsidRPr="00DB6883">
        <w:t xml:space="preserve">In his statement, the Executive Director of UNEP stressed that the world needed to come together to take action to </w:t>
      </w:r>
      <w:r w:rsidRPr="00E9040D">
        <w:t>solve the scourges</w:t>
      </w:r>
      <w:r w:rsidRPr="00DB6883">
        <w:t xml:space="preserve"> facing humanity, just as it had in 1987 with the adoption of the Montreal Protocol, which had become the most successful international treaty of all time and thanks to which the hole in the o</w:t>
      </w:r>
      <w:r w:rsidRPr="00134C84">
        <w:t>zone layer was shrinking and was on track to have closed by 2050. There were, he said, four key aspects that, knitted together, would lead to successful outcomes: science, citizenry, good political leadership and business. Good scientific knowledge was the cornerstone of all action, meaning that it was critical to counter the nascent anti-science movement that was beginning to gain ground in some parts of the w</w:t>
      </w:r>
      <w:r w:rsidRPr="00DB6883">
        <w:t>orld. The dangerous denial of basic scientific truths could lead to the spread of disease and death. Equally, without citizen mobilization for good causes, there would be little will to act on the part of politicians and business. Turning to the political aspect, he lauded current and previous politicians, including those not seen as environmentalists, who had shown brave leadership by taking difficult decisions. Lastly, on the role of business, he praised the innovative spirit of those businesses that had enabled the full and successful implementation of the Protocol, looking forward to a move to cleaner cooling of the planet through the implementation of the Kigali Amendment. Those four indivisible aspects would, he stressed, enable the international community to lift all citizens out of extreme poverty, provide education for all, protect wildlife and put an end to climate change.</w:t>
      </w:r>
    </w:p>
    <w:p w:rsidR="004C6B9D" w:rsidRPr="00DB6883" w:rsidRDefault="004C6B9D" w:rsidP="004E7D79">
      <w:pPr>
        <w:pStyle w:val="Normalnumber"/>
        <w:tabs>
          <w:tab w:val="clear" w:pos="567"/>
          <w:tab w:val="clear" w:pos="1247"/>
          <w:tab w:val="clear" w:pos="1814"/>
          <w:tab w:val="clear" w:pos="2381"/>
          <w:tab w:val="clear" w:pos="2948"/>
          <w:tab w:val="clear" w:pos="3515"/>
          <w:tab w:val="left" w:pos="624"/>
        </w:tabs>
      </w:pPr>
      <w:r w:rsidRPr="00DB6883">
        <w:t xml:space="preserve">Ms. McKenna, in her statement, </w:t>
      </w:r>
      <w:r w:rsidRPr="00553150">
        <w:t>welcomed the</w:t>
      </w:r>
      <w:r w:rsidRPr="00DB6883">
        <w:t xml:space="preserve"> momentous accomplishments of the Montreal Protocol and the 22 ratifications of the Kigali Amendment, noting that between 1987 and 2010 the Protocol had led to the elimination of more than 135 billion tonnes of carbon dioxide equivalent and the phase-out of close to 100 ozone</w:t>
      </w:r>
      <w:r w:rsidRPr="00DB6883">
        <w:noBreakHyphen/>
        <w:t>depleting substances, and the ozone layer was healing. Politicians of different political persuasions, scientists and many others across the globe had come together to attain a lofty goal and had proved sceptics wrong. That success and that leadership must come to the fore again in the face of climate change, which was having devastating effects, she said, citing the example of Inuit communities in the high Arctic facing not only the loss of caribou herds, which had great cultural importance as well as being a source of food, but also the loss of life, as the ice that had borne the weight of hunters who, for many generations, had lived in those areas became too thin to do so. It behoved the international community, for the sake of future generations, to show the same leadership as in 1987, to listen to science, to cooperate with industry and to foster innovation, working together as one. Difficult decisions would have to be taken, but had been taken before and could be taken again.</w:t>
      </w:r>
    </w:p>
    <w:p w:rsidR="004C6B9D" w:rsidRPr="00DB6883" w:rsidRDefault="004C6B9D" w:rsidP="004E7D79">
      <w:pPr>
        <w:pStyle w:val="Normalnumber"/>
        <w:tabs>
          <w:tab w:val="clear" w:pos="567"/>
          <w:tab w:val="clear" w:pos="1247"/>
          <w:tab w:val="clear" w:pos="1814"/>
          <w:tab w:val="clear" w:pos="2381"/>
          <w:tab w:val="clear" w:pos="2948"/>
          <w:tab w:val="clear" w:pos="3515"/>
          <w:tab w:val="left" w:pos="624"/>
        </w:tabs>
      </w:pPr>
      <w:r w:rsidRPr="00DB6883">
        <w:t>Following those opening remarks, the parties watched a North American First Nation hoop dance, a traditional dance in which the hoops represent the human connection to the land, trees, water, nature, animals and birds, celebrating life and the natural world.</w:t>
      </w:r>
    </w:p>
    <w:p w:rsidR="004C6B9D" w:rsidRPr="00DB6883" w:rsidRDefault="004C6B9D" w:rsidP="00830585">
      <w:pPr>
        <w:pStyle w:val="CH1"/>
      </w:pPr>
      <w:r w:rsidRPr="00DB6883">
        <w:tab/>
        <w:t>II.</w:t>
      </w:r>
      <w:r w:rsidRPr="00DB6883">
        <w:tab/>
        <w:t>Organizational matters</w:t>
      </w:r>
    </w:p>
    <w:p w:rsidR="004C6B9D" w:rsidRPr="00DB6883" w:rsidRDefault="004C6B9D" w:rsidP="00830585">
      <w:pPr>
        <w:pStyle w:val="CH2"/>
      </w:pPr>
      <w:r w:rsidRPr="00DB6883">
        <w:tab/>
        <w:t>A.</w:t>
      </w:r>
      <w:r w:rsidRPr="00DB6883">
        <w:tab/>
        <w:t>Election of officers of the eleventh meeting of the Conference of the Parties to the Vienna Convention</w:t>
      </w:r>
    </w:p>
    <w:p w:rsidR="004C6B9D" w:rsidRPr="00DB6883" w:rsidRDefault="004C6B9D" w:rsidP="004E7D79">
      <w:pPr>
        <w:pStyle w:val="Normalnumber"/>
        <w:tabs>
          <w:tab w:val="clear" w:pos="567"/>
          <w:tab w:val="clear" w:pos="1247"/>
          <w:tab w:val="clear" w:pos="1814"/>
          <w:tab w:val="clear" w:pos="2381"/>
          <w:tab w:val="clear" w:pos="2948"/>
          <w:tab w:val="clear" w:pos="3515"/>
          <w:tab w:val="left" w:pos="624"/>
        </w:tabs>
      </w:pPr>
      <w:r w:rsidRPr="00DB6883">
        <w:t xml:space="preserve">At the opening session of the </w:t>
      </w:r>
      <w:r w:rsidRPr="003124C5">
        <w:t>high-level segment</w:t>
      </w:r>
      <w:r w:rsidRPr="00DB6883">
        <w:t xml:space="preserve"> of the meeting, in accordance with paragraph 1 of rule 21 of the rules of procedure, the following officers were elected, by acclamation, to the Bureau of the eleventh meeting of the Conference of the Parties to the Vienna Convention:</w:t>
      </w:r>
    </w:p>
    <w:p w:rsidR="004C6B9D" w:rsidRPr="00DB6883" w:rsidRDefault="004C6B9D" w:rsidP="00830585">
      <w:pPr>
        <w:pStyle w:val="Normalpool"/>
        <w:spacing w:after="120"/>
        <w:ind w:left="1247"/>
      </w:pPr>
      <w:r w:rsidRPr="00DB6883">
        <w:t xml:space="preserve">President: </w:t>
      </w:r>
      <w:r w:rsidRPr="00DB6883">
        <w:tab/>
      </w:r>
      <w:r w:rsidR="00830585" w:rsidRPr="00DB6883">
        <w:tab/>
      </w:r>
      <w:r w:rsidRPr="00DB6883">
        <w:t>Marc D’Iorio (Canada) (Western European and other States)</w:t>
      </w:r>
    </w:p>
    <w:p w:rsidR="004C6B9D" w:rsidRPr="00DB6883" w:rsidRDefault="004C6B9D" w:rsidP="00830585">
      <w:pPr>
        <w:pStyle w:val="Normalpool"/>
        <w:spacing w:after="120"/>
        <w:ind w:left="1247"/>
      </w:pPr>
      <w:r w:rsidRPr="00DB6883">
        <w:t xml:space="preserve">Vice-Presidents: </w:t>
      </w:r>
      <w:r w:rsidRPr="00DB6883">
        <w:tab/>
        <w:t>Ezzat Lewis H. Agaiby (Egypt) (African States)</w:t>
      </w:r>
    </w:p>
    <w:p w:rsidR="004C6B9D" w:rsidRPr="00DB6883" w:rsidRDefault="004C6B9D" w:rsidP="00830585">
      <w:pPr>
        <w:pStyle w:val="Normalpool"/>
        <w:tabs>
          <w:tab w:val="clear" w:pos="1253"/>
          <w:tab w:val="left" w:pos="1843"/>
        </w:tabs>
        <w:spacing w:after="120"/>
        <w:ind w:left="2977"/>
      </w:pPr>
      <w:r w:rsidRPr="00DB6883">
        <w:t>Abdullah Al Islam Jakob (Bangladesh) (Asia-Pacific States)</w:t>
      </w:r>
    </w:p>
    <w:p w:rsidR="004C6B9D" w:rsidRPr="00DB6883" w:rsidRDefault="004C6B9D" w:rsidP="00830585">
      <w:pPr>
        <w:pStyle w:val="Normalpool"/>
        <w:tabs>
          <w:tab w:val="clear" w:pos="1253"/>
          <w:tab w:val="left" w:pos="1843"/>
        </w:tabs>
        <w:spacing w:after="120"/>
        <w:ind w:left="2977"/>
      </w:pPr>
      <w:r w:rsidRPr="00DB6883">
        <w:t xml:space="preserve">Liana Ghahramanyan (Armenia) (Eastern European States) </w:t>
      </w:r>
    </w:p>
    <w:p w:rsidR="004C6B9D" w:rsidRPr="00DB6883" w:rsidRDefault="004C6B9D" w:rsidP="00830585">
      <w:pPr>
        <w:pStyle w:val="Normalpool"/>
        <w:spacing w:after="120"/>
        <w:ind w:left="1247"/>
        <w:rPr>
          <w:bCs/>
          <w:color w:val="000000"/>
        </w:rPr>
      </w:pPr>
      <w:r w:rsidRPr="00DB6883">
        <w:t xml:space="preserve">Rapporteur: </w:t>
      </w:r>
      <w:r w:rsidRPr="00DB6883">
        <w:tab/>
      </w:r>
      <w:r w:rsidR="00830585" w:rsidRPr="00DB6883">
        <w:tab/>
      </w:r>
      <w:r w:rsidRPr="00DB6883">
        <w:t>Ulises Lovera (Paraguay) (Latin American and Caribbean States)</w:t>
      </w:r>
    </w:p>
    <w:p w:rsidR="004C6B9D" w:rsidRPr="00DB6883" w:rsidRDefault="004C6B9D" w:rsidP="00830585">
      <w:pPr>
        <w:pStyle w:val="CH2"/>
      </w:pPr>
      <w:r w:rsidRPr="00DB6883">
        <w:tab/>
        <w:t>B.</w:t>
      </w:r>
      <w:r w:rsidRPr="00DB6883">
        <w:tab/>
        <w:t>Election of officers of the Twenty-Ninth Meeting of the Parties to the Montreal Protocol</w:t>
      </w:r>
    </w:p>
    <w:p w:rsidR="004C6B9D" w:rsidRPr="00DB6883" w:rsidRDefault="004C6B9D" w:rsidP="004E7D79">
      <w:pPr>
        <w:pStyle w:val="Normalnumber"/>
        <w:tabs>
          <w:tab w:val="clear" w:pos="567"/>
          <w:tab w:val="clear" w:pos="1247"/>
          <w:tab w:val="clear" w:pos="1814"/>
          <w:tab w:val="clear" w:pos="2381"/>
          <w:tab w:val="clear" w:pos="2948"/>
          <w:tab w:val="clear" w:pos="3515"/>
          <w:tab w:val="left" w:pos="624"/>
        </w:tabs>
      </w:pPr>
      <w:r w:rsidRPr="00DB6883">
        <w:t xml:space="preserve">At the opening session of the </w:t>
      </w:r>
      <w:r w:rsidRPr="00495C71">
        <w:t>high-level segment</w:t>
      </w:r>
      <w:r w:rsidRPr="00DB6883">
        <w:t xml:space="preserve"> of the meeting, in accordance with paragraph 1 of rule 21 of the rules of procedure, the following officers were elected, by acclamation, to the Bureau of the Twenty-Ninth Meeting of the Parties to the Montreal Protocol:</w:t>
      </w:r>
    </w:p>
    <w:p w:rsidR="004C6B9D" w:rsidRPr="00DB6883" w:rsidRDefault="004C6B9D" w:rsidP="00830585">
      <w:pPr>
        <w:pStyle w:val="Normalpool"/>
        <w:keepNext/>
        <w:keepLines/>
        <w:spacing w:after="120"/>
        <w:ind w:left="1247"/>
      </w:pPr>
      <w:r w:rsidRPr="00DB6883">
        <w:lastRenderedPageBreak/>
        <w:t xml:space="preserve">President: </w:t>
      </w:r>
      <w:r w:rsidRPr="00DB6883">
        <w:tab/>
      </w:r>
      <w:r w:rsidR="00830585" w:rsidRPr="00DB6883">
        <w:tab/>
      </w:r>
      <w:r w:rsidRPr="00DB6883">
        <w:t>Yaqoub al-Matouq (Kuwait) (Asia-Pacific States)</w:t>
      </w:r>
    </w:p>
    <w:p w:rsidR="004C6B9D" w:rsidRPr="00DB6883" w:rsidRDefault="004C6B9D" w:rsidP="00830585">
      <w:pPr>
        <w:pStyle w:val="Normalpool"/>
        <w:keepNext/>
        <w:keepLines/>
        <w:spacing w:after="120"/>
        <w:ind w:left="1247"/>
      </w:pPr>
      <w:r w:rsidRPr="00DB6883">
        <w:t xml:space="preserve">Vice-Presidents: </w:t>
      </w:r>
      <w:r w:rsidRPr="00DB6883">
        <w:tab/>
        <w:t>Azra Rogovic-Grubic (Bosnia and Herzegovina) (Eastern European States)</w:t>
      </w:r>
    </w:p>
    <w:p w:rsidR="004C6B9D" w:rsidRPr="00DB6883" w:rsidRDefault="004C6B9D" w:rsidP="00830585">
      <w:pPr>
        <w:pStyle w:val="Normalpool"/>
        <w:tabs>
          <w:tab w:val="clear" w:pos="1253"/>
          <w:tab w:val="left" w:pos="1843"/>
        </w:tabs>
        <w:spacing w:after="120"/>
        <w:ind w:left="2977"/>
      </w:pPr>
      <w:r w:rsidRPr="00DB6883">
        <w:t xml:space="preserve">Patricia </w:t>
      </w:r>
      <w:r w:rsidR="00495C71">
        <w:t xml:space="preserve">Soares </w:t>
      </w:r>
      <w:r w:rsidRPr="00DB6883">
        <w:t>Leite (Brazil) (Latin American and Caribbean States)</w:t>
      </w:r>
    </w:p>
    <w:p w:rsidR="004C6B9D" w:rsidRPr="00DB6883" w:rsidRDefault="004C6B9D" w:rsidP="00830585">
      <w:pPr>
        <w:pStyle w:val="Normalpool"/>
        <w:tabs>
          <w:tab w:val="clear" w:pos="1253"/>
          <w:tab w:val="left" w:pos="1843"/>
        </w:tabs>
        <w:spacing w:after="120"/>
        <w:ind w:left="2977"/>
      </w:pPr>
      <w:r w:rsidRPr="00DB6883">
        <w:t>Larke Williams (United States of America) (Western European and other States)</w:t>
      </w:r>
    </w:p>
    <w:p w:rsidR="004C6B9D" w:rsidRPr="00DB6883" w:rsidRDefault="004C6B9D" w:rsidP="00830585">
      <w:pPr>
        <w:pStyle w:val="Normalpool"/>
        <w:spacing w:after="120"/>
        <w:ind w:left="1247"/>
      </w:pPr>
      <w:r w:rsidRPr="00DB6883">
        <w:t xml:space="preserve">Rapporteur: </w:t>
      </w:r>
      <w:r w:rsidRPr="00DB6883">
        <w:tab/>
      </w:r>
      <w:r w:rsidR="00830585" w:rsidRPr="00DB6883">
        <w:tab/>
      </w:r>
      <w:r w:rsidRPr="00DB6883">
        <w:t>Samuel Paré (Burkina Faso) (African States)</w:t>
      </w:r>
    </w:p>
    <w:p w:rsidR="004C6B9D" w:rsidRPr="00DB6883" w:rsidRDefault="004C6B9D" w:rsidP="004C6B9D">
      <w:pPr>
        <w:pStyle w:val="CH2"/>
      </w:pPr>
      <w:r w:rsidRPr="00DB6883">
        <w:tab/>
        <w:t>C.</w:t>
      </w:r>
      <w:r w:rsidRPr="00DB6883">
        <w:tab/>
        <w:t>Adoption of the agenda of the high-level segment of the eleventh meeting of the Conference of the Parties to the Vienna Convention and the Twenty</w:t>
      </w:r>
      <w:r w:rsidRPr="00DB6883">
        <w:noBreakHyphen/>
        <w:t>Ninth Meeting of the Parties to the Montreal Protocol</w:t>
      </w:r>
    </w:p>
    <w:p w:rsidR="004C6B9D" w:rsidRPr="00DB6883" w:rsidRDefault="004C6B9D" w:rsidP="004E7D79">
      <w:pPr>
        <w:pStyle w:val="Normalnumber"/>
        <w:tabs>
          <w:tab w:val="clear" w:pos="567"/>
          <w:tab w:val="clear" w:pos="1247"/>
          <w:tab w:val="clear" w:pos="1814"/>
          <w:tab w:val="clear" w:pos="2381"/>
          <w:tab w:val="clear" w:pos="2948"/>
          <w:tab w:val="clear" w:pos="3515"/>
          <w:tab w:val="left" w:pos="624"/>
        </w:tabs>
      </w:pPr>
      <w:r w:rsidRPr="00DB6883">
        <w:t xml:space="preserve">The following agenda for the high-level segment was adopted on the basis of the provisional agenda contained </w:t>
      </w:r>
      <w:r w:rsidRPr="00DB6883">
        <w:rPr>
          <w:bCs/>
        </w:rPr>
        <w:t>in</w:t>
      </w:r>
      <w:r w:rsidRPr="00DB6883">
        <w:t xml:space="preserve"> document UNEP/OzL.Conv.11/1-UNEP/OzL.Pro.29/1:</w:t>
      </w:r>
    </w:p>
    <w:p w:rsidR="004C6B9D" w:rsidRPr="00DB6883" w:rsidRDefault="004C6B9D" w:rsidP="004E7D79">
      <w:pPr>
        <w:pStyle w:val="Normalpool"/>
        <w:numPr>
          <w:ilvl w:val="0"/>
          <w:numId w:val="14"/>
        </w:numPr>
        <w:tabs>
          <w:tab w:val="clear" w:pos="1253"/>
          <w:tab w:val="clear" w:pos="1814"/>
          <w:tab w:val="clear" w:pos="2376"/>
          <w:tab w:val="clear" w:pos="2952"/>
          <w:tab w:val="clear" w:pos="3514"/>
          <w:tab w:val="left" w:pos="624"/>
        </w:tabs>
        <w:spacing w:after="120"/>
        <w:ind w:left="2495" w:hanging="624"/>
      </w:pPr>
      <w:r w:rsidRPr="00DB6883">
        <w:t>Opening of the high-level segment.</w:t>
      </w:r>
    </w:p>
    <w:p w:rsidR="004C6B9D" w:rsidRPr="00DB6883" w:rsidRDefault="004C6B9D" w:rsidP="004E7D79">
      <w:pPr>
        <w:pStyle w:val="Normalpool"/>
        <w:numPr>
          <w:ilvl w:val="0"/>
          <w:numId w:val="14"/>
        </w:numPr>
        <w:tabs>
          <w:tab w:val="clear" w:pos="1253"/>
          <w:tab w:val="clear" w:pos="1814"/>
          <w:tab w:val="clear" w:pos="2376"/>
          <w:tab w:val="clear" w:pos="2952"/>
          <w:tab w:val="clear" w:pos="3514"/>
          <w:tab w:val="left" w:pos="624"/>
        </w:tabs>
        <w:spacing w:after="120"/>
        <w:ind w:left="2495" w:hanging="624"/>
      </w:pPr>
      <w:r w:rsidRPr="00DB6883">
        <w:t>Organizational matters:</w:t>
      </w:r>
    </w:p>
    <w:p w:rsidR="004C6B9D" w:rsidRPr="00DB6883" w:rsidRDefault="004C6B9D" w:rsidP="004E7D79">
      <w:pPr>
        <w:pStyle w:val="Normalpool"/>
        <w:numPr>
          <w:ilvl w:val="0"/>
          <w:numId w:val="15"/>
        </w:numPr>
        <w:tabs>
          <w:tab w:val="clear" w:pos="1253"/>
          <w:tab w:val="clear" w:pos="1814"/>
          <w:tab w:val="clear" w:pos="2376"/>
          <w:tab w:val="clear" w:pos="2952"/>
          <w:tab w:val="clear" w:pos="3514"/>
          <w:tab w:val="left" w:pos="624"/>
        </w:tabs>
        <w:spacing w:after="120"/>
        <w:ind w:left="3119" w:hanging="624"/>
      </w:pPr>
      <w:r w:rsidRPr="00DB6883">
        <w:t>Election of officers of the eleventh meeting of the Conference of the Parties to the Vienna Convention;</w:t>
      </w:r>
    </w:p>
    <w:p w:rsidR="004C6B9D" w:rsidRPr="00DB6883" w:rsidRDefault="004C6B9D" w:rsidP="004E7D79">
      <w:pPr>
        <w:pStyle w:val="Normalpool"/>
        <w:numPr>
          <w:ilvl w:val="0"/>
          <w:numId w:val="15"/>
        </w:numPr>
        <w:tabs>
          <w:tab w:val="clear" w:pos="1253"/>
          <w:tab w:val="clear" w:pos="1814"/>
          <w:tab w:val="clear" w:pos="2376"/>
          <w:tab w:val="clear" w:pos="2952"/>
          <w:tab w:val="clear" w:pos="3514"/>
          <w:tab w:val="left" w:pos="624"/>
        </w:tabs>
        <w:spacing w:after="120"/>
        <w:ind w:left="3119" w:hanging="624"/>
      </w:pPr>
      <w:r w:rsidRPr="00DB6883">
        <w:t>Election of officers of the Twenty-Ninth Meeting of the Parties to the Montreal Protocol;</w:t>
      </w:r>
    </w:p>
    <w:p w:rsidR="004C6B9D" w:rsidRPr="00DB6883" w:rsidRDefault="004C6B9D" w:rsidP="004E7D79">
      <w:pPr>
        <w:pStyle w:val="Normalpool"/>
        <w:numPr>
          <w:ilvl w:val="0"/>
          <w:numId w:val="15"/>
        </w:numPr>
        <w:tabs>
          <w:tab w:val="clear" w:pos="1253"/>
          <w:tab w:val="clear" w:pos="1814"/>
          <w:tab w:val="clear" w:pos="2376"/>
          <w:tab w:val="clear" w:pos="2952"/>
          <w:tab w:val="clear" w:pos="3514"/>
          <w:tab w:val="left" w:pos="624"/>
        </w:tabs>
        <w:spacing w:after="120"/>
        <w:ind w:left="3119" w:hanging="624"/>
      </w:pPr>
      <w:r w:rsidRPr="00DB6883">
        <w:t>Adoption of the agenda of the high-level segment of the eleventh meeting of the Conference of the Parties to the Vienna Convention and the Twenty-Ninth Meeting of the Parties to the Montreal Protocol;</w:t>
      </w:r>
    </w:p>
    <w:p w:rsidR="004C6B9D" w:rsidRPr="00DB6883" w:rsidRDefault="004C6B9D" w:rsidP="004E7D79">
      <w:pPr>
        <w:pStyle w:val="Normalpool"/>
        <w:numPr>
          <w:ilvl w:val="0"/>
          <w:numId w:val="15"/>
        </w:numPr>
        <w:tabs>
          <w:tab w:val="clear" w:pos="1253"/>
          <w:tab w:val="clear" w:pos="1814"/>
          <w:tab w:val="clear" w:pos="2376"/>
          <w:tab w:val="clear" w:pos="2952"/>
          <w:tab w:val="clear" w:pos="3514"/>
          <w:tab w:val="left" w:pos="624"/>
        </w:tabs>
        <w:spacing w:after="120"/>
        <w:ind w:left="3119" w:hanging="624"/>
      </w:pPr>
      <w:r w:rsidRPr="00DB6883">
        <w:t>Organization of work;</w:t>
      </w:r>
    </w:p>
    <w:p w:rsidR="004C6B9D" w:rsidRPr="00DB6883" w:rsidRDefault="004C6B9D" w:rsidP="004E7D79">
      <w:pPr>
        <w:pStyle w:val="Normalpool"/>
        <w:numPr>
          <w:ilvl w:val="0"/>
          <w:numId w:val="15"/>
        </w:numPr>
        <w:tabs>
          <w:tab w:val="clear" w:pos="1253"/>
          <w:tab w:val="clear" w:pos="1814"/>
          <w:tab w:val="clear" w:pos="2376"/>
          <w:tab w:val="clear" w:pos="2952"/>
          <w:tab w:val="clear" w:pos="3514"/>
          <w:tab w:val="left" w:pos="624"/>
        </w:tabs>
        <w:spacing w:after="120"/>
        <w:ind w:left="3119" w:hanging="624"/>
      </w:pPr>
      <w:r w:rsidRPr="00DB6883">
        <w:t>Credentials of representatives.</w:t>
      </w:r>
    </w:p>
    <w:p w:rsidR="004C6B9D" w:rsidRPr="00DB6883" w:rsidRDefault="004C6B9D" w:rsidP="004E7D79">
      <w:pPr>
        <w:pStyle w:val="Normalpool"/>
        <w:numPr>
          <w:ilvl w:val="0"/>
          <w:numId w:val="14"/>
        </w:numPr>
        <w:tabs>
          <w:tab w:val="clear" w:pos="1253"/>
          <w:tab w:val="clear" w:pos="1814"/>
          <w:tab w:val="clear" w:pos="2376"/>
          <w:tab w:val="clear" w:pos="2952"/>
          <w:tab w:val="clear" w:pos="3514"/>
          <w:tab w:val="left" w:pos="624"/>
        </w:tabs>
        <w:spacing w:after="120"/>
        <w:ind w:left="2495" w:hanging="624"/>
      </w:pPr>
      <w:r w:rsidRPr="00DB6883">
        <w:t>Presentations by the assessment panels on the status of their work, including latest developments.</w:t>
      </w:r>
    </w:p>
    <w:p w:rsidR="004C6B9D" w:rsidRPr="00DB6883" w:rsidRDefault="004C6B9D" w:rsidP="004E7D79">
      <w:pPr>
        <w:pStyle w:val="Normalpool"/>
        <w:numPr>
          <w:ilvl w:val="0"/>
          <w:numId w:val="14"/>
        </w:numPr>
        <w:tabs>
          <w:tab w:val="clear" w:pos="1253"/>
          <w:tab w:val="clear" w:pos="1814"/>
          <w:tab w:val="clear" w:pos="2376"/>
          <w:tab w:val="clear" w:pos="2952"/>
          <w:tab w:val="clear" w:pos="3514"/>
          <w:tab w:val="left" w:pos="624"/>
        </w:tabs>
        <w:spacing w:after="120"/>
        <w:ind w:left="2495" w:hanging="624"/>
      </w:pPr>
      <w:r w:rsidRPr="00DB6883">
        <w:t>Presentation by the Chair of the Executive Committee of the Multilateral Fund on the work of the Executive Committee.</w:t>
      </w:r>
    </w:p>
    <w:p w:rsidR="004C6B9D" w:rsidRPr="00DB6883" w:rsidRDefault="004C6B9D" w:rsidP="004E7D79">
      <w:pPr>
        <w:pStyle w:val="Normalpool"/>
        <w:numPr>
          <w:ilvl w:val="0"/>
          <w:numId w:val="14"/>
        </w:numPr>
        <w:tabs>
          <w:tab w:val="clear" w:pos="1253"/>
          <w:tab w:val="clear" w:pos="1814"/>
          <w:tab w:val="clear" w:pos="2376"/>
          <w:tab w:val="clear" w:pos="2952"/>
          <w:tab w:val="clear" w:pos="3514"/>
          <w:tab w:val="left" w:pos="624"/>
        </w:tabs>
        <w:spacing w:after="120"/>
        <w:ind w:left="2495" w:hanging="624"/>
      </w:pPr>
      <w:r w:rsidRPr="00DB6883">
        <w:t>Statements by heads of delegation and discussion on key topics including:</w:t>
      </w:r>
    </w:p>
    <w:p w:rsidR="004C6B9D" w:rsidRPr="00DB6883" w:rsidRDefault="004C6B9D" w:rsidP="004E7D79">
      <w:pPr>
        <w:pStyle w:val="Normalpool"/>
        <w:numPr>
          <w:ilvl w:val="0"/>
          <w:numId w:val="16"/>
        </w:numPr>
        <w:tabs>
          <w:tab w:val="clear" w:pos="1253"/>
          <w:tab w:val="clear" w:pos="1814"/>
          <w:tab w:val="clear" w:pos="2376"/>
          <w:tab w:val="clear" w:pos="2952"/>
          <w:tab w:val="clear" w:pos="3514"/>
          <w:tab w:val="left" w:pos="624"/>
        </w:tabs>
        <w:spacing w:after="120"/>
        <w:ind w:left="3119" w:hanging="624"/>
      </w:pPr>
      <w:r w:rsidRPr="00DB6883">
        <w:t>Identifying future opportunities and priorities (high-level round table);</w:t>
      </w:r>
    </w:p>
    <w:p w:rsidR="004C6B9D" w:rsidRPr="00DB6883" w:rsidRDefault="004C6B9D" w:rsidP="004E7D79">
      <w:pPr>
        <w:pStyle w:val="Normalpool"/>
        <w:numPr>
          <w:ilvl w:val="0"/>
          <w:numId w:val="16"/>
        </w:numPr>
        <w:tabs>
          <w:tab w:val="clear" w:pos="1253"/>
          <w:tab w:val="clear" w:pos="1814"/>
          <w:tab w:val="clear" w:pos="2376"/>
          <w:tab w:val="clear" w:pos="2952"/>
          <w:tab w:val="clear" w:pos="3514"/>
          <w:tab w:val="left" w:pos="624"/>
        </w:tabs>
        <w:spacing w:after="120"/>
        <w:ind w:left="3119" w:hanging="624"/>
      </w:pPr>
      <w:r w:rsidRPr="00DB6883">
        <w:t>Science of ozone layer depletion and recovery: reflections on the past, present and future (science event).</w:t>
      </w:r>
    </w:p>
    <w:p w:rsidR="004C6B9D" w:rsidRPr="00DB6883" w:rsidRDefault="004C6B9D" w:rsidP="004E7D79">
      <w:pPr>
        <w:pStyle w:val="Normalpool"/>
        <w:numPr>
          <w:ilvl w:val="0"/>
          <w:numId w:val="14"/>
        </w:numPr>
        <w:tabs>
          <w:tab w:val="clear" w:pos="1253"/>
          <w:tab w:val="clear" w:pos="1814"/>
          <w:tab w:val="clear" w:pos="2376"/>
          <w:tab w:val="clear" w:pos="2952"/>
          <w:tab w:val="clear" w:pos="3514"/>
          <w:tab w:val="left" w:pos="624"/>
        </w:tabs>
        <w:spacing w:after="120"/>
        <w:ind w:left="2495" w:hanging="624"/>
      </w:pPr>
      <w:r w:rsidRPr="00DB6883">
        <w:t>Report of the co-chairs of the preparatory segment and consideration of the decisions recommended for adoption by the Conference of the Parties to the Vienna Convention at its eleventh meeting and the Twenty-Ninth Meeting of the Parties to the Montreal Protocol.</w:t>
      </w:r>
    </w:p>
    <w:p w:rsidR="004C6B9D" w:rsidRPr="00DB6883" w:rsidRDefault="004C6B9D" w:rsidP="004E7D79">
      <w:pPr>
        <w:pStyle w:val="Normalpool"/>
        <w:numPr>
          <w:ilvl w:val="0"/>
          <w:numId w:val="14"/>
        </w:numPr>
        <w:tabs>
          <w:tab w:val="clear" w:pos="1253"/>
          <w:tab w:val="clear" w:pos="1814"/>
          <w:tab w:val="clear" w:pos="2376"/>
          <w:tab w:val="clear" w:pos="2952"/>
          <w:tab w:val="clear" w:pos="3514"/>
          <w:tab w:val="left" w:pos="624"/>
        </w:tabs>
        <w:spacing w:after="120"/>
        <w:ind w:left="2495" w:hanging="624"/>
      </w:pPr>
      <w:r w:rsidRPr="00DB6883">
        <w:t>Dates and venues for the twelfth meeting of the Conference of the Parties to the Vienna Convention and the Thirtieth Meeting of the Parties to the Montreal Protocol.</w:t>
      </w:r>
    </w:p>
    <w:p w:rsidR="004C6B9D" w:rsidRPr="00DB6883" w:rsidRDefault="004C6B9D" w:rsidP="004E7D79">
      <w:pPr>
        <w:pStyle w:val="Normalpool"/>
        <w:numPr>
          <w:ilvl w:val="0"/>
          <w:numId w:val="14"/>
        </w:numPr>
        <w:tabs>
          <w:tab w:val="clear" w:pos="1253"/>
          <w:tab w:val="clear" w:pos="1814"/>
          <w:tab w:val="clear" w:pos="2376"/>
          <w:tab w:val="clear" w:pos="2952"/>
          <w:tab w:val="clear" w:pos="3514"/>
          <w:tab w:val="left" w:pos="624"/>
        </w:tabs>
        <w:spacing w:after="120"/>
        <w:ind w:left="2495" w:hanging="624"/>
      </w:pPr>
      <w:r w:rsidRPr="00DB6883">
        <w:t>Other matters.</w:t>
      </w:r>
    </w:p>
    <w:p w:rsidR="004C6B9D" w:rsidRPr="00DB6883" w:rsidRDefault="004C6B9D" w:rsidP="004E7D79">
      <w:pPr>
        <w:pStyle w:val="Normalpool"/>
        <w:numPr>
          <w:ilvl w:val="0"/>
          <w:numId w:val="14"/>
        </w:numPr>
        <w:tabs>
          <w:tab w:val="clear" w:pos="1253"/>
          <w:tab w:val="clear" w:pos="1814"/>
          <w:tab w:val="clear" w:pos="2376"/>
          <w:tab w:val="clear" w:pos="2952"/>
          <w:tab w:val="clear" w:pos="3514"/>
          <w:tab w:val="left" w:pos="624"/>
        </w:tabs>
        <w:spacing w:after="120"/>
        <w:ind w:left="2495" w:hanging="624"/>
      </w:pPr>
      <w:r w:rsidRPr="00DB6883">
        <w:t>Adoption of decisions by the Conference of the Parties to the Vienna Convention at its eleventh meeting.</w:t>
      </w:r>
    </w:p>
    <w:p w:rsidR="004C6B9D" w:rsidRPr="00DB6883" w:rsidRDefault="004C6B9D" w:rsidP="004E7D79">
      <w:pPr>
        <w:pStyle w:val="Normalpool"/>
        <w:numPr>
          <w:ilvl w:val="0"/>
          <w:numId w:val="14"/>
        </w:numPr>
        <w:tabs>
          <w:tab w:val="clear" w:pos="1253"/>
          <w:tab w:val="clear" w:pos="1814"/>
          <w:tab w:val="clear" w:pos="2376"/>
          <w:tab w:val="clear" w:pos="2952"/>
          <w:tab w:val="clear" w:pos="3514"/>
          <w:tab w:val="left" w:pos="624"/>
        </w:tabs>
        <w:spacing w:after="120"/>
        <w:ind w:left="2495" w:hanging="624"/>
      </w:pPr>
      <w:r w:rsidRPr="00DB6883">
        <w:t>Adoption of decisions by the Twenty-Ninth Meeting of the Parties to the Montreal Protocol.</w:t>
      </w:r>
    </w:p>
    <w:p w:rsidR="004C6B9D" w:rsidRPr="00DB6883" w:rsidRDefault="004C6B9D" w:rsidP="004E7D79">
      <w:pPr>
        <w:pStyle w:val="Normalpool"/>
        <w:numPr>
          <w:ilvl w:val="0"/>
          <w:numId w:val="14"/>
        </w:numPr>
        <w:tabs>
          <w:tab w:val="clear" w:pos="1253"/>
          <w:tab w:val="clear" w:pos="1814"/>
          <w:tab w:val="clear" w:pos="2376"/>
          <w:tab w:val="clear" w:pos="2952"/>
          <w:tab w:val="clear" w:pos="3514"/>
          <w:tab w:val="left" w:pos="624"/>
        </w:tabs>
        <w:spacing w:after="120"/>
        <w:ind w:left="2495" w:hanging="624"/>
      </w:pPr>
      <w:r w:rsidRPr="00DB6883">
        <w:t>Adoption of the report of the eleventh meeting of the Conference of the Parties to the Vienna Convention and the Twenty-Ninth Meeting of the Parties to the Montreal Protocol.</w:t>
      </w:r>
    </w:p>
    <w:p w:rsidR="00EF63D8" w:rsidRPr="00DB6883" w:rsidRDefault="00EF63D8" w:rsidP="004E7D79">
      <w:pPr>
        <w:pStyle w:val="Normalpool"/>
        <w:numPr>
          <w:ilvl w:val="0"/>
          <w:numId w:val="14"/>
        </w:numPr>
        <w:tabs>
          <w:tab w:val="clear" w:pos="1253"/>
          <w:tab w:val="clear" w:pos="1814"/>
          <w:tab w:val="clear" w:pos="2376"/>
          <w:tab w:val="clear" w:pos="2952"/>
          <w:tab w:val="clear" w:pos="3514"/>
          <w:tab w:val="left" w:pos="624"/>
        </w:tabs>
        <w:spacing w:after="120"/>
        <w:ind w:left="2495" w:hanging="624"/>
      </w:pPr>
      <w:r w:rsidRPr="00DB6883">
        <w:t>Closure of the meeting.</w:t>
      </w:r>
    </w:p>
    <w:p w:rsidR="004C6B9D" w:rsidRPr="00DB6883" w:rsidRDefault="004C6B9D" w:rsidP="004C6B9D">
      <w:pPr>
        <w:pStyle w:val="CH2"/>
      </w:pPr>
      <w:r w:rsidRPr="00DB6883">
        <w:tab/>
        <w:t>D.</w:t>
      </w:r>
      <w:r w:rsidRPr="00DB6883">
        <w:tab/>
        <w:t>Organization of work</w:t>
      </w:r>
    </w:p>
    <w:p w:rsidR="004C6B9D" w:rsidRPr="004E7D79" w:rsidRDefault="004C6B9D" w:rsidP="00830585">
      <w:pPr>
        <w:pStyle w:val="Normalnumber"/>
        <w:tabs>
          <w:tab w:val="clear" w:pos="567"/>
          <w:tab w:val="clear" w:pos="1247"/>
          <w:tab w:val="clear" w:pos="1814"/>
          <w:tab w:val="clear" w:pos="2381"/>
          <w:tab w:val="clear" w:pos="2948"/>
          <w:tab w:val="clear" w:pos="3515"/>
          <w:tab w:val="left" w:pos="624"/>
        </w:tabs>
      </w:pPr>
      <w:r w:rsidRPr="004E7D79">
        <w:t>The parties agreed to follow their customary procedures.</w:t>
      </w:r>
    </w:p>
    <w:p w:rsidR="004C6B9D" w:rsidRPr="00DF6D5C" w:rsidRDefault="004C6B9D" w:rsidP="004C6B9D">
      <w:pPr>
        <w:pStyle w:val="CH2"/>
      </w:pPr>
      <w:r w:rsidRPr="00DF6D5C">
        <w:lastRenderedPageBreak/>
        <w:tab/>
        <w:t>E.</w:t>
      </w:r>
      <w:r w:rsidRPr="00DF6D5C">
        <w:tab/>
        <w:t>Credentials of representatives</w:t>
      </w:r>
    </w:p>
    <w:p w:rsidR="004C6B9D" w:rsidRPr="00DB6883" w:rsidRDefault="005C7AD6" w:rsidP="00830585">
      <w:pPr>
        <w:pStyle w:val="Normalnumber"/>
        <w:tabs>
          <w:tab w:val="clear" w:pos="567"/>
          <w:tab w:val="clear" w:pos="1247"/>
          <w:tab w:val="clear" w:pos="1814"/>
          <w:tab w:val="clear" w:pos="2381"/>
          <w:tab w:val="clear" w:pos="2948"/>
          <w:tab w:val="clear" w:pos="3515"/>
          <w:tab w:val="left" w:pos="624"/>
        </w:tabs>
      </w:pPr>
      <w:r w:rsidRPr="00E861A7">
        <w:t>The Bureaux approved the c</w:t>
      </w:r>
      <w:r w:rsidRPr="00CA5FA1">
        <w:t>redentials of t</w:t>
      </w:r>
      <w:r w:rsidRPr="00E861A7">
        <w:t xml:space="preserve">he representatives </w:t>
      </w:r>
      <w:r w:rsidRPr="007022CB">
        <w:t xml:space="preserve">of </w:t>
      </w:r>
      <w:r w:rsidR="00A708C0">
        <w:t>102</w:t>
      </w:r>
      <w:r w:rsidR="00A708C0" w:rsidRPr="004219FE">
        <w:t xml:space="preserve"> </w:t>
      </w:r>
      <w:r w:rsidRPr="004219FE">
        <w:t>of the 147</w:t>
      </w:r>
      <w:r w:rsidRPr="007022CB">
        <w:t xml:space="preserve"> parties represented at the meeting. The Bureaux provisionally approved the participation of </w:t>
      </w:r>
      <w:r w:rsidR="00A708C0" w:rsidRPr="007022CB">
        <w:t>4</w:t>
      </w:r>
      <w:r w:rsidR="00A708C0">
        <w:t>5</w:t>
      </w:r>
      <w:r w:rsidR="00A708C0" w:rsidRPr="007022CB">
        <w:t xml:space="preserve"> </w:t>
      </w:r>
      <w:r w:rsidRPr="007022CB">
        <w:t>parties on the understanding that they would forward their credentials to the Secretariat as soon as possible. The</w:t>
      </w:r>
      <w:r w:rsidRPr="00DF6D5C">
        <w:t xml:space="preserve"> Bureaux urged all parti</w:t>
      </w:r>
      <w:r w:rsidRPr="00E861A7">
        <w:t>es attending future meetings to make their best efforts to submit credentials to the Secretariat as required under rule 18 of the rules of procedure. The Bureaux also recalled that the rules of procedure required that credentials be issued either b</w:t>
      </w:r>
      <w:r w:rsidRPr="00DB6883">
        <w:t>y a head of State or Government or by a minister for foreign affairs or, in the case of a regional economic integration organization, by the competent authority of that organization. The Bureaux recalled that representatives of parties not presenting credentials in the correct form could be precluded from full participation in the meetings, including with regard to the right to vote.</w:t>
      </w:r>
      <w:r w:rsidR="0001191E" w:rsidRPr="00DB6883">
        <w:t xml:space="preserve"> </w:t>
      </w:r>
    </w:p>
    <w:p w:rsidR="004C6B9D" w:rsidRPr="007022CB" w:rsidRDefault="004C6B9D" w:rsidP="004C6B9D">
      <w:pPr>
        <w:pStyle w:val="CH1"/>
      </w:pPr>
      <w:r w:rsidRPr="00DB6883">
        <w:tab/>
      </w:r>
      <w:r w:rsidRPr="007022CB">
        <w:t>III.</w:t>
      </w:r>
      <w:r w:rsidRPr="007022CB">
        <w:tab/>
        <w:t>Presentations by the assessment panels on the status of their work, including latest developments</w:t>
      </w:r>
    </w:p>
    <w:p w:rsidR="00443FCA" w:rsidRPr="00124A3A" w:rsidRDefault="00443FCA" w:rsidP="00830585">
      <w:pPr>
        <w:pStyle w:val="Normalnumber"/>
        <w:tabs>
          <w:tab w:val="clear" w:pos="567"/>
          <w:tab w:val="clear" w:pos="1247"/>
          <w:tab w:val="clear" w:pos="1814"/>
          <w:tab w:val="clear" w:pos="2381"/>
          <w:tab w:val="clear" w:pos="2948"/>
          <w:tab w:val="clear" w:pos="3515"/>
          <w:tab w:val="left" w:pos="624"/>
        </w:tabs>
      </w:pPr>
      <w:r w:rsidRPr="00124A3A">
        <w:t xml:space="preserve">The </w:t>
      </w:r>
      <w:r w:rsidR="008F5C73" w:rsidRPr="00124A3A">
        <w:t>C</w:t>
      </w:r>
      <w:r w:rsidRPr="00124A3A">
        <w:t>o-</w:t>
      </w:r>
      <w:r w:rsidR="008F5C73" w:rsidRPr="00124A3A">
        <w:t>C</w:t>
      </w:r>
      <w:r w:rsidRPr="00124A3A">
        <w:t xml:space="preserve">hair of the Scientific Assessment Panel, John Pyle (United Kingdom), gave a presentation on the work of the Panel. A summary of the presentation, prepared by the presenter, is set out in </w:t>
      </w:r>
      <w:r w:rsidR="00CA5FA1">
        <w:t xml:space="preserve">section D.1 of </w:t>
      </w:r>
      <w:r w:rsidRPr="004219FE">
        <w:t>annex</w:t>
      </w:r>
      <w:r w:rsidR="00206CEF">
        <w:t xml:space="preserve"> VI</w:t>
      </w:r>
      <w:r w:rsidRPr="004219FE">
        <w:t xml:space="preserve"> </w:t>
      </w:r>
      <w:r w:rsidRPr="00124A3A">
        <w:t>to the present report.</w:t>
      </w:r>
    </w:p>
    <w:p w:rsidR="00443FCA" w:rsidRPr="00124A3A" w:rsidRDefault="00443FCA" w:rsidP="00830585">
      <w:pPr>
        <w:pStyle w:val="Normalnumber"/>
        <w:tabs>
          <w:tab w:val="clear" w:pos="567"/>
          <w:tab w:val="clear" w:pos="1247"/>
          <w:tab w:val="clear" w:pos="1814"/>
          <w:tab w:val="clear" w:pos="2381"/>
          <w:tab w:val="clear" w:pos="2948"/>
          <w:tab w:val="clear" w:pos="3515"/>
          <w:tab w:val="left" w:pos="624"/>
        </w:tabs>
      </w:pPr>
      <w:r w:rsidRPr="00124A3A">
        <w:t xml:space="preserve">The </w:t>
      </w:r>
      <w:r w:rsidR="008F5C73" w:rsidRPr="00124A3A">
        <w:t>C</w:t>
      </w:r>
      <w:r w:rsidRPr="00124A3A">
        <w:t>o-</w:t>
      </w:r>
      <w:r w:rsidR="008F5C73" w:rsidRPr="00124A3A">
        <w:t>C</w:t>
      </w:r>
      <w:r w:rsidRPr="00124A3A">
        <w:t>hairs of the Environmental Effects Assessment Panel, Janet F. Bornman (Australia) and Nigel Paul (United Kingdom), gave a presentation on the work of the Panel. A summary of the presentation, prepared by the presenters, is set out in</w:t>
      </w:r>
      <w:r w:rsidR="003D4EB4">
        <w:t xml:space="preserve"> </w:t>
      </w:r>
      <w:r w:rsidR="00790CAE">
        <w:t xml:space="preserve">section D.2 of </w:t>
      </w:r>
      <w:r w:rsidRPr="004219FE">
        <w:t>annex</w:t>
      </w:r>
      <w:r w:rsidR="00206CEF">
        <w:t xml:space="preserve"> VI</w:t>
      </w:r>
      <w:r w:rsidRPr="004219FE">
        <w:t xml:space="preserve"> </w:t>
      </w:r>
      <w:r w:rsidRPr="00124A3A">
        <w:t>to the present report.</w:t>
      </w:r>
    </w:p>
    <w:p w:rsidR="00443FCA" w:rsidRPr="00124A3A" w:rsidRDefault="00443FCA" w:rsidP="00830585">
      <w:pPr>
        <w:pStyle w:val="Normalnumber"/>
        <w:tabs>
          <w:tab w:val="clear" w:pos="567"/>
          <w:tab w:val="clear" w:pos="1247"/>
          <w:tab w:val="clear" w:pos="1814"/>
          <w:tab w:val="clear" w:pos="2381"/>
          <w:tab w:val="clear" w:pos="2948"/>
          <w:tab w:val="clear" w:pos="3515"/>
          <w:tab w:val="left" w:pos="624"/>
        </w:tabs>
      </w:pPr>
      <w:r w:rsidRPr="00124A3A">
        <w:t xml:space="preserve">The </w:t>
      </w:r>
      <w:r w:rsidR="008F5C73" w:rsidRPr="00124A3A">
        <w:t>C</w:t>
      </w:r>
      <w:r w:rsidRPr="00124A3A">
        <w:t>o-</w:t>
      </w:r>
      <w:r w:rsidR="008F5C73" w:rsidRPr="00124A3A">
        <w:t>C</w:t>
      </w:r>
      <w:r w:rsidRPr="00124A3A">
        <w:t>hairs of the Technology and Economic Assessment Panel, Marta Pizano (Colombia) and Bella Maranion (United States) gave a presentation on the work of the Panel. A summary of the presentation, prepared by the presenters, is set out in</w:t>
      </w:r>
      <w:r w:rsidR="003D4EB4">
        <w:t xml:space="preserve"> </w:t>
      </w:r>
      <w:r w:rsidR="00790CAE">
        <w:t xml:space="preserve">section D.3 of </w:t>
      </w:r>
      <w:r w:rsidRPr="004219FE">
        <w:t xml:space="preserve">annex </w:t>
      </w:r>
      <w:r w:rsidR="00206CEF">
        <w:t xml:space="preserve">VI </w:t>
      </w:r>
      <w:r w:rsidRPr="00124A3A">
        <w:t>to the present report.</w:t>
      </w:r>
    </w:p>
    <w:p w:rsidR="00443FCA" w:rsidRPr="00124A3A" w:rsidRDefault="00443FCA" w:rsidP="00830585">
      <w:pPr>
        <w:pStyle w:val="Normalnumber"/>
        <w:tabs>
          <w:tab w:val="clear" w:pos="567"/>
          <w:tab w:val="clear" w:pos="1247"/>
          <w:tab w:val="clear" w:pos="1814"/>
          <w:tab w:val="clear" w:pos="2381"/>
          <w:tab w:val="clear" w:pos="2948"/>
          <w:tab w:val="clear" w:pos="3515"/>
          <w:tab w:val="left" w:pos="624"/>
        </w:tabs>
      </w:pPr>
      <w:r w:rsidRPr="00124A3A">
        <w:t>The parties took note of the information presented.</w:t>
      </w:r>
    </w:p>
    <w:p w:rsidR="004C6B9D" w:rsidRPr="00124A3A" w:rsidRDefault="004C6B9D" w:rsidP="004C6B9D">
      <w:pPr>
        <w:pStyle w:val="CH1"/>
      </w:pPr>
      <w:r w:rsidRPr="00124A3A">
        <w:tab/>
        <w:t>IV.</w:t>
      </w:r>
      <w:r w:rsidRPr="00124A3A">
        <w:tab/>
        <w:t>Presentation by the Chair of the Executive Committee of the Multilateral Fund on the work of the Executive Committee</w:t>
      </w:r>
    </w:p>
    <w:p w:rsidR="00443FCA" w:rsidRPr="00124A3A" w:rsidRDefault="00443FCA" w:rsidP="00830585">
      <w:pPr>
        <w:pStyle w:val="Normalnumber"/>
        <w:tabs>
          <w:tab w:val="clear" w:pos="567"/>
          <w:tab w:val="clear" w:pos="1247"/>
          <w:tab w:val="clear" w:pos="1814"/>
          <w:tab w:val="clear" w:pos="2381"/>
          <w:tab w:val="clear" w:pos="2948"/>
          <w:tab w:val="clear" w:pos="3515"/>
          <w:tab w:val="left" w:pos="624"/>
        </w:tabs>
      </w:pPr>
      <w:r w:rsidRPr="00124A3A">
        <w:t>The Chair of the Executive Committee of the Multilateral Fund, Paul Krajnik (Austria), reported on progress in the implementation of the Committee’s decisions since the Twenty-Eighth Meeting of the Parties, summarizing the information provided in document UNEP/OzL.Pro.29/6.</w:t>
      </w:r>
    </w:p>
    <w:p w:rsidR="00443FCA" w:rsidRPr="00124A3A" w:rsidRDefault="00443FCA" w:rsidP="00830585">
      <w:pPr>
        <w:pStyle w:val="Normalnumber"/>
        <w:tabs>
          <w:tab w:val="clear" w:pos="567"/>
          <w:tab w:val="clear" w:pos="1247"/>
          <w:tab w:val="clear" w:pos="1814"/>
          <w:tab w:val="clear" w:pos="2381"/>
          <w:tab w:val="clear" w:pos="2948"/>
          <w:tab w:val="clear" w:pos="3515"/>
          <w:tab w:val="left" w:pos="624"/>
        </w:tabs>
      </w:pPr>
      <w:r w:rsidRPr="00124A3A">
        <w:t xml:space="preserve">He said that the Committee </w:t>
      </w:r>
      <w:r w:rsidRPr="00C85EE1">
        <w:t>had continued</w:t>
      </w:r>
      <w:r w:rsidRPr="00124A3A">
        <w:t xml:space="preserve"> to monitor the implementation of HCFC phase-out management plans and one HCFC production phase-out management plan. The number of countries with an approved HCFC phase-out management plan stood at 144, </w:t>
      </w:r>
      <w:r w:rsidR="0024528A" w:rsidRPr="00124A3A">
        <w:t xml:space="preserve">of which </w:t>
      </w:r>
      <w:r w:rsidRPr="00124A3A">
        <w:t xml:space="preserve">30 already had stage II approved. Only one country did not have such a plan approved. Full implementation of the HCFC phase-out management plans approved to date would address about 60 per cent of the total baseline consumption of parties operating under paragraph 1 of Article 5. In approving such plans, the Committee had continued, to the extent possible, to give priority to the introduction of technology with low global-warming potential. </w:t>
      </w:r>
    </w:p>
    <w:p w:rsidR="00443FCA" w:rsidRPr="00124A3A" w:rsidRDefault="00443FCA" w:rsidP="00830585">
      <w:pPr>
        <w:pStyle w:val="Normalnumber"/>
        <w:tabs>
          <w:tab w:val="clear" w:pos="567"/>
          <w:tab w:val="clear" w:pos="1247"/>
          <w:tab w:val="clear" w:pos="1814"/>
          <w:tab w:val="clear" w:pos="2381"/>
          <w:tab w:val="clear" w:pos="2948"/>
          <w:tab w:val="clear" w:pos="3515"/>
          <w:tab w:val="left" w:pos="624"/>
        </w:tabs>
      </w:pPr>
      <w:r w:rsidRPr="00124A3A">
        <w:t xml:space="preserve">The Executive Committee had addressed matters relating to the Kigali Amendment. It had accepted, with appreciation, the additional contributions to the Multilateral Fund announced by a number of parties not operating under paragraph 1 of Article 5 to permit the provision of fast-start support for implementation of the Amendment. By 14 November 2017, more than $14 million of the funds pledged had been received. The Committee had approved guidelines for the approval of requests for enabling activities to help countries to begin their reporting and regulatory activities and had decided to prioritize the use of the additional contributions for such requests. It had approved such funding for 59 countries. </w:t>
      </w:r>
    </w:p>
    <w:p w:rsidR="00443FCA" w:rsidRPr="00124A3A" w:rsidRDefault="00443FCA" w:rsidP="00830585">
      <w:pPr>
        <w:pStyle w:val="Normalnumber"/>
        <w:tabs>
          <w:tab w:val="clear" w:pos="567"/>
          <w:tab w:val="clear" w:pos="1247"/>
          <w:tab w:val="clear" w:pos="1814"/>
          <w:tab w:val="clear" w:pos="2381"/>
          <w:tab w:val="clear" w:pos="2948"/>
          <w:tab w:val="clear" w:pos="3515"/>
          <w:tab w:val="left" w:pos="624"/>
        </w:tabs>
      </w:pPr>
      <w:r w:rsidRPr="00124A3A">
        <w:t xml:space="preserve">To learn more about the incremental capital costs associated with the phase-down of HFCs, the Executive Committee had approved a first HFC investment project in a domestic refrigeration manufacturing facility in Bangladesh. Funding for that project, and for the preparation of eight additional investment projects to eliminate HFCs, came also from the additional contributions. </w:t>
      </w:r>
    </w:p>
    <w:p w:rsidR="00443FCA" w:rsidRPr="00124A3A" w:rsidRDefault="00443FCA" w:rsidP="00830585">
      <w:pPr>
        <w:pStyle w:val="Normalnumber"/>
        <w:tabs>
          <w:tab w:val="clear" w:pos="567"/>
          <w:tab w:val="clear" w:pos="1247"/>
          <w:tab w:val="clear" w:pos="1814"/>
          <w:tab w:val="clear" w:pos="2381"/>
          <w:tab w:val="clear" w:pos="2948"/>
          <w:tab w:val="clear" w:pos="3515"/>
          <w:tab w:val="left" w:pos="624"/>
        </w:tabs>
      </w:pPr>
      <w:r w:rsidRPr="00124A3A">
        <w:t>In response to decision XXVI/9, the Executive Committee had commissioned surveys of alternatives to ozone-depleting substances in 127 countries. With regard to HFCs and HFC blends, the results of the 119 surveys received to date had shown an overall annual growth rate of about 22</w:t>
      </w:r>
      <w:r w:rsidR="00747F4C">
        <w:t> </w:t>
      </w:r>
      <w:r w:rsidRPr="00124A3A">
        <w:t>per</w:t>
      </w:r>
      <w:r w:rsidR="00747F4C">
        <w:t> </w:t>
      </w:r>
      <w:r w:rsidRPr="00124A3A">
        <w:t xml:space="preserve">cent for the period 2012–2015, mainly in the refrigeration and air-conditioning sector. Bilateral </w:t>
      </w:r>
      <w:r w:rsidRPr="00124A3A">
        <w:lastRenderedPageBreak/>
        <w:t>and implementing agencies had been requested to use the findings when undertaking enabling activities.</w:t>
      </w:r>
    </w:p>
    <w:p w:rsidR="00443FCA" w:rsidRPr="00124A3A" w:rsidRDefault="00443FCA" w:rsidP="00830585">
      <w:pPr>
        <w:pStyle w:val="Normalnumber"/>
        <w:tabs>
          <w:tab w:val="clear" w:pos="567"/>
          <w:tab w:val="clear" w:pos="1247"/>
          <w:tab w:val="clear" w:pos="1814"/>
          <w:tab w:val="clear" w:pos="2381"/>
          <w:tab w:val="clear" w:pos="2948"/>
          <w:tab w:val="clear" w:pos="3515"/>
          <w:tab w:val="left" w:pos="624"/>
        </w:tabs>
      </w:pPr>
      <w:r w:rsidRPr="00124A3A">
        <w:t>The Executive Committee had agreed to submit to the Thirtieth Meeting of the Parties cost guidelines for funding the phase</w:t>
      </w:r>
      <w:r w:rsidR="0024528A" w:rsidRPr="00124A3A">
        <w:t>-</w:t>
      </w:r>
      <w:r w:rsidRPr="00124A3A">
        <w:t xml:space="preserve">down of HFC consumption and production and to finalize the guidelines as soon as possible thereafter. The draft guideline template currently included the principles agreed upon in decision XXVIII/2, including flexibility in implementation, the cut-off date for eligible capacity, second and third conversions, sustained aggregate reductions in HFC consumption and production, categories eligible for incremental costs and eligibility of Annex F substances subject to high-ambient-temperature exemptions.  </w:t>
      </w:r>
    </w:p>
    <w:p w:rsidR="00443FCA" w:rsidRPr="00124A3A" w:rsidRDefault="00443FCA" w:rsidP="00830585">
      <w:pPr>
        <w:pStyle w:val="Normalnumber"/>
        <w:tabs>
          <w:tab w:val="clear" w:pos="567"/>
          <w:tab w:val="clear" w:pos="1247"/>
          <w:tab w:val="clear" w:pos="1814"/>
          <w:tab w:val="clear" w:pos="2381"/>
          <w:tab w:val="clear" w:pos="2948"/>
          <w:tab w:val="clear" w:pos="3515"/>
          <w:tab w:val="left" w:pos="624"/>
        </w:tabs>
      </w:pPr>
      <w:r w:rsidRPr="00124A3A">
        <w:t>On the matter of HFC-23 by-product control obligations, the Executive Committee had agreed to consider possible cost-effective options for compensation for HCFC</w:t>
      </w:r>
      <w:r w:rsidR="00405689">
        <w:t>-</w:t>
      </w:r>
      <w:r w:rsidRPr="00124A3A">
        <w:t>22 swing plants. It had commissioned an independent evaluation of cost-effective and environmentally sustainable options for HFC-23 destruction from HCFC-22 production facilities and invited implementing agencies to submit proposals for the demonstration of HFC-23 by-product mitigation or conversion technologies. Funding had already been approved for the preparation of one such project.</w:t>
      </w:r>
    </w:p>
    <w:p w:rsidR="00443FCA" w:rsidRPr="00124A3A" w:rsidRDefault="00443FCA" w:rsidP="00830585">
      <w:pPr>
        <w:pStyle w:val="Normalnumber"/>
        <w:tabs>
          <w:tab w:val="clear" w:pos="567"/>
          <w:tab w:val="clear" w:pos="1247"/>
          <w:tab w:val="clear" w:pos="1814"/>
          <w:tab w:val="clear" w:pos="2381"/>
          <w:tab w:val="clear" w:pos="2948"/>
          <w:tab w:val="clear" w:pos="3515"/>
          <w:tab w:val="left" w:pos="624"/>
        </w:tabs>
      </w:pPr>
      <w:r w:rsidRPr="00124A3A">
        <w:t xml:space="preserve">He then spoke of the main achievements of the implementing agencies of the Multilateral Fund. In 2017, the United </w:t>
      </w:r>
      <w:r w:rsidRPr="00C85EE1">
        <w:t>Nations Development</w:t>
      </w:r>
      <w:r w:rsidRPr="00124A3A">
        <w:t xml:space="preserve"> Programme had continued to assist 47 countries with implementation of their HCFC phase-out management plans. It had also helped parties to undertake demonstrations of climate friendly and energy-efficient alternative technologies, feasibility studies on district cooling and surveys of alternatives to ozone-depleting substances. It had supported 10 countries in their requests for funding for enabling activities and </w:t>
      </w:r>
      <w:r w:rsidR="00C85EE1">
        <w:t>3</w:t>
      </w:r>
      <w:r w:rsidR="00C85EE1" w:rsidRPr="00124A3A">
        <w:t xml:space="preserve"> </w:t>
      </w:r>
      <w:r w:rsidRPr="00124A3A">
        <w:t>countries in developing stand-alone investment projects to phase down HFCs by replacing them with technologies with a lower global-warming potential.</w:t>
      </w:r>
    </w:p>
    <w:p w:rsidR="00443FCA" w:rsidRPr="00124A3A" w:rsidRDefault="00443FCA" w:rsidP="00830585">
      <w:pPr>
        <w:pStyle w:val="Normalnumber"/>
        <w:tabs>
          <w:tab w:val="clear" w:pos="567"/>
          <w:tab w:val="clear" w:pos="1247"/>
          <w:tab w:val="clear" w:pos="1814"/>
          <w:tab w:val="clear" w:pos="2381"/>
          <w:tab w:val="clear" w:pos="2948"/>
          <w:tab w:val="clear" w:pos="3515"/>
          <w:tab w:val="left" w:pos="624"/>
        </w:tabs>
      </w:pPr>
      <w:r w:rsidRPr="00124A3A">
        <w:t>UNEP was assisting 102 countries with the implementation of HCFC phase-out management plans and 104 countries with institutional strengthening, and had helped 79 countries to undertake their surveys of alternatives to ozone-depleting substances. The Compliance Assistance Programme assisted all parties operating under paragraph 1 of Article 5, including through capacity-building support for standard setting, certification, safe refrigerant management, and licensing and quota systems. Furthermore, in 2017, UNEP, with partners, had organized the first international conference on the management of ozone-depleting substances in the fishing sector.</w:t>
      </w:r>
    </w:p>
    <w:p w:rsidR="00443FCA" w:rsidRPr="00124A3A" w:rsidRDefault="00443FCA" w:rsidP="00830585">
      <w:pPr>
        <w:pStyle w:val="Normalnumber"/>
        <w:tabs>
          <w:tab w:val="clear" w:pos="567"/>
          <w:tab w:val="clear" w:pos="1247"/>
          <w:tab w:val="clear" w:pos="1814"/>
          <w:tab w:val="clear" w:pos="2381"/>
          <w:tab w:val="clear" w:pos="2948"/>
          <w:tab w:val="clear" w:pos="3515"/>
          <w:tab w:val="left" w:pos="624"/>
        </w:tabs>
      </w:pPr>
      <w:r w:rsidRPr="00124A3A">
        <w:t>The United Nations Industrial Development Organization (UNIDO) was assisting 74 countries with the implementation of HCFC phase-out management plans; seven projects to demonstrate alternatives with low global-warming potential and two feasibility studies on district cooling were also well under way. It had also helped countries to undertake 27 national surveys of alternatives to ozone</w:t>
      </w:r>
      <w:r w:rsidRPr="00124A3A">
        <w:noBreakHyphen/>
        <w:t>depleting substances and two destruction projects. In relation to the Kigali Amendment, UNIDO had organized a third donor meeting, which had included consideration of the latest challenges, and hosted dialogue among 55 countries at an expert group meeting to discuss ratification. UNIDO would also support enabling activities in 17 countries.</w:t>
      </w:r>
    </w:p>
    <w:p w:rsidR="00443FCA" w:rsidRPr="00124A3A" w:rsidRDefault="00443FCA" w:rsidP="00830585">
      <w:pPr>
        <w:pStyle w:val="Normalnumber"/>
        <w:tabs>
          <w:tab w:val="clear" w:pos="567"/>
          <w:tab w:val="clear" w:pos="1247"/>
          <w:tab w:val="clear" w:pos="1814"/>
          <w:tab w:val="clear" w:pos="2381"/>
          <w:tab w:val="clear" w:pos="2948"/>
          <w:tab w:val="clear" w:pos="3515"/>
          <w:tab w:val="left" w:pos="624"/>
        </w:tabs>
      </w:pPr>
      <w:r w:rsidRPr="00124A3A">
        <w:t xml:space="preserve">The approved HCFC phase-out management plans </w:t>
      </w:r>
      <w:r w:rsidRPr="00C85EE1">
        <w:t>supported by the</w:t>
      </w:r>
      <w:r w:rsidRPr="00124A3A">
        <w:t xml:space="preserve"> World Bank would see the elimination of 5,700 ODP-tonnes of consumption, equivalent to 31.8 million tonnes of carbon dioxide emissions on an annual basis. By the end of 2016, projects implemented by World Bank had resulted in the reduction of 330,000 ODP-tonnes of consumption and production, on the basis of more than $1 billion in grants. In relation to the Kigali Amendment, the World Bank would be supporting enabling activities for several countries, along with project preparation for an HFC investment project in the commercial refrigeration sector.</w:t>
      </w:r>
    </w:p>
    <w:p w:rsidR="00443FCA" w:rsidRPr="00124A3A" w:rsidRDefault="00443FCA" w:rsidP="00830585">
      <w:pPr>
        <w:pStyle w:val="Normalnumber"/>
        <w:tabs>
          <w:tab w:val="clear" w:pos="567"/>
          <w:tab w:val="clear" w:pos="1247"/>
          <w:tab w:val="clear" w:pos="1814"/>
          <w:tab w:val="clear" w:pos="2381"/>
          <w:tab w:val="clear" w:pos="2948"/>
          <w:tab w:val="clear" w:pos="3515"/>
          <w:tab w:val="left" w:pos="624"/>
        </w:tabs>
      </w:pPr>
      <w:r w:rsidRPr="00124A3A">
        <w:t>In conclusion, he expressed thanks to those representatives who had served on the Executive Committee in 2016 and 2017, the secretariat of the Multilateral Fund and the bilateral and implementing agencies for their devotion, work and commitment.</w:t>
      </w:r>
    </w:p>
    <w:p w:rsidR="00443FCA" w:rsidRPr="00124A3A" w:rsidRDefault="00443FCA" w:rsidP="00830585">
      <w:pPr>
        <w:pStyle w:val="Normalnumber"/>
        <w:tabs>
          <w:tab w:val="clear" w:pos="567"/>
          <w:tab w:val="clear" w:pos="1247"/>
          <w:tab w:val="clear" w:pos="1814"/>
          <w:tab w:val="clear" w:pos="2381"/>
          <w:tab w:val="clear" w:pos="2948"/>
          <w:tab w:val="clear" w:pos="3515"/>
          <w:tab w:val="left" w:pos="624"/>
        </w:tabs>
      </w:pPr>
      <w:r w:rsidRPr="00124A3A">
        <w:t>The parties took note of the information presented.</w:t>
      </w:r>
    </w:p>
    <w:p w:rsidR="004C6B9D" w:rsidRPr="00DB6883" w:rsidRDefault="004C6B9D" w:rsidP="004C6B9D">
      <w:pPr>
        <w:pStyle w:val="CH1"/>
      </w:pPr>
      <w:r w:rsidRPr="00DB6883">
        <w:tab/>
        <w:t>V.</w:t>
      </w:r>
      <w:r w:rsidRPr="00DB6883">
        <w:tab/>
        <w:t xml:space="preserve">Statements by heads of delegation and discussion on key topics </w:t>
      </w:r>
    </w:p>
    <w:p w:rsidR="004C6B9D" w:rsidRPr="00DB6883" w:rsidRDefault="004C6B9D" w:rsidP="00830585">
      <w:pPr>
        <w:pStyle w:val="Normalnumber"/>
        <w:tabs>
          <w:tab w:val="clear" w:pos="567"/>
          <w:tab w:val="clear" w:pos="1247"/>
          <w:tab w:val="clear" w:pos="1814"/>
          <w:tab w:val="clear" w:pos="2381"/>
          <w:tab w:val="clear" w:pos="2948"/>
          <w:tab w:val="clear" w:pos="3515"/>
          <w:tab w:val="left" w:pos="624"/>
        </w:tabs>
      </w:pPr>
      <w:r w:rsidRPr="00DB6883">
        <w:t xml:space="preserve">Under item 5 of the agenda </w:t>
      </w:r>
      <w:r w:rsidR="00096251" w:rsidRPr="00DB6883">
        <w:t>o</w:t>
      </w:r>
      <w:r w:rsidR="006A67BA">
        <w:t>f</w:t>
      </w:r>
      <w:r w:rsidR="00096251" w:rsidRPr="00DB6883">
        <w:t xml:space="preserve"> </w:t>
      </w:r>
      <w:r w:rsidRPr="00DB6883">
        <w:t>the high-level segment, the parties engaged in a 90-minute round table discussion and a 90-minute science event, in addition to hearing statements from heads of delegation.</w:t>
      </w:r>
    </w:p>
    <w:p w:rsidR="004C6B9D" w:rsidRPr="00DB6883" w:rsidRDefault="004C6B9D" w:rsidP="00830585">
      <w:pPr>
        <w:pStyle w:val="CH2"/>
      </w:pPr>
      <w:r w:rsidRPr="00DB6883">
        <w:lastRenderedPageBreak/>
        <w:tab/>
        <w:t>A.</w:t>
      </w:r>
      <w:r w:rsidRPr="00DB6883">
        <w:tab/>
        <w:t>Identifying future opportunities and priorities</w:t>
      </w:r>
    </w:p>
    <w:p w:rsidR="004C6B9D" w:rsidRPr="00DB6883" w:rsidRDefault="004C6B9D" w:rsidP="00830585">
      <w:pPr>
        <w:pStyle w:val="Normalnumber"/>
        <w:tabs>
          <w:tab w:val="clear" w:pos="567"/>
          <w:tab w:val="clear" w:pos="1247"/>
          <w:tab w:val="clear" w:pos="1814"/>
          <w:tab w:val="clear" w:pos="2381"/>
          <w:tab w:val="clear" w:pos="2948"/>
          <w:tab w:val="clear" w:pos="3515"/>
          <w:tab w:val="left" w:pos="624"/>
        </w:tabs>
      </w:pPr>
      <w:r w:rsidRPr="00DB6883">
        <w:t xml:space="preserve">The </w:t>
      </w:r>
      <w:r w:rsidRPr="00700173">
        <w:t>round-table</w:t>
      </w:r>
      <w:r w:rsidRPr="00DB6883">
        <w:t xml:space="preserve"> discussion, on the theme “Identifying future opportunities and priorities”, was held on the morning of 23 November 2017. A winner of the Champion of the Earth environmental honour bestowed by the United Nations, Leyla Acaroglu, as moderator, posed questions to nine panellists and the participants and then took questions for the panellists from the floor. The panellists were Ms. McKenna; the Deputy Minister of Nature Protection of Armenia, Khachik Hakobyan; the Deputy Minister of Environment of the Dominican Republic, Zoila González de Gutiérrez; the Deputy Minister of Environment of Estonia, Meelis Münt; Mr. Milson, in his capacity as Minister of Environment and Natural Resources of Guatemala; the Secretary in the Ministry of Environment, Forests and Climate Change of India, C. K. Mishra; the Minister of State in the Ministry of Environment and Energy of Maldives, </w:t>
      </w:r>
      <w:r w:rsidRPr="00933176">
        <w:t>Abdulla Ziyad; Mr. Biruta, in his capacity as Minister of Environment of Rwanda; and the Executive Director of</w:t>
      </w:r>
      <w:r w:rsidRPr="00DB6883">
        <w:t xml:space="preserve"> UNEP.</w:t>
      </w:r>
    </w:p>
    <w:p w:rsidR="004C6B9D" w:rsidRPr="00DB6883" w:rsidRDefault="00830585" w:rsidP="004E7D79">
      <w:pPr>
        <w:pStyle w:val="CH3"/>
      </w:pPr>
      <w:r w:rsidRPr="00DB6883">
        <w:tab/>
        <w:t>1.</w:t>
      </w:r>
      <w:r w:rsidRPr="00DB6883">
        <w:tab/>
      </w:r>
      <w:r w:rsidR="004C6B9D" w:rsidRPr="00DB6883">
        <w:t>Key factors in the success of the Montreal Protocol</w:t>
      </w:r>
    </w:p>
    <w:p w:rsidR="004C6B9D" w:rsidRPr="00DB6883" w:rsidRDefault="004C6B9D" w:rsidP="00830585">
      <w:pPr>
        <w:pStyle w:val="Normalnumber"/>
        <w:tabs>
          <w:tab w:val="clear" w:pos="567"/>
          <w:tab w:val="clear" w:pos="1247"/>
          <w:tab w:val="clear" w:pos="1814"/>
          <w:tab w:val="clear" w:pos="2381"/>
          <w:tab w:val="clear" w:pos="2948"/>
          <w:tab w:val="clear" w:pos="3515"/>
          <w:tab w:val="left" w:pos="624"/>
        </w:tabs>
      </w:pPr>
      <w:r w:rsidRPr="00DB6883">
        <w:t xml:space="preserve">Responding to a question about what the panellists </w:t>
      </w:r>
      <w:r w:rsidRPr="00543DC5">
        <w:t>considered to</w:t>
      </w:r>
      <w:r w:rsidRPr="00DB6883">
        <w:t xml:space="preserve"> be the main reasons for the success of the Montreal Protocol, one panellist spoke of the instrument’s universal ratification. Only by acting together was it possible to make a difference. He, along with two other panellists, also highlighted the importance of developing a sound legal and normative framework, while pointing out that that was worthless without proper implementation and enforcement. Two panellists cited the political leadership and will </w:t>
      </w:r>
      <w:proofErr w:type="gramStart"/>
      <w:r w:rsidRPr="00DB6883">
        <w:t>shown</w:t>
      </w:r>
      <w:proofErr w:type="gramEnd"/>
      <w:r w:rsidRPr="00DB6883">
        <w:t xml:space="preserve"> over the years as major factors. One explained how her country had been instrumental in convincing more sceptical Governments of the importance of acting and in encouraging developed countries to support developing countries. The other panellist spoke of the presidential decrees issued in her country that had paved the way for further progress, especially in the licensing of technicians.</w:t>
      </w:r>
    </w:p>
    <w:p w:rsidR="004C6B9D" w:rsidRPr="00DB6883" w:rsidRDefault="004C6B9D" w:rsidP="00830585">
      <w:pPr>
        <w:pStyle w:val="Normalnumber"/>
        <w:tabs>
          <w:tab w:val="clear" w:pos="567"/>
          <w:tab w:val="clear" w:pos="1247"/>
          <w:tab w:val="clear" w:pos="1814"/>
          <w:tab w:val="clear" w:pos="2381"/>
          <w:tab w:val="clear" w:pos="2948"/>
          <w:tab w:val="clear" w:pos="3515"/>
          <w:tab w:val="left" w:pos="624"/>
        </w:tabs>
      </w:pPr>
      <w:r w:rsidRPr="00DB6883">
        <w:t xml:space="preserve">Strong partnerships with key institutions and agencies involved in enforcement was crucial for successful implementation, said one panellist, suggesting that the experience gained by relevant bodies in his country when dealing with chlorofluorocarbons would stand them in good stead when they dealt with HCFCs and HFCs. Another panellist said that she was proud of the institutional strengthening and capacity-building achieved in her country, which would ensure that phase-out was sustainable. </w:t>
      </w:r>
    </w:p>
    <w:p w:rsidR="004C6B9D" w:rsidRPr="00DB6883" w:rsidRDefault="004C6B9D" w:rsidP="00830585">
      <w:pPr>
        <w:pStyle w:val="Normalnumber"/>
        <w:tabs>
          <w:tab w:val="clear" w:pos="567"/>
          <w:tab w:val="clear" w:pos="1247"/>
          <w:tab w:val="clear" w:pos="1814"/>
          <w:tab w:val="clear" w:pos="2381"/>
          <w:tab w:val="clear" w:pos="2948"/>
          <w:tab w:val="clear" w:pos="3515"/>
          <w:tab w:val="left" w:pos="624"/>
        </w:tabs>
      </w:pPr>
      <w:r w:rsidRPr="00DB6883">
        <w:t>One panellist linked the success of the Montreal Protocol to countries being able to win over relevant industries and ensure their understanding of and participation in efforts to meet compliance obligations. Another highlighted the fact that the Protocol and the Kigali Amendment in effect created opportunities for industry, including in terms of innovation.</w:t>
      </w:r>
    </w:p>
    <w:p w:rsidR="004C6B9D" w:rsidRPr="00DB6883" w:rsidRDefault="004C6B9D" w:rsidP="00830585">
      <w:pPr>
        <w:pStyle w:val="Normalnumber"/>
        <w:tabs>
          <w:tab w:val="clear" w:pos="567"/>
          <w:tab w:val="clear" w:pos="1247"/>
          <w:tab w:val="clear" w:pos="1814"/>
          <w:tab w:val="clear" w:pos="2381"/>
          <w:tab w:val="clear" w:pos="2948"/>
          <w:tab w:val="clear" w:pos="3515"/>
          <w:tab w:val="left" w:pos="624"/>
        </w:tabs>
      </w:pPr>
      <w:r w:rsidRPr="00DB6883">
        <w:t>Speaking from the floor, one representative said that he considered the Kigali Amendment to be a well-balanced instrument that addressed the concerns of all parties, leaving none behind. That was likely to be a factor in the rapid uptake of the instrument.</w:t>
      </w:r>
    </w:p>
    <w:p w:rsidR="004C6B9D" w:rsidRPr="004E7D79" w:rsidRDefault="00830585" w:rsidP="004E7D79">
      <w:pPr>
        <w:pStyle w:val="CH3"/>
        <w:rPr>
          <w:b w:val="0"/>
        </w:rPr>
      </w:pPr>
      <w:r w:rsidRPr="00DB6883">
        <w:tab/>
        <w:t>2.</w:t>
      </w:r>
      <w:r w:rsidRPr="00DB6883">
        <w:tab/>
      </w:r>
      <w:r w:rsidR="004C6B9D" w:rsidRPr="00DB6883">
        <w:t>Catalysts that had enabled progress to be made</w:t>
      </w:r>
    </w:p>
    <w:p w:rsidR="004C6B9D" w:rsidRPr="00DB6883" w:rsidRDefault="004C6B9D" w:rsidP="00830585">
      <w:pPr>
        <w:pStyle w:val="Normalnumber"/>
        <w:tabs>
          <w:tab w:val="clear" w:pos="567"/>
          <w:tab w:val="clear" w:pos="1247"/>
          <w:tab w:val="clear" w:pos="1814"/>
          <w:tab w:val="clear" w:pos="2381"/>
          <w:tab w:val="clear" w:pos="2948"/>
          <w:tab w:val="clear" w:pos="3515"/>
          <w:tab w:val="left" w:pos="624"/>
        </w:tabs>
      </w:pPr>
      <w:r w:rsidRPr="00DF6D5C">
        <w:t>Talking o</w:t>
      </w:r>
      <w:r w:rsidRPr="00E861A7">
        <w:t xml:space="preserve">f the </w:t>
      </w:r>
      <w:r w:rsidRPr="004C48EF">
        <w:t>catalysts for progress</w:t>
      </w:r>
      <w:r w:rsidRPr="00E861A7">
        <w:t xml:space="preserve">, two panellists spoke of how the clarity of the common goal and the solid framework, which specified what was required from whom and by when, had facilitated the task. That had enabled the markets to follow and </w:t>
      </w:r>
      <w:r w:rsidRPr="00DB6883">
        <w:t>had given rise to innovation.</w:t>
      </w:r>
    </w:p>
    <w:p w:rsidR="004C6B9D" w:rsidRPr="00DB6883" w:rsidRDefault="004C6B9D" w:rsidP="00830585">
      <w:pPr>
        <w:pStyle w:val="Normalnumber"/>
        <w:tabs>
          <w:tab w:val="clear" w:pos="567"/>
          <w:tab w:val="clear" w:pos="1247"/>
          <w:tab w:val="clear" w:pos="1814"/>
          <w:tab w:val="clear" w:pos="2381"/>
          <w:tab w:val="clear" w:pos="2948"/>
          <w:tab w:val="clear" w:pos="3515"/>
          <w:tab w:val="left" w:pos="624"/>
        </w:tabs>
      </w:pPr>
      <w:r w:rsidRPr="00DB6883">
        <w:t>Several panellists underscored the need for dialogue and cooperation between Governments and industry, with one highlighting a need to link the global goal with national concerns in order for efforts to achieve it to bear fruit. Another among them stressed the importance of ensuring understanding of the Montreal Protocol among all relevant ministries. Another panellist recalled the importance of political will.</w:t>
      </w:r>
    </w:p>
    <w:p w:rsidR="004C6B9D" w:rsidRPr="00DB6883" w:rsidRDefault="004C6B9D" w:rsidP="00830585">
      <w:pPr>
        <w:pStyle w:val="Normalnumber"/>
        <w:tabs>
          <w:tab w:val="clear" w:pos="567"/>
          <w:tab w:val="clear" w:pos="1247"/>
          <w:tab w:val="clear" w:pos="1814"/>
          <w:tab w:val="clear" w:pos="2381"/>
          <w:tab w:val="clear" w:pos="2948"/>
          <w:tab w:val="clear" w:pos="3515"/>
          <w:tab w:val="left" w:pos="624"/>
        </w:tabs>
      </w:pPr>
      <w:r w:rsidRPr="00DB6883">
        <w:t>One panellist praised the quality of the technical and scientific reporting provided by UNEP, which provided sound arguments for action, and stressed the value of the Multilateral Fund as the key financial mechanism for ensuring that countries had the means to act.</w:t>
      </w:r>
    </w:p>
    <w:p w:rsidR="004C6B9D" w:rsidRPr="00DB6883" w:rsidRDefault="00830585" w:rsidP="004E7D79">
      <w:pPr>
        <w:pStyle w:val="CH3"/>
      </w:pPr>
      <w:r w:rsidRPr="00DB6883">
        <w:tab/>
        <w:t>3.</w:t>
      </w:r>
      <w:r w:rsidRPr="00DB6883">
        <w:tab/>
      </w:r>
      <w:r w:rsidR="004C6B9D" w:rsidRPr="00DB6883">
        <w:t>Key learning from campaigns and communication</w:t>
      </w:r>
    </w:p>
    <w:p w:rsidR="004C6B9D" w:rsidRPr="00DB6883" w:rsidRDefault="004C6B9D" w:rsidP="004E7D79">
      <w:pPr>
        <w:pStyle w:val="Normalnumber"/>
        <w:tabs>
          <w:tab w:val="clear" w:pos="567"/>
          <w:tab w:val="clear" w:pos="1247"/>
          <w:tab w:val="clear" w:pos="1814"/>
          <w:tab w:val="clear" w:pos="2381"/>
          <w:tab w:val="clear" w:pos="2948"/>
          <w:tab w:val="clear" w:pos="3515"/>
          <w:tab w:val="left" w:pos="624"/>
        </w:tabs>
      </w:pPr>
      <w:r w:rsidRPr="00DB6883">
        <w:t xml:space="preserve">Several panellists said that the public messaging on important environmental issues must be clear, comprehensible and not couched in jargon. It was a question of capturing public imagination, galvanizing people into action and harnessing the power of the public to spur politicians on. It was also important to speak not only of the problems, but also of positive elements and opportunities, such as the creation of jobs and economic growth stemming from the use of green technology and power. </w:t>
      </w:r>
    </w:p>
    <w:p w:rsidR="004C6B9D" w:rsidRPr="00DB6883" w:rsidRDefault="004C6B9D" w:rsidP="004E7D79">
      <w:pPr>
        <w:pStyle w:val="Normalnumber"/>
        <w:tabs>
          <w:tab w:val="clear" w:pos="567"/>
          <w:tab w:val="clear" w:pos="1247"/>
          <w:tab w:val="clear" w:pos="1814"/>
          <w:tab w:val="clear" w:pos="2381"/>
          <w:tab w:val="clear" w:pos="2948"/>
          <w:tab w:val="clear" w:pos="3515"/>
          <w:tab w:val="left" w:pos="624"/>
        </w:tabs>
      </w:pPr>
      <w:r w:rsidRPr="00DB6883">
        <w:t xml:space="preserve">A number of panellists stressed the need to reach young people with adapted messaging, with two of them outlining the environmental education programmes conducted in their own countries. </w:t>
      </w:r>
    </w:p>
    <w:p w:rsidR="004C6B9D" w:rsidRPr="00DB6883" w:rsidRDefault="004C6B9D" w:rsidP="004E7D79">
      <w:pPr>
        <w:pStyle w:val="Normalnumber"/>
        <w:tabs>
          <w:tab w:val="clear" w:pos="567"/>
          <w:tab w:val="clear" w:pos="1247"/>
          <w:tab w:val="clear" w:pos="1814"/>
          <w:tab w:val="clear" w:pos="2381"/>
          <w:tab w:val="clear" w:pos="2948"/>
          <w:tab w:val="clear" w:pos="3515"/>
          <w:tab w:val="left" w:pos="624"/>
        </w:tabs>
      </w:pPr>
      <w:r w:rsidRPr="00DB6883">
        <w:lastRenderedPageBreak/>
        <w:t>One representative, speaking from the floor, recalled his country’s driving role in and commitment to combating climate change, stating that the admirable success of the Montreal Protocol should serve as inspiration in the imperative fight against other pressing environmental issues, including plastic pollution.</w:t>
      </w:r>
    </w:p>
    <w:p w:rsidR="004C6B9D" w:rsidRPr="00DB6883" w:rsidRDefault="00830585" w:rsidP="004E7D79">
      <w:pPr>
        <w:pStyle w:val="CH3"/>
      </w:pPr>
      <w:r w:rsidRPr="00DB6883">
        <w:tab/>
        <w:t>4.</w:t>
      </w:r>
      <w:r w:rsidRPr="00DB6883">
        <w:tab/>
      </w:r>
      <w:r w:rsidR="004C6B9D" w:rsidRPr="00DB6883">
        <w:t>Role of young people</w:t>
      </w:r>
    </w:p>
    <w:p w:rsidR="004C6B9D" w:rsidRPr="00DB6883" w:rsidRDefault="004C6B9D" w:rsidP="004E7D79">
      <w:pPr>
        <w:pStyle w:val="Normalnumber"/>
        <w:tabs>
          <w:tab w:val="clear" w:pos="567"/>
          <w:tab w:val="clear" w:pos="1247"/>
          <w:tab w:val="clear" w:pos="1814"/>
          <w:tab w:val="clear" w:pos="2381"/>
          <w:tab w:val="clear" w:pos="2948"/>
          <w:tab w:val="clear" w:pos="3515"/>
          <w:tab w:val="left" w:pos="624"/>
        </w:tabs>
      </w:pPr>
      <w:r w:rsidRPr="00DB6883">
        <w:t>Responding to a question from the floor about whether there was a role for children and young people in tackling major environmental challenges, one panellist said that, although young people were constantly referred to as “the leaders of tomorrow”, they were already engaged and active, many more so than adults. Young people should continue to raise awareness of important environmental issues among their family members and adult friends. Another panellist urged children to continue to hold adults accountable.</w:t>
      </w:r>
    </w:p>
    <w:p w:rsidR="004C6B9D" w:rsidRPr="00DB6883" w:rsidRDefault="00830585" w:rsidP="004E7D79">
      <w:pPr>
        <w:pStyle w:val="CH3"/>
      </w:pPr>
      <w:r w:rsidRPr="00DB6883">
        <w:tab/>
        <w:t>5.</w:t>
      </w:r>
      <w:r w:rsidRPr="00DB6883">
        <w:tab/>
      </w:r>
      <w:r w:rsidR="004C6B9D" w:rsidRPr="00DB6883">
        <w:t>Encouraging ratification of the Kigali Amendment</w:t>
      </w:r>
    </w:p>
    <w:p w:rsidR="004C6B9D" w:rsidRPr="00DB6883" w:rsidRDefault="004C6B9D" w:rsidP="004E7D79">
      <w:pPr>
        <w:pStyle w:val="Normalnumber"/>
        <w:tabs>
          <w:tab w:val="clear" w:pos="567"/>
          <w:tab w:val="clear" w:pos="1247"/>
          <w:tab w:val="clear" w:pos="1814"/>
          <w:tab w:val="clear" w:pos="2381"/>
          <w:tab w:val="clear" w:pos="2948"/>
          <w:tab w:val="clear" w:pos="3515"/>
          <w:tab w:val="left" w:pos="624"/>
        </w:tabs>
      </w:pPr>
      <w:r w:rsidRPr="00DB6883">
        <w:t xml:space="preserve">Turning to the future, panellists were </w:t>
      </w:r>
      <w:r w:rsidRPr="006A285E">
        <w:t>asked how</w:t>
      </w:r>
      <w:r w:rsidRPr="00DB6883">
        <w:t xml:space="preserve"> they would encourage parties that had yet to ratify the Kigali Amendment to do so. Almost all those who responded stressed that global support was essential for the effectiveness of the Amendment. Universal ratification would send a strong signal to the market, driving innovation and leading to more affordable alternatives for HFCs. It would also send a signal to other sectors in which carbon dioxide reductions were needed, notably aviation and the maritime sector. It was important to convey the message that the Amendment was different from the Montreal Protocol, bringing an entirely new family of substances into the scope of the Protocol and taking on a larger issue. It also had a clear energy efficiency aspect. Overall, there was a strong business case to be made for ratification, including the fact that ratification was a condition for gaining access to fast-track funding from the Kigali Cooling Efficiency Program</w:t>
      </w:r>
      <w:r w:rsidR="006A285E">
        <w:t>me</w:t>
      </w:r>
      <w:r w:rsidRPr="00DB6883">
        <w:t>. Cooling was important for public health and welfare, the economy and the environment, and the next step would be to launch a global coalition for clean cooling.</w:t>
      </w:r>
    </w:p>
    <w:p w:rsidR="004C6B9D" w:rsidRPr="00DB6883" w:rsidRDefault="00830585" w:rsidP="004E7D79">
      <w:pPr>
        <w:pStyle w:val="CH3"/>
      </w:pPr>
      <w:r w:rsidRPr="00DB6883">
        <w:tab/>
        <w:t>6.</w:t>
      </w:r>
      <w:r w:rsidRPr="00DB6883">
        <w:tab/>
      </w:r>
      <w:r w:rsidR="004C6B9D" w:rsidRPr="00DB6883">
        <w:t>Adequate financial support</w:t>
      </w:r>
    </w:p>
    <w:p w:rsidR="004C6B9D" w:rsidRPr="00DB6883" w:rsidRDefault="004C6B9D" w:rsidP="004E7D79">
      <w:pPr>
        <w:pStyle w:val="Normalnumber"/>
        <w:tabs>
          <w:tab w:val="clear" w:pos="567"/>
          <w:tab w:val="clear" w:pos="1247"/>
          <w:tab w:val="clear" w:pos="1814"/>
          <w:tab w:val="clear" w:pos="2381"/>
          <w:tab w:val="clear" w:pos="2948"/>
          <w:tab w:val="clear" w:pos="3515"/>
          <w:tab w:val="left" w:pos="624"/>
        </w:tabs>
      </w:pPr>
      <w:r w:rsidRPr="00DB6883">
        <w:t xml:space="preserve">Noting that the Vienna Convention had provided the framework for the science behind the Montreal Protocol, including regular meetings of the Ozone Research Managers, the moderator asked about how to ensure adequate financial support for research in a climate of financial restraint. The responding panellists called for sufficient funding for science, observing, among other things, that the cost of inaction was much higher than that of action. Science was </w:t>
      </w:r>
      <w:proofErr w:type="gramStart"/>
      <w:r w:rsidRPr="00DB6883">
        <w:t>key</w:t>
      </w:r>
      <w:proofErr w:type="gramEnd"/>
      <w:r w:rsidRPr="00DB6883">
        <w:t xml:space="preserve"> to action under any agreement. In addition to funding their own work, developed countries needed to provide funding for scientific research projects and workshops in developing countries, both in connection with alternatives to HFCs and to monitor progress. Representatives should engage with their ministers of finance and ensure that the needs were well understood. </w:t>
      </w:r>
    </w:p>
    <w:p w:rsidR="004C6B9D" w:rsidRPr="00DB6883" w:rsidRDefault="00830585" w:rsidP="004E7D79">
      <w:pPr>
        <w:pStyle w:val="CH3"/>
      </w:pPr>
      <w:r w:rsidRPr="00DB6883">
        <w:tab/>
        <w:t>7.</w:t>
      </w:r>
      <w:r w:rsidRPr="00DB6883">
        <w:tab/>
      </w:r>
      <w:r w:rsidR="004C6B9D" w:rsidRPr="00DB6883">
        <w:t>International cooperation</w:t>
      </w:r>
    </w:p>
    <w:p w:rsidR="004C6B9D" w:rsidRPr="00DB6883" w:rsidRDefault="004C6B9D" w:rsidP="004E7D79">
      <w:pPr>
        <w:pStyle w:val="Normalnumber"/>
        <w:tabs>
          <w:tab w:val="clear" w:pos="567"/>
          <w:tab w:val="clear" w:pos="1247"/>
          <w:tab w:val="clear" w:pos="1814"/>
          <w:tab w:val="clear" w:pos="2381"/>
          <w:tab w:val="clear" w:pos="2948"/>
          <w:tab w:val="clear" w:pos="3515"/>
          <w:tab w:val="left" w:pos="624"/>
        </w:tabs>
      </w:pPr>
      <w:r w:rsidRPr="00DB6883">
        <w:t xml:space="preserve">With regard to the successful </w:t>
      </w:r>
      <w:r w:rsidRPr="00902DFF">
        <w:t>experiences of</w:t>
      </w:r>
      <w:r w:rsidRPr="00DB6883">
        <w:t xml:space="preserve"> the Montreal Protocol that could be applied to new international cooperation aimed at tackling other global challenges, such as pollution and biodiversity loss, the panellists attributed the success of cooperation under the Protocol to political leadership; strong institutions, including a scientific panel that was beyond political control, the carefully designed Multilateral Fund, the Secretariat and the Paris-based support structure for ozone officers; the recognition of countries’ unique situations, reflected in the principle of common but differentiated responsibilities; a strong scientific foundation; clear targets; universal ratification; and the breadth of actors involved in implementation, including Governments, the private sector, civil society and academic institutions. Engaging with the major chemicals producers on corporate social responsibility was also proposed as an avenue for combating global environmental challenges.  </w:t>
      </w:r>
    </w:p>
    <w:p w:rsidR="004C6B9D" w:rsidRPr="00DB6883" w:rsidRDefault="00830585" w:rsidP="004E7D79">
      <w:pPr>
        <w:pStyle w:val="CH3"/>
      </w:pPr>
      <w:r w:rsidRPr="00DB6883">
        <w:tab/>
        <w:t>8.</w:t>
      </w:r>
      <w:r w:rsidRPr="00DB6883">
        <w:tab/>
      </w:r>
      <w:r w:rsidR="004C6B9D" w:rsidRPr="00DB6883">
        <w:t>Link to the Sustainable Development Goals</w:t>
      </w:r>
    </w:p>
    <w:p w:rsidR="004C6B9D" w:rsidRPr="00DB6883" w:rsidRDefault="004C6B9D" w:rsidP="004E7D79">
      <w:pPr>
        <w:pStyle w:val="Normalnumber"/>
        <w:tabs>
          <w:tab w:val="clear" w:pos="567"/>
          <w:tab w:val="clear" w:pos="1247"/>
          <w:tab w:val="clear" w:pos="1814"/>
          <w:tab w:val="clear" w:pos="2381"/>
          <w:tab w:val="clear" w:pos="2948"/>
          <w:tab w:val="clear" w:pos="3515"/>
          <w:tab w:val="left" w:pos="624"/>
        </w:tabs>
      </w:pPr>
      <w:r w:rsidRPr="00DB6883">
        <w:t xml:space="preserve">As the Sustainable Development Goals essentially dealt with people and the planet, said one panellist, any policies of benefit to both would contribute to their achievement. Examples were given of policies aimed at combating pollution or creating green jobs, in addition to the recently announced Powering Past Coal </w:t>
      </w:r>
      <w:r w:rsidR="00902DFF">
        <w:t>A</w:t>
      </w:r>
      <w:r w:rsidR="00902DFF" w:rsidRPr="00DB6883">
        <w:t>lliance</w:t>
      </w:r>
      <w:r w:rsidRPr="00DB6883">
        <w:t>.</w:t>
      </w:r>
    </w:p>
    <w:p w:rsidR="004C6B9D" w:rsidRPr="00DB6883" w:rsidRDefault="004C6B9D" w:rsidP="004C6B9D">
      <w:pPr>
        <w:pStyle w:val="CH2"/>
      </w:pPr>
      <w:r w:rsidRPr="00DB6883">
        <w:tab/>
        <w:t>B.</w:t>
      </w:r>
      <w:r w:rsidRPr="00DB6883">
        <w:tab/>
        <w:t>Science of ozone layer depletion and recovery: reflections on the past, present and future</w:t>
      </w:r>
    </w:p>
    <w:p w:rsidR="004C6B9D" w:rsidRPr="00DB6883" w:rsidRDefault="004C6B9D" w:rsidP="004E7D79">
      <w:pPr>
        <w:pStyle w:val="Normalnumber"/>
        <w:tabs>
          <w:tab w:val="clear" w:pos="567"/>
          <w:tab w:val="clear" w:pos="1247"/>
          <w:tab w:val="clear" w:pos="1814"/>
          <w:tab w:val="clear" w:pos="2381"/>
          <w:tab w:val="clear" w:pos="2948"/>
          <w:tab w:val="clear" w:pos="3515"/>
          <w:tab w:val="left" w:pos="624"/>
        </w:tabs>
      </w:pPr>
      <w:r w:rsidRPr="00DB6883">
        <w:t xml:space="preserve">The </w:t>
      </w:r>
      <w:r w:rsidRPr="002B5665">
        <w:t>science event</w:t>
      </w:r>
      <w:r w:rsidRPr="00DB6883">
        <w:t xml:space="preserve">, on the theme “Science of ozone layer depletion and recovery: reflections on the past, present and future”, was held on the afternoon of 23 November 2017. Moderated by the Chief Science Adviser of the Government of Canada, Mona Nemer, it featured a series of presentations by the panellists, followed by a question-and-answer session. The panellists, listed in the order in which </w:t>
      </w:r>
      <w:r w:rsidRPr="00DB6883">
        <w:lastRenderedPageBreak/>
        <w:t>they spoke, were Vitali Fioletov (Environment and Climate Change Canada), Nathan Gillett (Environment and Climate Change Canada), Amanda Maycock (University of Leeds, United</w:t>
      </w:r>
      <w:r w:rsidR="00747F4C">
        <w:t> </w:t>
      </w:r>
      <w:r w:rsidRPr="00DB6883">
        <w:t xml:space="preserve">Kingdom), Guus Velders (Utrecht University and National Institute for Public Health and the Environment, Netherlands) and Anne Thompson (Goddard Space Flight </w:t>
      </w:r>
      <w:r w:rsidR="00902DFF" w:rsidRPr="00DB6883">
        <w:t>Cent</w:t>
      </w:r>
      <w:r w:rsidR="00902DFF">
        <w:t>re</w:t>
      </w:r>
      <w:r w:rsidRPr="00DB6883">
        <w:t>, National Aeronautics and Space Administration, United States).</w:t>
      </w:r>
    </w:p>
    <w:p w:rsidR="004C6B9D" w:rsidRPr="00DB6883" w:rsidRDefault="004C6B9D" w:rsidP="004E7D79">
      <w:pPr>
        <w:pStyle w:val="Normalnumber"/>
        <w:tabs>
          <w:tab w:val="clear" w:pos="567"/>
          <w:tab w:val="clear" w:pos="1247"/>
          <w:tab w:val="clear" w:pos="1814"/>
          <w:tab w:val="clear" w:pos="2381"/>
          <w:tab w:val="clear" w:pos="2948"/>
          <w:tab w:val="clear" w:pos="3515"/>
          <w:tab w:val="left" w:pos="624"/>
        </w:tabs>
      </w:pPr>
      <w:r w:rsidRPr="00DB6883">
        <w:t>Mr. Fioletov gave a presentation on previous and current changes in atmospheric composition and the ozone layer. A marked fall in concentrations of stratospheric ozone had been observed between 1979 and 1996; that had been largest near the poles, although it had also been subject to a large year-to-year variability, influenced by solar cycle variations and variations in tropical stratospheric winds and volcanic aerosols. The concentration of ozone-depleting substances had shown an increase until the late 1990s and a reduction thereafter. Since 1997, the concentration of ozone in the upper stratosphere had increased, unlike in the lower stratosphere.</w:t>
      </w:r>
    </w:p>
    <w:p w:rsidR="004C6B9D" w:rsidRPr="00DB6883" w:rsidRDefault="004C6B9D" w:rsidP="004E7D79">
      <w:pPr>
        <w:pStyle w:val="Normalnumber"/>
        <w:tabs>
          <w:tab w:val="clear" w:pos="567"/>
          <w:tab w:val="clear" w:pos="1247"/>
          <w:tab w:val="clear" w:pos="1814"/>
          <w:tab w:val="clear" w:pos="2381"/>
          <w:tab w:val="clear" w:pos="2948"/>
          <w:tab w:val="clear" w:pos="3515"/>
          <w:tab w:val="left" w:pos="624"/>
        </w:tabs>
      </w:pPr>
      <w:r w:rsidRPr="00DB6883">
        <w:t>Mr. Gillett gave a presentation on the effects of future changes in atmospheric composition on the ozone layer. Action taken under the Montreal Protocol had led to falls in the atmospheric concentration of ozone-depleting substances; the overall level was expected to return to 1980 values by around 2050 in mid-latitudes and around 2075 in the Antarctic. As concentrations of ozone</w:t>
      </w:r>
      <w:r w:rsidRPr="00DB6883">
        <w:noBreakHyphen/>
        <w:t>depleting substances declined, however, greenhouse gases would become progressively more significant in terms of impact on ozone; carbon dioxide and methane tended to increase ozone levels, whereas nitrous oxide tended to reduce it. Projected ozone changes therefore depended on future efforts to control greenhouse gas emissions. They would also vary by region; ozone recovery to 1980 levels was expected to occur before the middle of the century in the mid-latitudes and the Arctic, and somewhat later in the Antarctic, while significant reductions in ozone levels were projected for the tropics, unless global methane emissions increased substantially.</w:t>
      </w:r>
    </w:p>
    <w:p w:rsidR="004C6B9D" w:rsidRPr="00DB6883" w:rsidRDefault="004C6B9D" w:rsidP="004E7D79">
      <w:pPr>
        <w:pStyle w:val="Normalnumber"/>
        <w:tabs>
          <w:tab w:val="clear" w:pos="567"/>
          <w:tab w:val="clear" w:pos="1247"/>
          <w:tab w:val="clear" w:pos="1814"/>
          <w:tab w:val="clear" w:pos="2381"/>
          <w:tab w:val="clear" w:pos="2948"/>
          <w:tab w:val="clear" w:pos="3515"/>
          <w:tab w:val="left" w:pos="624"/>
        </w:tabs>
      </w:pPr>
      <w:r w:rsidRPr="00DB6883">
        <w:t>Ms. Maycock gave a presentation on the effects on climate of ozone depletion and recovery. Overall, ozone depletion had cooled the stratosphere, an effect reinforced by increasing concentrations of carbon dioxide. That cooling had been particularly marked over the Antarctic during the austral spring and summer and had also contributed to a poleward movement of westerly winds, and an increase in their strength, in the southern hemisphere. In turn, that was linked to regional changes in climate, including changes in surface temperatures, increased rainfall in southern mid-latitudes and the subtropics and changes in oceanic circulation. An increase in the stratospheric concentration of ozone would tend to reverse those changes, but that would be counteracted by increases in the levels of greenhouse gases. Given that most ozone-depleting substances were themselves greenhouse gases, the implementation of the Montreal Protocol had prevented a significant surface warming of the planet that would have occurred had emissions continued unabated.</w:t>
      </w:r>
    </w:p>
    <w:p w:rsidR="004C6B9D" w:rsidRPr="00DB6883" w:rsidRDefault="004C6B9D" w:rsidP="004E7D79">
      <w:pPr>
        <w:pStyle w:val="Normalnumber"/>
        <w:tabs>
          <w:tab w:val="clear" w:pos="567"/>
          <w:tab w:val="clear" w:pos="1247"/>
          <w:tab w:val="clear" w:pos="1814"/>
          <w:tab w:val="clear" w:pos="2381"/>
          <w:tab w:val="clear" w:pos="2948"/>
          <w:tab w:val="clear" w:pos="3515"/>
          <w:tab w:val="left" w:pos="624"/>
        </w:tabs>
      </w:pPr>
      <w:r w:rsidRPr="00DB6883">
        <w:t>Mr. Velders gave a presentation on HFCs and climate protection through the Kigali Amendment. He pointed out that rising HFC emissions could offset the climate benefits already achieved under the Montreal Protocol, with a business-as-usual projection of an increase in emissions equivalent to 9–29 per cent of the growth in global carbon dioxide emissions from 2015 to 2050. While HFC emissions had historically emanated mainly from the United States and the European Union, future emissions were projected mainly from developing countries. The implementation of the Amendment, however, would reduce HFC emissions from developed countries from 1.0 to 0.2 gigatonnes of carbon dioxide equivalent per year and from developing countries from 3–4 to some 1 gigatonnes of carbon dioxide equivalent per year, by 2050. That would reduce the contribution of HFCs to global warming by 2100 from 0.5°C to some 0.06°C. HFC regulations already in place in several countries demonstrated that it would be possible to achieve the aims of the Amendment.</w:t>
      </w:r>
    </w:p>
    <w:p w:rsidR="004C6B9D" w:rsidRPr="00DB6883" w:rsidRDefault="004C6B9D" w:rsidP="004E7D79">
      <w:pPr>
        <w:pStyle w:val="Normalnumber"/>
        <w:tabs>
          <w:tab w:val="clear" w:pos="567"/>
          <w:tab w:val="clear" w:pos="1247"/>
          <w:tab w:val="clear" w:pos="1814"/>
          <w:tab w:val="clear" w:pos="2381"/>
          <w:tab w:val="clear" w:pos="2948"/>
          <w:tab w:val="clear" w:pos="3515"/>
          <w:tab w:val="left" w:pos="624"/>
        </w:tabs>
      </w:pPr>
      <w:r w:rsidRPr="00DB6883">
        <w:t>Ms. Thompson gave a presentation on ozone monitoring. She stressed that global monitoring of ozone at all levels of the atmosphere was vital to continued understanding of impact, especially in the poles and the tropics, the most sensitive regions. Whereas there was a continuous record of satellite data, some satellite instruments were nearing the end of their lifetimes, and data collection from ozone balloons and other ground-based instruments had not been as consistent. The need for monitoring of ozone levels was becoming more acute as the climate changed; as the troposphere warmed, feedback mechanisms between smog, methane and tropospheric ozone and ozone recovery were largely unknown.</w:t>
      </w:r>
    </w:p>
    <w:p w:rsidR="004C6B9D" w:rsidRPr="00DB6883" w:rsidRDefault="004C6B9D" w:rsidP="004E7D79">
      <w:pPr>
        <w:pStyle w:val="Normalnumber"/>
        <w:tabs>
          <w:tab w:val="clear" w:pos="567"/>
          <w:tab w:val="clear" w:pos="1247"/>
          <w:tab w:val="clear" w:pos="1814"/>
          <w:tab w:val="clear" w:pos="2381"/>
          <w:tab w:val="clear" w:pos="2948"/>
          <w:tab w:val="clear" w:pos="3515"/>
          <w:tab w:val="left" w:pos="624"/>
        </w:tabs>
      </w:pPr>
      <w:r w:rsidRPr="00DB6883">
        <w:t xml:space="preserve">Responding to </w:t>
      </w:r>
      <w:r w:rsidRPr="002B5665">
        <w:t>questions from</w:t>
      </w:r>
      <w:r w:rsidRPr="00DB6883">
        <w:t xml:space="preserve"> the moderator, Mr. Fioletov confirmed that scientists could say with a high degree of confidence that stratospheric ozone levels were no longer falling. While there was some evidence that levels had begun to rise, the signal was difficult to distinguish from the substantial degree of annual variability. Mr. Gillett added that the successful implementation of the Montreal Protocol was contributing to the recovery of the ozone layer, but that was also affected by </w:t>
      </w:r>
      <w:r w:rsidRPr="00DB6883">
        <w:lastRenderedPageBreak/>
        <w:t xml:space="preserve">levels of greenhouse gases, meaning that it was unlikely to recover fully to its pre-1980 state. Indeed, most scenarios suggested a further reduction of ozone levels in the tropics. </w:t>
      </w:r>
    </w:p>
    <w:p w:rsidR="004C6B9D" w:rsidRPr="00DB6883" w:rsidRDefault="004C6B9D" w:rsidP="004E7D79">
      <w:pPr>
        <w:pStyle w:val="Normalnumber"/>
        <w:tabs>
          <w:tab w:val="clear" w:pos="567"/>
          <w:tab w:val="clear" w:pos="1247"/>
          <w:tab w:val="clear" w:pos="1814"/>
          <w:tab w:val="clear" w:pos="2381"/>
          <w:tab w:val="clear" w:pos="2948"/>
          <w:tab w:val="clear" w:pos="3515"/>
          <w:tab w:val="left" w:pos="624"/>
        </w:tabs>
      </w:pPr>
      <w:r w:rsidRPr="00DB6883">
        <w:t xml:space="preserve">The panellists then responded to questions from the floor. Commenting on the links between climate change and ozone depletion, Mr. Gillett observed that the net effect was the result of interactions between complex chemical and physical processes. Emissions of greenhouse gases cooled the stratosphere, which tended to lead to an increase in ozone levels, and also changed the stratospheric circulation, bringing more ozone to the </w:t>
      </w:r>
      <w:proofErr w:type="gramStart"/>
      <w:r w:rsidRPr="00DB6883">
        <w:t>polar regions</w:t>
      </w:r>
      <w:proofErr w:type="gramEnd"/>
      <w:r w:rsidRPr="00DB6883">
        <w:t>. At the same time, rising concentrations of carbon dioxide and methane increased ozone production whereas nitrous oxide reduced it. The net effect on the Antarctic was not, however, significant. Commenting on the impact of ozone depletion on weather patterns in the Arctic, Ms. Maycock confirmed that there was no evidence of any long-term changes, although there was some evidence to suggest short-term changes in particularly severe winters. Climate change was also expected to lead to an increase in the intensity of tropical storms and a rise in associated rainfall, but there was no strong evidence to suggest that it would cause a change in their usual paths.</w:t>
      </w:r>
    </w:p>
    <w:p w:rsidR="004C6B9D" w:rsidRPr="00DB6883" w:rsidRDefault="004C6B9D" w:rsidP="004E7D79">
      <w:pPr>
        <w:pStyle w:val="Normalnumber"/>
        <w:tabs>
          <w:tab w:val="clear" w:pos="567"/>
          <w:tab w:val="clear" w:pos="1247"/>
          <w:tab w:val="clear" w:pos="1814"/>
          <w:tab w:val="clear" w:pos="2381"/>
          <w:tab w:val="clear" w:pos="2948"/>
          <w:tab w:val="clear" w:pos="3515"/>
          <w:tab w:val="left" w:pos="624"/>
        </w:tabs>
      </w:pPr>
      <w:r w:rsidRPr="00DB6883">
        <w:t xml:space="preserve">On the implementation of the Kigali Amendment, Mr. Velders observed that scenarios for projections of future uses of HFCs depended on several assumptions. It had been assumed, for example, that future consumption levels in developing countries would not be higher than current consumption levels in the United States, but it was possible that a higher demand for air conditioning could emerge in particularly hot countries and with increasing climate change. Monitoring of atmospheric levels of HFCs would be especially important in understanding whether those projections and assumptions were proving accurate. While the contribution of HFCs to current levels of global warming was extremely small, at about only 2 per cent of the total, it was currently growing by </w:t>
      </w:r>
      <w:r w:rsidRPr="00DB6883">
        <w:br/>
        <w:t xml:space="preserve">5–10 per cent per year, and action to reduce those emissions was essential to meeting the goal of limiting global warming to less than 2°C. That could be achieved in two main ways: through regulatory controls on HFCs, thus creating incentives for industry to develop </w:t>
      </w:r>
      <w:proofErr w:type="gramStart"/>
      <w:r w:rsidRPr="00DB6883">
        <w:t>alternatives,</w:t>
      </w:r>
      <w:proofErr w:type="gramEnd"/>
      <w:r w:rsidRPr="00DB6883">
        <w:t xml:space="preserve"> and by realizing improvements in energy efficiency levels as equipment was replaced. The implementation of the Amendment would hold down the contribution of HFCs to global warming to about 2 per cent of the total, whereas in its absence HFC emissions were projected to grow to about 10–15 per cent of the total.</w:t>
      </w:r>
    </w:p>
    <w:p w:rsidR="004C6B9D" w:rsidRPr="00DB6883" w:rsidRDefault="004C6B9D" w:rsidP="004E7D79">
      <w:pPr>
        <w:pStyle w:val="Normalnumber"/>
        <w:tabs>
          <w:tab w:val="clear" w:pos="567"/>
          <w:tab w:val="clear" w:pos="1247"/>
          <w:tab w:val="clear" w:pos="1814"/>
          <w:tab w:val="clear" w:pos="2381"/>
          <w:tab w:val="clear" w:pos="2948"/>
          <w:tab w:val="clear" w:pos="3515"/>
          <w:tab w:val="left" w:pos="624"/>
        </w:tabs>
      </w:pPr>
      <w:r w:rsidRPr="00DB6883">
        <w:t xml:space="preserve">On the topic of </w:t>
      </w:r>
      <w:r w:rsidRPr="002B5665">
        <w:t>ozone measurements</w:t>
      </w:r>
      <w:r w:rsidRPr="00DB6883">
        <w:t xml:space="preserve"> in the tropics, Mr. Thompson confirmed that it was proving challenging to provide regular and consistent measurements. That was of particular concern because the tropics were an important region for the production of greenhouse gases; methane emissions from the tropics had recently increased, and it was unclear why. It was difficult to identify specific sources and processes when the gas was well distributed throughout the global atmosphere. </w:t>
      </w:r>
    </w:p>
    <w:p w:rsidR="004C6B9D" w:rsidRPr="00DB6883" w:rsidRDefault="004C6B9D" w:rsidP="004E7D79">
      <w:pPr>
        <w:pStyle w:val="Normalnumber"/>
        <w:tabs>
          <w:tab w:val="clear" w:pos="567"/>
          <w:tab w:val="clear" w:pos="1247"/>
          <w:tab w:val="clear" w:pos="1814"/>
          <w:tab w:val="clear" w:pos="2381"/>
          <w:tab w:val="clear" w:pos="2948"/>
          <w:tab w:val="clear" w:pos="3515"/>
          <w:tab w:val="left" w:pos="624"/>
        </w:tabs>
      </w:pPr>
      <w:r w:rsidRPr="00DB6883">
        <w:t xml:space="preserve">Responding to a question about the possibility of future surprises, similar to the discovery of the ozone hole, Mr. Gillett stated that the potential for future reductions in ozone levels in the tropics, relating to changes in stratospheric circulation, with an accompanying rise in levels of ultraviolet radiation, was a matter of concern that needed further study. Mr. Thompson added that not enough was known about the interactions of chlorine gases, reactive nitrogen, organic molecules, particles and aerosols. Ms. Maycock added that scientists still did not know why the coverage of Antarctic sea ice had remained relatively stable in recent years, climate change notwithstanding, but had then experienced a sharp fall in the past year. It could be related to ozone depletion and changing weather patterns, but further research was needed. Lastly, while 2017 had seen a smaller ozone hole over the Antarctic than in previous </w:t>
      </w:r>
      <w:proofErr w:type="gramStart"/>
      <w:r w:rsidRPr="00DB6883">
        <w:t>years, that</w:t>
      </w:r>
      <w:proofErr w:type="gramEnd"/>
      <w:r w:rsidRPr="00DB6883">
        <w:t xml:space="preserve"> was probably due to natural variation rather than any unanticipated process, although that was not yet certain.</w:t>
      </w:r>
    </w:p>
    <w:p w:rsidR="004C6B9D" w:rsidRPr="00DB6883" w:rsidRDefault="004C6B9D" w:rsidP="004E7D79">
      <w:pPr>
        <w:pStyle w:val="Normalnumber"/>
        <w:tabs>
          <w:tab w:val="clear" w:pos="567"/>
          <w:tab w:val="clear" w:pos="1247"/>
          <w:tab w:val="clear" w:pos="1814"/>
          <w:tab w:val="clear" w:pos="2381"/>
          <w:tab w:val="clear" w:pos="2948"/>
          <w:tab w:val="clear" w:pos="3515"/>
          <w:tab w:val="left" w:pos="624"/>
        </w:tabs>
      </w:pPr>
      <w:r w:rsidRPr="00DB6883">
        <w:t>Expressing thanks to the presenters for their contributions, the moderator summarized the main messages of the session. She said that the action taken to implement the Montreal Protocol had led to a reduction in emissions of ozone-depleting substances, which in turn was causing a recovery of the ozone layer to its pre-1980 levels. Ozone levels were, however, subject to considerable annual variation, and the hole in the ozone layer had not yet closed. The evolution of the ozone layer over the remainder of the century would depend on interactions with levels of carbon dioxide, methane and nitrous oxide. Ozone depletion over the Antarctic was causing changes in the climate in the southern hemisphere in the summer. Compliance with the Kigali Amendment would be essential to avoid the positive impact of the Protocol for the climate being counteracted by the growth in emissions of HFCs. As atmospheric concentrations of ozone and other gases changed, it would be important to continue to monitor them. In conclusion, she said, while there was some good news, much work remained to be done, and the contribution of accomplished and dedicated scientists would remain as vital as ever.</w:t>
      </w:r>
    </w:p>
    <w:p w:rsidR="004C6B9D" w:rsidRPr="00DB6883" w:rsidRDefault="004C6B9D" w:rsidP="004C6B9D">
      <w:pPr>
        <w:pStyle w:val="CH2"/>
      </w:pPr>
      <w:r w:rsidRPr="00DB6883">
        <w:lastRenderedPageBreak/>
        <w:tab/>
        <w:t>C.</w:t>
      </w:r>
      <w:r w:rsidRPr="00DB6883">
        <w:tab/>
      </w:r>
      <w:bookmarkStart w:id="2" w:name="_Hlk499140014"/>
      <w:r w:rsidRPr="00DB6883">
        <w:t>Statements by heads of delegation</w:t>
      </w:r>
      <w:bookmarkEnd w:id="2"/>
    </w:p>
    <w:p w:rsidR="00443FCA" w:rsidRPr="00DB6883" w:rsidRDefault="00443FCA" w:rsidP="004E7D79">
      <w:pPr>
        <w:pStyle w:val="Normalnumber"/>
        <w:tabs>
          <w:tab w:val="clear" w:pos="567"/>
          <w:tab w:val="clear" w:pos="1247"/>
          <w:tab w:val="clear" w:pos="1814"/>
          <w:tab w:val="clear" w:pos="2381"/>
          <w:tab w:val="clear" w:pos="2948"/>
          <w:tab w:val="clear" w:pos="3515"/>
          <w:tab w:val="left" w:pos="624"/>
        </w:tabs>
      </w:pPr>
      <w:r w:rsidRPr="00DB6883">
        <w:t xml:space="preserve">During the high-level segment, </w:t>
      </w:r>
      <w:r w:rsidRPr="00D54E6C">
        <w:t>statements were</w:t>
      </w:r>
      <w:r w:rsidRPr="00DB6883">
        <w:t xml:space="preserve"> made by the heads of delegation of the following parties, listed in the order in which they spoke: Micronesia (Federated States of), China, European Union, Bahamas, Slovakia, Bahrain, Nigeria, United States</w:t>
      </w:r>
      <w:r w:rsidR="008B77D9">
        <w:t xml:space="preserve"> of America</w:t>
      </w:r>
      <w:r w:rsidRPr="00DB6883">
        <w:t>, Kiribati, Guatemala, Kuwait, Pakistan, United Republic of Tanzania, Bangladesh, Uzbekistan, Chile, Brazil, Maldives, Germany, Malaysia, India, Uganda, Luxembourg, Japan, France, Comoros, Italy, Sri Lanka, Côte</w:t>
      </w:r>
      <w:r w:rsidR="00747F4C">
        <w:t> </w:t>
      </w:r>
      <w:r w:rsidRPr="00DB6883">
        <w:t>d’Ivoire, Nepal, Syrian Arab Republic, Cambodia, Mongolia, Ecuador, Swaziland, Ethiopia, Lao</w:t>
      </w:r>
      <w:r w:rsidR="00747F4C">
        <w:t> </w:t>
      </w:r>
      <w:r w:rsidRPr="00DB6883">
        <w:t xml:space="preserve">People’s Democratic Republic, Dominican Republic, Indonesia, Philippines, Egypt, Sierra Leone and Sudan. Statements were also made by the representatives of the International Institute </w:t>
      </w:r>
      <w:r w:rsidR="008B77D9">
        <w:t>of</w:t>
      </w:r>
      <w:r w:rsidRPr="00DB6883">
        <w:t xml:space="preserve"> Refrigeration and the Alliance for Responsible Atmospheric Policy.</w:t>
      </w:r>
    </w:p>
    <w:p w:rsidR="00443FCA" w:rsidRPr="00DB6883" w:rsidRDefault="00443FCA" w:rsidP="004E7D79">
      <w:pPr>
        <w:pStyle w:val="Normalnumber"/>
        <w:tabs>
          <w:tab w:val="clear" w:pos="567"/>
          <w:tab w:val="clear" w:pos="1247"/>
          <w:tab w:val="clear" w:pos="1814"/>
          <w:tab w:val="clear" w:pos="2381"/>
          <w:tab w:val="clear" w:pos="2948"/>
          <w:tab w:val="clear" w:pos="3515"/>
          <w:tab w:val="left" w:pos="624"/>
        </w:tabs>
      </w:pPr>
      <w:r w:rsidRPr="00DB6883">
        <w:t xml:space="preserve">Many representatives expressed thanks to the Government and people of Canada for their hospitality in hosting the current meeting. Many also expressed thanks to the Ozone Secretariat, the secretariat of the Multilateral Fund, UNEP, the implementing agencies, donor partners, the assessment panels, international organizations and other stakeholders for their role in ensuring the success of the meeting in particular and of the Montreal Protocol in general.   </w:t>
      </w:r>
    </w:p>
    <w:p w:rsidR="00443FCA" w:rsidRPr="00DB6883" w:rsidRDefault="00443FCA" w:rsidP="004E7D79">
      <w:pPr>
        <w:pStyle w:val="Normalnumber"/>
        <w:tabs>
          <w:tab w:val="clear" w:pos="567"/>
          <w:tab w:val="clear" w:pos="1247"/>
          <w:tab w:val="clear" w:pos="1814"/>
          <w:tab w:val="clear" w:pos="2381"/>
          <w:tab w:val="clear" w:pos="2948"/>
          <w:tab w:val="clear" w:pos="3515"/>
          <w:tab w:val="left" w:pos="624"/>
        </w:tabs>
      </w:pPr>
      <w:r w:rsidRPr="00DB6883">
        <w:t xml:space="preserve">Many representatives paid tribute to </w:t>
      </w:r>
      <w:r w:rsidRPr="005B7550">
        <w:t>the achievements</w:t>
      </w:r>
      <w:r w:rsidRPr="00DB6883">
        <w:t xml:space="preserve"> under the Montreal Protocol and of the parties thereto in controlling and phasing out ozone-depleting substances and assisting the recovery of the ozone layer, with several pointing to recent research demonstrating that the depletion of the ozone layer was indeed being reversed. Several alluded to the historic noteworthiness of the thirtieth anniversary of the Protocol, and the appropriateness of celebrating that anniversary in the city that had given the Protocol its name. Some representatives mentioned the additional benefits arising from activities under the Protocol, including a reduction in skin cancer and positive climate impacts. Several expressed pride at their countries’ ratification of the Protocol and its amendments, reiterating their commitment to achieving the objectives of the instrument.</w:t>
      </w:r>
    </w:p>
    <w:p w:rsidR="00443FCA" w:rsidRPr="00DB6883" w:rsidRDefault="00443FCA" w:rsidP="004E7D79">
      <w:pPr>
        <w:pStyle w:val="Normalnumber"/>
        <w:tabs>
          <w:tab w:val="clear" w:pos="567"/>
          <w:tab w:val="clear" w:pos="1247"/>
          <w:tab w:val="clear" w:pos="1814"/>
          <w:tab w:val="clear" w:pos="2381"/>
          <w:tab w:val="clear" w:pos="2948"/>
          <w:tab w:val="clear" w:pos="3515"/>
          <w:tab w:val="left" w:pos="624"/>
        </w:tabs>
      </w:pPr>
      <w:r w:rsidRPr="00DB6883">
        <w:t xml:space="preserve">A number of representatives pointed to the factors that had contributed to the success of the Montreal Protocol. Effective partnership and multi-stakeholder collaboration with a range of actors inside and outside the United Nations system, including public-private partnerships and cooperation between international and scientific organizations and non-governmental organizations, was a key aspect. One representative referred </w:t>
      </w:r>
      <w:r w:rsidRPr="00844188">
        <w:t>to the role of</w:t>
      </w:r>
      <w:r w:rsidRPr="00DB6883">
        <w:t xml:space="preserve"> industry in the analysis and identification of environmental challenges, definition of objectives, policy development, </w:t>
      </w:r>
      <w:proofErr w:type="gramStart"/>
      <w:r w:rsidRPr="00DB6883">
        <w:t>implementation</w:t>
      </w:r>
      <w:proofErr w:type="gramEnd"/>
      <w:r w:rsidRPr="00DB6883">
        <w:t xml:space="preserve"> and the commercialization and distribution of technological solutions. The development of strong and effective institutional frameworks to support the implementation of the Protocol, and a transparent mechanism to provide technical and financial assistance to developing countries to help them to meet their phase-out obligations, had also been crucial. Some representatives said that the main reason that the Protocol was widely considered to be one of the most successful global environmental treaties was the existence of its own financial mechanism to assist developing countries, in the form of the Multilateral Fund. Several representatives said that the application of the principle of shared but differentiated responsibility had facilitated cooperation between parties operating under paragraph 1 of Article 5 and those not so operating to achieve the objectives of the Protocol, while mention was also made of the precautionary principle, and that of basing policies and action on sound science, supported by a robust and independent scientific and review process. </w:t>
      </w:r>
    </w:p>
    <w:p w:rsidR="00443FCA" w:rsidRPr="00DB6883" w:rsidRDefault="00443FCA" w:rsidP="004E7D79">
      <w:pPr>
        <w:pStyle w:val="Normalnumber"/>
        <w:tabs>
          <w:tab w:val="clear" w:pos="567"/>
          <w:tab w:val="clear" w:pos="1247"/>
          <w:tab w:val="clear" w:pos="1814"/>
          <w:tab w:val="clear" w:pos="2381"/>
          <w:tab w:val="clear" w:pos="2948"/>
          <w:tab w:val="clear" w:pos="3515"/>
          <w:tab w:val="left" w:pos="624"/>
        </w:tabs>
      </w:pPr>
      <w:r w:rsidRPr="00DB6883">
        <w:t xml:space="preserve">Several representatives drew </w:t>
      </w:r>
      <w:r w:rsidRPr="006C3BA7">
        <w:t>attention to the</w:t>
      </w:r>
      <w:r w:rsidRPr="00DB6883">
        <w:t xml:space="preserve"> progress made, both globally and nationally, in phasing out ozone-depleting substances under the Montreal Protocol. Following their historical success in phasing out CFCs, many countries had moved to focus on the phase-out of HCFCs through the implementation of HCFC phase-out management plans, with the assistance of the Multilateral Fund and the implementing and bilateral agencies. Several representatives said that their countries were phasing out HCFCs ahead of schedule. One representative highlighted the challenges still faced in phasing out HCFCs and introducing alternatives in smaller informal enterprises and in the servicing sector. </w:t>
      </w:r>
    </w:p>
    <w:p w:rsidR="00443FCA" w:rsidRPr="00DB6883" w:rsidRDefault="00443FCA" w:rsidP="004E7D79">
      <w:pPr>
        <w:pStyle w:val="Normalnumber"/>
        <w:tabs>
          <w:tab w:val="clear" w:pos="567"/>
          <w:tab w:val="clear" w:pos="1247"/>
          <w:tab w:val="clear" w:pos="1814"/>
          <w:tab w:val="clear" w:pos="2381"/>
          <w:tab w:val="clear" w:pos="2948"/>
          <w:tab w:val="clear" w:pos="3515"/>
          <w:tab w:val="left" w:pos="624"/>
        </w:tabs>
      </w:pPr>
      <w:r w:rsidRPr="00DB6883">
        <w:t xml:space="preserve">There was considerable discussion of the next important stage in the existence of the Montreal Protocol: the implementation of the Kigali Amendment, adopted in response to the increased consumption and production of HFCs with a high global-warming potential as an unintended consequence of the phase-out of HCFCs. Several representatives said that the factors that had contributed to the success of the Protocol in phasing out ozone-depleting substances, including its organizational structure, financial mechanisms and capacity-assistance programmes, served as fitting preparations for the implementation of the Amendment and the inclusion of HFCs under the auspices of the Protocol. One representative said that the Amendment contained all the elements that had led to the success of the Protocol: quantitative reduction targets that could be monitored, clear and fair deadlines that respected the equity principle and </w:t>
      </w:r>
      <w:r w:rsidR="006C3BA7">
        <w:t xml:space="preserve">the </w:t>
      </w:r>
      <w:r w:rsidRPr="00DB6883">
        <w:t xml:space="preserve">economic means needed for the effective </w:t>
      </w:r>
      <w:r w:rsidRPr="00DB6883">
        <w:lastRenderedPageBreak/>
        <w:t>implementation of obligations. Another said that the Amendment provided the most efficient and rational mechanism to achieve the transition from ozone-depleting substances to the next generation of energy-efficient compounds and technologies for air conditioning, refrigeration, foam insulation, solvent cleaning, fire protection and other critical uses. A number of representatives expressed satisfaction at the potential of the Amendment to achieve significant co-benefits for the ozone layer and for climate change, including through synergies with the Paris Agreement under the United</w:t>
      </w:r>
      <w:r w:rsidR="00747F4C">
        <w:t> </w:t>
      </w:r>
      <w:r w:rsidRPr="00DB6883">
        <w:t xml:space="preserve">Nations Framework Convention on Climate Change. Several representatives stressed the importance of the Amendment for those countries, including small island developing States, that were increasingly threatened by adverse climate events, including sea-level rise, hurricanes and glacial melting. One representative said that the implementation of the Amendment would be assisted by the fact </w:t>
      </w:r>
      <w:proofErr w:type="gramStart"/>
      <w:r w:rsidRPr="00DB6883">
        <w:t>that,</w:t>
      </w:r>
      <w:proofErr w:type="gramEnd"/>
      <w:r w:rsidRPr="00DB6883">
        <w:t xml:space="preserve"> compared with the very complex world of climate action, the Amendment was relatively straightforward and clearly defined. </w:t>
      </w:r>
    </w:p>
    <w:p w:rsidR="00443FCA" w:rsidRPr="00DB6883" w:rsidRDefault="00443FCA" w:rsidP="004E7D79">
      <w:pPr>
        <w:pStyle w:val="Normalnumber"/>
        <w:tabs>
          <w:tab w:val="clear" w:pos="567"/>
          <w:tab w:val="clear" w:pos="1247"/>
          <w:tab w:val="clear" w:pos="1814"/>
          <w:tab w:val="clear" w:pos="2381"/>
          <w:tab w:val="clear" w:pos="2948"/>
          <w:tab w:val="clear" w:pos="3515"/>
          <w:tab w:val="left" w:pos="624"/>
        </w:tabs>
      </w:pPr>
      <w:r w:rsidRPr="00DB6883">
        <w:t xml:space="preserve">Several representatives said that their Governments had </w:t>
      </w:r>
      <w:r w:rsidRPr="00EF600C">
        <w:t>already ratified</w:t>
      </w:r>
      <w:r w:rsidRPr="00DB6883">
        <w:t xml:space="preserve"> or were ratifying the Kigali Amendment, with a number urging other parties to do so. Satisfaction was expressed that the 20</w:t>
      </w:r>
      <w:r w:rsidRPr="00DB6883">
        <w:noBreakHyphen/>
        <w:t xml:space="preserve">party threshold for the entry into force of the Amendment had been attained. Some representatives said that they had submitted proposals for activities to facilitate ratification, the related development of licensing systems and capacity-building activities for the adoption of alternatives to HFCs. The representative of Japan said that his country was processing its portion of the pledge, made at the Montreal Protocol donor declaration event held in New York in September 2016, to contribute $27 million to support enabling activities for the HFC phase-down. </w:t>
      </w:r>
    </w:p>
    <w:p w:rsidR="00443FCA" w:rsidRPr="00DB6883" w:rsidRDefault="00443FCA" w:rsidP="004E7D79">
      <w:pPr>
        <w:pStyle w:val="Normalnumber"/>
        <w:tabs>
          <w:tab w:val="clear" w:pos="567"/>
          <w:tab w:val="clear" w:pos="1247"/>
          <w:tab w:val="clear" w:pos="1814"/>
          <w:tab w:val="clear" w:pos="2381"/>
          <w:tab w:val="clear" w:pos="2948"/>
          <w:tab w:val="clear" w:pos="3515"/>
          <w:tab w:val="left" w:pos="624"/>
        </w:tabs>
      </w:pPr>
      <w:r w:rsidRPr="00DB6883">
        <w:t xml:space="preserve">Several representatives said that their countries’ efforts to control ozone-depleting substances under the Montreal Protocol, and HFCs under </w:t>
      </w:r>
      <w:r w:rsidRPr="00933176">
        <w:t xml:space="preserve">the Kigali Amendment, were part of a wider commitment to sustainable development and the protection of the environment and human health. Some mentioned that those activities contributed to their efforts to achieve the Sustainable Development Goals, including Goal 12 on </w:t>
      </w:r>
      <w:r w:rsidR="002D2B28" w:rsidRPr="00715700">
        <w:t>sustainable</w:t>
      </w:r>
      <w:r w:rsidRPr="00715700">
        <w:rPr>
          <w:b/>
        </w:rPr>
        <w:t xml:space="preserve"> </w:t>
      </w:r>
      <w:r w:rsidRPr="00933176">
        <w:t>consumption and production. Several representatives stressed the importance of energy efficiency as a component of a climate-smart, sustainable economy and a green, environmentally aware lifestyle, describing national policies and strategies designed to promote that agenda. One representative drew</w:t>
      </w:r>
      <w:r w:rsidRPr="00DB6883">
        <w:t xml:space="preserve"> attention to his country’s new “blue-green budget”, containing elements that recognized the economic potential of and the need to protect the oceans and the environment. Some noted that they were members of supportive international organizations, such as the Climate and Clean Air Coalition and the recently launched Powering Past Coal </w:t>
      </w:r>
      <w:r w:rsidR="00EF600C">
        <w:t>A</w:t>
      </w:r>
      <w:r w:rsidR="00EF600C" w:rsidRPr="00DB6883">
        <w:t>lliance</w:t>
      </w:r>
      <w:r w:rsidRPr="00DB6883">
        <w:t xml:space="preserve">. </w:t>
      </w:r>
    </w:p>
    <w:p w:rsidR="00443FCA" w:rsidRPr="00DB6883" w:rsidRDefault="00443FCA" w:rsidP="004E7D79">
      <w:pPr>
        <w:pStyle w:val="Normalnumber"/>
        <w:tabs>
          <w:tab w:val="clear" w:pos="567"/>
          <w:tab w:val="clear" w:pos="1247"/>
          <w:tab w:val="clear" w:pos="1814"/>
          <w:tab w:val="clear" w:pos="2381"/>
          <w:tab w:val="clear" w:pos="2948"/>
          <w:tab w:val="clear" w:pos="3515"/>
          <w:tab w:val="left" w:pos="624"/>
        </w:tabs>
      </w:pPr>
      <w:r w:rsidRPr="00DB6883">
        <w:t xml:space="preserve">There was broad recognition that several challenges still needed to be overcome in implementing the Kigali Amendment, including identifying energy-efficient alternatives, addressing safety, flammability and toxicity concerns, leveraging adequate funding, the availability and transfer of technology and capacity-building, especially in the refrigeration, air-conditioning and heat pump sectors. The inadequate availability and suitability of alternatives in high-ambient-temperature conditions were of particular concern for several parties, including the expected growth in stockpiles of HFCs owing to the lack of acceptable alternatives. Concern was also expressed at the lack of alternatives in the fisheries sector. One representative said that the methodology for gathering data for HFCs needed to be user friendly in order to ease the reporting burden on parties operating under paragraph 1 of Article 5. Funding for institutional strengthening for HFC data collection and reporting should take into account the particular contexts of least developed countries and </w:t>
      </w:r>
      <w:proofErr w:type="gramStart"/>
      <w:r w:rsidRPr="00DB6883">
        <w:t>small island</w:t>
      </w:r>
      <w:proofErr w:type="gramEnd"/>
      <w:r w:rsidRPr="00DB6883">
        <w:t xml:space="preserve"> developing States. Another representative urged the Secretariat and the World Customs Organization to expedite the establishment of the Harmonized System code for HFCs in order to facilitate enabling activities under the Kigali Amendment. </w:t>
      </w:r>
    </w:p>
    <w:p w:rsidR="00443FCA" w:rsidRPr="00DB6883" w:rsidRDefault="00443FCA" w:rsidP="004E7D79">
      <w:pPr>
        <w:pStyle w:val="Normalnumber"/>
        <w:tabs>
          <w:tab w:val="clear" w:pos="567"/>
          <w:tab w:val="clear" w:pos="1247"/>
          <w:tab w:val="clear" w:pos="1814"/>
          <w:tab w:val="clear" w:pos="2381"/>
          <w:tab w:val="clear" w:pos="2948"/>
          <w:tab w:val="clear" w:pos="3515"/>
          <w:tab w:val="left" w:pos="624"/>
        </w:tabs>
      </w:pPr>
      <w:r w:rsidRPr="00DB6883">
        <w:t>One representative, speaking on behalf of a group of countries, said that moving from refrigerants with a high global-warming potential to low-global-warming-potential or zero</w:t>
      </w:r>
      <w:r w:rsidRPr="00DB6883">
        <w:noBreakHyphen/>
        <w:t>global</w:t>
      </w:r>
      <w:r w:rsidRPr="00DB6883">
        <w:noBreakHyphen/>
        <w:t xml:space="preserve">warming-potential alternatives could be done in a way that profited the environment and achieved cost savings for users. Cooperation with other organizations and institutions could help to take advantage of synergies and contribute to increased energy efficiency. Another representative said that the work of the International Climate Initiative had shown that alternative technology existed for most areas of application and could be deployed in difficult climatic conditions, the challenging logistics notwithstanding. Another representative said that the implementation of the Kigali Amendment would promote innovation and competition between enterprises and improve the quality and affordability of alternative technology. </w:t>
      </w:r>
    </w:p>
    <w:p w:rsidR="00443FCA" w:rsidRPr="00DB6883" w:rsidRDefault="00443FCA" w:rsidP="004E7D79">
      <w:pPr>
        <w:pStyle w:val="Normalnumber"/>
        <w:tabs>
          <w:tab w:val="clear" w:pos="567"/>
          <w:tab w:val="clear" w:pos="1247"/>
          <w:tab w:val="clear" w:pos="1814"/>
          <w:tab w:val="clear" w:pos="2381"/>
          <w:tab w:val="clear" w:pos="2948"/>
          <w:tab w:val="clear" w:pos="3515"/>
          <w:tab w:val="left" w:pos="624"/>
        </w:tabs>
      </w:pPr>
      <w:r w:rsidRPr="00DB6883">
        <w:t xml:space="preserve">With regard to financing activities under the Montreal Protocol and the Kigali Amendment, the 2018–2020 replenishment of the Multilateral Fund was of critical importance. Some representatives called for donor countries to increase their support to the Fund at a rate commensurate with the challenges associated with the implementation of the Amendment. Another representative called for </w:t>
      </w:r>
      <w:r w:rsidRPr="00DB6883">
        <w:lastRenderedPageBreak/>
        <w:t xml:space="preserve">more transparent decision-making on the funding levels for low-volume-consuming countries and more recognition of the funding requirements of countries covering larger geographical areas. The representative of the European Union reassured parties operating under paragraph 1 of Article 5 that his organization remained committed to a stable and sufficient level of funding for the upcoming phase-out of ozone-depleting substances, recognizing the importance of making funding available for enabling activities under the Amendment, including for demonstration projects for countries that were willing to be early movers to tackle HFCs. He also called upon those parties with sufficient resources to provide funding to the General Trust Fund for Financing Activities on Research and Systematic Observations Relevant to the Vienna Convention to ensure the continued growth of knowledge in that area. The representative of Germany said that her country had consistently contributed 10 per cent of the financial support needed for parties operating under paragraph 1 of Article 5, while the representative of Japan said that his country had, since 1991, covered nearly 20 per cent of the total contributions made to the Multilateral Fund. The representative of Italy said that his country had provided additional financial and technical support through the Fund to promote enabling activities under the Amendment. </w:t>
      </w:r>
    </w:p>
    <w:p w:rsidR="00443FCA" w:rsidRPr="00DB6883" w:rsidRDefault="00443FCA" w:rsidP="004E7D79">
      <w:pPr>
        <w:pStyle w:val="Normalnumber"/>
        <w:tabs>
          <w:tab w:val="clear" w:pos="567"/>
          <w:tab w:val="clear" w:pos="1247"/>
          <w:tab w:val="clear" w:pos="1814"/>
          <w:tab w:val="clear" w:pos="2381"/>
          <w:tab w:val="clear" w:pos="2948"/>
          <w:tab w:val="clear" w:pos="3515"/>
          <w:tab w:val="left" w:pos="624"/>
        </w:tabs>
      </w:pPr>
      <w:r w:rsidRPr="00DB6883">
        <w:t>Several representatives described continued action in their countries to phase out ozone</w:t>
      </w:r>
      <w:r w:rsidRPr="00DB6883">
        <w:noBreakHyphen/>
        <w:t>depleting substances and to implement the Montreal Protocol and comply with its provisions, including through legislative, policy, institutional and programmatic measures and the implementation of HCFC phase-out management plans. A number stressed the value of the quota and licensing systems that they had put in place and of the training provided to customs officials and servicing technicians in the refrigeration and air-conditioning sectors. In addition, several representatives described activities and initiatives that were being implemented in their countries to promote low</w:t>
      </w:r>
      <w:r w:rsidRPr="00DB6883">
        <w:noBreakHyphen/>
        <w:t xml:space="preserve">global-warming-potential alternatives to ozone-depleting substances and to take early action in accordance with the Kigali Amendment, including the implementation of pilot projects on the application of ozone-friendly technology with low global-warming potential. </w:t>
      </w:r>
    </w:p>
    <w:p w:rsidR="00443FCA" w:rsidRPr="00647C53" w:rsidRDefault="00443FCA" w:rsidP="004E7D79">
      <w:pPr>
        <w:pStyle w:val="Normalnumber"/>
        <w:tabs>
          <w:tab w:val="clear" w:pos="567"/>
          <w:tab w:val="clear" w:pos="1247"/>
          <w:tab w:val="clear" w:pos="1814"/>
          <w:tab w:val="clear" w:pos="2381"/>
          <w:tab w:val="clear" w:pos="2948"/>
          <w:tab w:val="clear" w:pos="3515"/>
          <w:tab w:val="left" w:pos="624"/>
        </w:tabs>
      </w:pPr>
      <w:r w:rsidRPr="00DB6883">
        <w:t xml:space="preserve">Several representatives affirmed their continued commitment to meeting their obligations </w:t>
      </w:r>
      <w:r w:rsidRPr="006336C4">
        <w:t>under the Montreal Protocol within their wider commitment to the sustainable development agenda, notwithstanding the considerable challenges being faced by several countries, including those affec</w:t>
      </w:r>
      <w:r w:rsidRPr="000B3A99">
        <w:t>ted by conflict and political unrest. One representative encouraged parties to continue to be guided by the spirit of cooperation and mutual respect that had always been the hallmark of the United Nations. Another said that the great success achieved in reducing the risk of depletion of the ozone layer was a stimulus to continued cooperation to the benefit of all humanity. Lastly, one representative stated that the parties to the Protocol continued to show that, by working together with determination, susta</w:t>
      </w:r>
      <w:r w:rsidRPr="00647C53">
        <w:t>inable solutions could be found and outstanding results delivered at the global level.</w:t>
      </w:r>
    </w:p>
    <w:p w:rsidR="004C6B9D" w:rsidRPr="00DB6883" w:rsidRDefault="004C6B9D" w:rsidP="004C6B9D">
      <w:pPr>
        <w:pStyle w:val="CH1"/>
      </w:pPr>
      <w:r w:rsidRPr="00DB6883">
        <w:tab/>
        <w:t>VI.</w:t>
      </w:r>
      <w:r w:rsidRPr="00DB6883">
        <w:tab/>
        <w:t xml:space="preserve">Report of the </w:t>
      </w:r>
      <w:r w:rsidR="001F4B6A">
        <w:t>c</w:t>
      </w:r>
      <w:r w:rsidRPr="00DB6883">
        <w:t>o-</w:t>
      </w:r>
      <w:r w:rsidR="001F4B6A">
        <w:t>c</w:t>
      </w:r>
      <w:r w:rsidRPr="00DB6883">
        <w:t>hairs of the preparatory segment and consideration of the decisions recommended for adoption by the Conference of the Parties to the Vienna Convention at its eleventh meeting and the Twenty-Ninth Meeting of the Parties to the Montreal Protocol</w:t>
      </w:r>
    </w:p>
    <w:p w:rsidR="00926025" w:rsidRPr="00DB6883" w:rsidRDefault="00926025" w:rsidP="004E7D79">
      <w:pPr>
        <w:pStyle w:val="Normalnumber"/>
        <w:tabs>
          <w:tab w:val="clear" w:pos="567"/>
          <w:tab w:val="clear" w:pos="1247"/>
          <w:tab w:val="clear" w:pos="1814"/>
          <w:tab w:val="clear" w:pos="2381"/>
          <w:tab w:val="clear" w:pos="2948"/>
          <w:tab w:val="clear" w:pos="3515"/>
          <w:tab w:val="left" w:pos="624"/>
        </w:tabs>
      </w:pPr>
      <w:r w:rsidRPr="00DB6883">
        <w:t xml:space="preserve">The Co-Chair of the preparatory </w:t>
      </w:r>
      <w:r w:rsidRPr="002C2754">
        <w:t>segment reported</w:t>
      </w:r>
      <w:r w:rsidRPr="00DB6883">
        <w:t xml:space="preserve"> that the work of the segment had concluded successfully, and draft decisions had been approved for consideration and adoption during the </w:t>
      </w:r>
      <w:r w:rsidR="00DB6883">
        <w:br/>
      </w:r>
      <w:r w:rsidRPr="00DF6D5C">
        <w:t xml:space="preserve">high-level segment. </w:t>
      </w:r>
      <w:r w:rsidRPr="00E861A7">
        <w:t xml:space="preserve">She </w:t>
      </w:r>
      <w:r w:rsidRPr="00DB6883">
        <w:t>expressed thanks to all concerned for their hard work and for the spirit of cooperation and professionalism that had been evident throughout the negotiations.</w:t>
      </w:r>
    </w:p>
    <w:p w:rsidR="00926025" w:rsidRPr="00DF6D5C" w:rsidRDefault="00926025" w:rsidP="004E7D79">
      <w:pPr>
        <w:pStyle w:val="Normalnumber"/>
        <w:tabs>
          <w:tab w:val="clear" w:pos="567"/>
          <w:tab w:val="clear" w:pos="1247"/>
          <w:tab w:val="clear" w:pos="1814"/>
          <w:tab w:val="clear" w:pos="2381"/>
          <w:tab w:val="clear" w:pos="2948"/>
          <w:tab w:val="clear" w:pos="3515"/>
          <w:tab w:val="left" w:pos="624"/>
        </w:tabs>
      </w:pPr>
      <w:r w:rsidRPr="00DB6883">
        <w:t xml:space="preserve">With regard to the draft decision on replenishment of the Multilateral Fund for the triennium 2018–2020, the representative of Belarus </w:t>
      </w:r>
      <w:r w:rsidR="00846F28" w:rsidRPr="00DB6883">
        <w:t xml:space="preserve">stated that, given the spirit of flexibility that the parties had shown, and the determination of Belarus to fulfil its obligations under the Montreal Protocol, he </w:t>
      </w:r>
      <w:r w:rsidR="00655EAC" w:rsidRPr="00DB6883">
        <w:t>was</w:t>
      </w:r>
      <w:r w:rsidR="00846F28" w:rsidRPr="00DB6883">
        <w:t xml:space="preserve"> withdraw</w:t>
      </w:r>
      <w:r w:rsidR="00655EAC" w:rsidRPr="00DB6883">
        <w:t>ing</w:t>
      </w:r>
      <w:r w:rsidR="00846F28" w:rsidRPr="00DB6883">
        <w:t xml:space="preserve"> his </w:t>
      </w:r>
      <w:r w:rsidR="00655EAC" w:rsidRPr="00DB6883">
        <w:t xml:space="preserve">request for a footnote to be </w:t>
      </w:r>
      <w:r w:rsidR="00655EAC" w:rsidRPr="00164402">
        <w:t xml:space="preserve">added to the draft decision. </w:t>
      </w:r>
      <w:r w:rsidR="00846F28" w:rsidRPr="00164402">
        <w:t xml:space="preserve">Belarus would also begin the ratification of the Kigali Amendment. </w:t>
      </w:r>
      <w:r w:rsidR="00655EAC" w:rsidRPr="00164402">
        <w:t>Nevertheless</w:t>
      </w:r>
      <w:r w:rsidRPr="00164402">
        <w:t xml:space="preserve">, </w:t>
      </w:r>
      <w:r w:rsidR="0090040F" w:rsidRPr="00164402">
        <w:t>it should be recorded</w:t>
      </w:r>
      <w:r w:rsidR="001811EB" w:rsidRPr="00164402">
        <w:t xml:space="preserve"> that the amount of contributions proposed for Belarus was too high, and it would be irresponsible </w:t>
      </w:r>
      <w:r w:rsidR="00D725E5" w:rsidRPr="00CD35BB">
        <w:t>of</w:t>
      </w:r>
      <w:r w:rsidR="001811EB" w:rsidRPr="00164402">
        <w:t xml:space="preserve"> Belarus to accept an obligation that it would not be able to meet. To avoid non-compliance with a decision of the parties, Belarus intended to consider the difference between the feasible amount of $77,000 per year and the amount of $141,167 per year, the Belarus’ annual contribution to the Multilateral Fund indicated in the table, as </w:t>
      </w:r>
      <w:r w:rsidR="00D725E5" w:rsidRPr="00CD35BB">
        <w:t xml:space="preserve">a </w:t>
      </w:r>
      <w:r w:rsidR="001811EB" w:rsidRPr="00164402">
        <w:t>voluntary contribution.</w:t>
      </w:r>
      <w:r w:rsidRPr="00164402">
        <w:t xml:space="preserve"> </w:t>
      </w:r>
      <w:r w:rsidR="001811EB" w:rsidRPr="00164402">
        <w:t xml:space="preserve">The representative of Azerbaijan said that she too regarded the contribution allocated to her country in the draft decision, which represented an increase on previous contributions, as unaffordable. She also stated that to avoid non-compliance with a decision of the parties, </w:t>
      </w:r>
      <w:r w:rsidR="00020177">
        <w:t xml:space="preserve">the same consideration as in the case of Belarus would apply to </w:t>
      </w:r>
      <w:r w:rsidR="001811EB" w:rsidRPr="00164402">
        <w:t>Azerbaijan</w:t>
      </w:r>
      <w:r w:rsidR="00020177">
        <w:t xml:space="preserve">. </w:t>
      </w:r>
      <w:r w:rsidR="001811EB" w:rsidRPr="00164402">
        <w:t xml:space="preserve"> </w:t>
      </w:r>
    </w:p>
    <w:p w:rsidR="004C6B9D" w:rsidRPr="00DB6883" w:rsidRDefault="004C6B9D" w:rsidP="004C6B9D">
      <w:pPr>
        <w:pStyle w:val="CH1"/>
      </w:pPr>
      <w:r w:rsidRPr="00DB6883">
        <w:lastRenderedPageBreak/>
        <w:tab/>
        <w:t>VII.</w:t>
      </w:r>
      <w:r w:rsidRPr="00DB6883">
        <w:tab/>
        <w:t>Dates and venues for the twelfth meeting of the Conference of the Parties to the Vienna Convention and the Thirtieth Meeting of the Parties to the Montreal Protocol</w:t>
      </w:r>
    </w:p>
    <w:p w:rsidR="00926025" w:rsidRPr="00DB6883" w:rsidRDefault="00926025" w:rsidP="004E7D79">
      <w:pPr>
        <w:pStyle w:val="Normalnumber"/>
        <w:tabs>
          <w:tab w:val="clear" w:pos="567"/>
          <w:tab w:val="clear" w:pos="1247"/>
          <w:tab w:val="clear" w:pos="1814"/>
          <w:tab w:val="clear" w:pos="2381"/>
          <w:tab w:val="clear" w:pos="2948"/>
          <w:tab w:val="clear" w:pos="3515"/>
          <w:tab w:val="left" w:pos="624"/>
        </w:tabs>
      </w:pPr>
      <w:r w:rsidRPr="00DB6883">
        <w:t>The representative of Ecuador expressed the willingness of the Government of Ecuador to host the Thirtieth Meeting of the Parties, in 2018. The representative of Italy said that his Government was exploring the possibility of hosting the Thirty-First Meeting of the Parties, in 2019. The representative of Senegal said that his Government intended to discuss with the Secretariat the possibility of hosting the twelfth meeting of the Conference of the Parties to the Vienna Convention and the Thirty-Second Meeting of the Parties, in 2020.</w:t>
      </w:r>
    </w:p>
    <w:p w:rsidR="004C6B9D" w:rsidRPr="00DB6883" w:rsidRDefault="004C6B9D" w:rsidP="004C6B9D">
      <w:pPr>
        <w:pStyle w:val="CH1"/>
      </w:pPr>
      <w:r w:rsidRPr="00DB6883">
        <w:tab/>
        <w:t>VIII.</w:t>
      </w:r>
      <w:r w:rsidRPr="00DB6883">
        <w:tab/>
        <w:t>Other matters</w:t>
      </w:r>
    </w:p>
    <w:p w:rsidR="004C6B9D" w:rsidRPr="00DB6883" w:rsidRDefault="00F60962" w:rsidP="004E7D79">
      <w:pPr>
        <w:pStyle w:val="Normalnumber"/>
        <w:tabs>
          <w:tab w:val="clear" w:pos="567"/>
          <w:tab w:val="clear" w:pos="1247"/>
          <w:tab w:val="clear" w:pos="1814"/>
          <w:tab w:val="clear" w:pos="2381"/>
          <w:tab w:val="clear" w:pos="2948"/>
          <w:tab w:val="clear" w:pos="3515"/>
          <w:tab w:val="left" w:pos="624"/>
        </w:tabs>
      </w:pPr>
      <w:r w:rsidRPr="00DB6883">
        <w:t xml:space="preserve">The parties took up no other matters during the high-level segment. </w:t>
      </w:r>
    </w:p>
    <w:p w:rsidR="004C6B9D" w:rsidRPr="00DB6883" w:rsidRDefault="004C6B9D" w:rsidP="004C6B9D">
      <w:pPr>
        <w:pStyle w:val="CH1"/>
      </w:pPr>
      <w:r w:rsidRPr="00DB6883">
        <w:tab/>
        <w:t>IX.</w:t>
      </w:r>
      <w:r w:rsidRPr="00DB6883">
        <w:tab/>
        <w:t>Adoption of decisions by the Conference of the Parties to the Vienna Convention at its eleventh meeting</w:t>
      </w:r>
    </w:p>
    <w:p w:rsidR="0001191E" w:rsidRPr="004E7D79" w:rsidRDefault="00154589" w:rsidP="00CD35BB">
      <w:pPr>
        <w:pStyle w:val="Normalnumber"/>
        <w:tabs>
          <w:tab w:val="clear" w:pos="567"/>
          <w:tab w:val="clear" w:pos="1247"/>
          <w:tab w:val="clear" w:pos="1814"/>
          <w:tab w:val="clear" w:pos="2381"/>
          <w:tab w:val="clear" w:pos="2948"/>
          <w:tab w:val="clear" w:pos="3515"/>
          <w:tab w:val="left" w:pos="624"/>
        </w:tabs>
      </w:pPr>
      <w:r w:rsidRPr="004E7D79">
        <w:t>The Conference of the Parties decides:</w:t>
      </w:r>
      <w:r w:rsidRPr="004E7D79">
        <w:tab/>
      </w:r>
    </w:p>
    <w:p w:rsidR="00154589" w:rsidRPr="004E7D79" w:rsidRDefault="00DB6883" w:rsidP="004E7D79">
      <w:pPr>
        <w:pStyle w:val="CH2"/>
      </w:pPr>
      <w:r>
        <w:tab/>
      </w:r>
      <w:r>
        <w:tab/>
      </w:r>
      <w:r w:rsidR="00154589" w:rsidRPr="004E7D79">
        <w:t>Decision XI/1: Recommendations of the tenth meeting of the Ozone Research Managers of the Parties to the Vienna Convention</w:t>
      </w:r>
    </w:p>
    <w:p w:rsidR="00154589" w:rsidRPr="00DB6883" w:rsidRDefault="00154589" w:rsidP="004E7D79">
      <w:pPr>
        <w:pStyle w:val="NormalNonumber"/>
        <w:tabs>
          <w:tab w:val="clear" w:pos="1247"/>
          <w:tab w:val="clear" w:pos="1814"/>
          <w:tab w:val="clear" w:pos="2381"/>
          <w:tab w:val="clear" w:pos="2948"/>
          <w:tab w:val="clear" w:pos="3515"/>
          <w:tab w:val="left" w:pos="624"/>
        </w:tabs>
        <w:ind w:firstLine="624"/>
        <w:rPr>
          <w:i/>
        </w:rPr>
      </w:pPr>
      <w:r w:rsidRPr="00DB6883">
        <w:rPr>
          <w:i/>
          <w:iCs/>
        </w:rPr>
        <w:t>Recalling</w:t>
      </w:r>
      <w:r w:rsidRPr="00DB6883">
        <w:rPr>
          <w:iCs/>
        </w:rPr>
        <w:t xml:space="preserve"> </w:t>
      </w:r>
      <w:r w:rsidRPr="00DB6883">
        <w:t>that, pursuant to the objectives defined in decision I/6 of the Conference of the Parties to the Vienna Convention for the Protection of the Ozone Layer, the Ozone Research Managers of the Parties to the Vienna Convention review ongoing national and international research and monitoring programmes with a view to ensuring the proper coordination of those programmes and identifying gaps that need to be addressed,</w:t>
      </w:r>
    </w:p>
    <w:p w:rsidR="00154589" w:rsidRPr="00DB6883" w:rsidRDefault="00154589" w:rsidP="004E7D79">
      <w:pPr>
        <w:pStyle w:val="NormalNonumber"/>
        <w:tabs>
          <w:tab w:val="clear" w:pos="1247"/>
          <w:tab w:val="clear" w:pos="1814"/>
          <w:tab w:val="clear" w:pos="2381"/>
          <w:tab w:val="clear" w:pos="2948"/>
          <w:tab w:val="clear" w:pos="3515"/>
          <w:tab w:val="left" w:pos="624"/>
        </w:tabs>
        <w:ind w:firstLine="624"/>
        <w:rPr>
          <w:i/>
        </w:rPr>
      </w:pPr>
      <w:r w:rsidRPr="00DB6883">
        <w:rPr>
          <w:i/>
        </w:rPr>
        <w:t>Recognizing</w:t>
      </w:r>
      <w:r w:rsidRPr="00DB6883">
        <w:t xml:space="preserve"> the need to improve the understanding and accuracy of future projections of global ozone amounts, including ozone layer recovery, </w:t>
      </w:r>
    </w:p>
    <w:p w:rsidR="00154589" w:rsidRPr="00DB6883" w:rsidRDefault="00154589" w:rsidP="004E7D79">
      <w:pPr>
        <w:pStyle w:val="NormalNonumber"/>
        <w:tabs>
          <w:tab w:val="clear" w:pos="1247"/>
          <w:tab w:val="clear" w:pos="1814"/>
          <w:tab w:val="clear" w:pos="2381"/>
          <w:tab w:val="clear" w:pos="2948"/>
          <w:tab w:val="clear" w:pos="3515"/>
          <w:tab w:val="left" w:pos="624"/>
        </w:tabs>
        <w:ind w:firstLine="624"/>
        <w:rPr>
          <w:i/>
        </w:rPr>
      </w:pPr>
      <w:r w:rsidRPr="00DB6883">
        <w:rPr>
          <w:i/>
        </w:rPr>
        <w:t>Recognizing also</w:t>
      </w:r>
      <w:r w:rsidRPr="00DB6883">
        <w:t xml:space="preserve"> the importance of continuing and enhancing existing observation capabilities for ozone layer and climate variables owing to the changing atmospheric composition and the strong coupling between the behaviour of the ozone layer and changes in climate,</w:t>
      </w:r>
    </w:p>
    <w:p w:rsidR="00154589" w:rsidRPr="00DB6883" w:rsidRDefault="00154589" w:rsidP="004E7D79">
      <w:pPr>
        <w:pStyle w:val="NormalNonumber"/>
        <w:tabs>
          <w:tab w:val="clear" w:pos="1247"/>
          <w:tab w:val="clear" w:pos="1814"/>
          <w:tab w:val="clear" w:pos="2381"/>
          <w:tab w:val="clear" w:pos="2948"/>
          <w:tab w:val="clear" w:pos="3515"/>
          <w:tab w:val="left" w:pos="624"/>
        </w:tabs>
        <w:ind w:firstLine="624"/>
        <w:rPr>
          <w:i/>
        </w:rPr>
      </w:pPr>
      <w:r w:rsidRPr="00DB6883">
        <w:rPr>
          <w:i/>
        </w:rPr>
        <w:t>Noting</w:t>
      </w:r>
      <w:r w:rsidRPr="00DB6883">
        <w:t xml:space="preserve"> the importance of capacity-building activities in developing countries and countries with economies in transition in order to expand their ability to participate in research and systematic observations relating to the ozone layer and the changing climate, </w:t>
      </w:r>
    </w:p>
    <w:p w:rsidR="00154589" w:rsidRPr="00DB6883" w:rsidRDefault="00154589" w:rsidP="004E7D79">
      <w:pPr>
        <w:pStyle w:val="Normalpool"/>
        <w:numPr>
          <w:ilvl w:val="0"/>
          <w:numId w:val="17"/>
        </w:numPr>
        <w:tabs>
          <w:tab w:val="clear" w:pos="1253"/>
          <w:tab w:val="clear" w:pos="1814"/>
          <w:tab w:val="clear" w:pos="2376"/>
          <w:tab w:val="clear" w:pos="2952"/>
          <w:tab w:val="clear" w:pos="3514"/>
          <w:tab w:val="left" w:pos="624"/>
        </w:tabs>
        <w:spacing w:after="120"/>
        <w:ind w:left="1247" w:firstLine="624"/>
      </w:pPr>
      <w:r w:rsidRPr="00DB6883">
        <w:t>To take note with appreciation of the report of the tenth meeting of the Ozone Research Managers of the Parties to the Vienna Convention</w:t>
      </w:r>
      <w:r w:rsidRPr="00DF6D5C">
        <w:t>, published in 2017;</w:t>
      </w:r>
      <w:r w:rsidRPr="00E861A7">
        <w:rPr>
          <w:rStyle w:val="FootnoteReference"/>
          <w:lang w:eastAsia="ja-JP"/>
        </w:rPr>
        <w:footnoteReference w:id="1"/>
      </w:r>
    </w:p>
    <w:p w:rsidR="00154589" w:rsidRPr="00DB6883" w:rsidRDefault="00154589" w:rsidP="004E7D79">
      <w:pPr>
        <w:pStyle w:val="Normalpool"/>
        <w:numPr>
          <w:ilvl w:val="0"/>
          <w:numId w:val="17"/>
        </w:numPr>
        <w:tabs>
          <w:tab w:val="clear" w:pos="1253"/>
          <w:tab w:val="clear" w:pos="1814"/>
          <w:tab w:val="clear" w:pos="2376"/>
          <w:tab w:val="clear" w:pos="2952"/>
          <w:tab w:val="clear" w:pos="3514"/>
          <w:tab w:val="left" w:pos="624"/>
        </w:tabs>
        <w:spacing w:after="120"/>
        <w:ind w:left="1247" w:firstLine="624"/>
        <w:rPr>
          <w:color w:val="000000"/>
        </w:rPr>
      </w:pPr>
      <w:r w:rsidRPr="00DB6883">
        <w:t xml:space="preserve">To encourage parties to adopt and implement, as appropriate, the recommendations of the Ozone Research Managers under the topics of </w:t>
      </w:r>
      <w:r w:rsidRPr="00DB6883">
        <w:rPr>
          <w:color w:val="000000"/>
        </w:rPr>
        <w:t>research, systematic observations, data archiving and stewardship and capacity</w:t>
      </w:r>
      <w:r w:rsidRPr="00DB6883">
        <w:rPr>
          <w:color w:val="000000"/>
        </w:rPr>
        <w:noBreakHyphen/>
        <w:t>building;</w:t>
      </w:r>
    </w:p>
    <w:p w:rsidR="00154589" w:rsidRPr="00EA557B" w:rsidRDefault="00154589" w:rsidP="004E7D79">
      <w:pPr>
        <w:pStyle w:val="Normalpool"/>
        <w:numPr>
          <w:ilvl w:val="0"/>
          <w:numId w:val="17"/>
        </w:numPr>
        <w:tabs>
          <w:tab w:val="clear" w:pos="1253"/>
          <w:tab w:val="clear" w:pos="1814"/>
          <w:tab w:val="clear" w:pos="2376"/>
          <w:tab w:val="clear" w:pos="2952"/>
          <w:tab w:val="clear" w:pos="3514"/>
          <w:tab w:val="left" w:pos="624"/>
        </w:tabs>
        <w:spacing w:after="120"/>
        <w:ind w:left="1247" w:firstLine="624"/>
        <w:rPr>
          <w:color w:val="000000"/>
        </w:rPr>
      </w:pPr>
      <w:r w:rsidRPr="00EA557B">
        <w:rPr>
          <w:color w:val="000000"/>
        </w:rPr>
        <w:t>Also to encourage parties to accord priority to:</w:t>
      </w:r>
    </w:p>
    <w:p w:rsidR="00154589" w:rsidRPr="00DB6883" w:rsidRDefault="00154589" w:rsidP="004E7D79">
      <w:pPr>
        <w:pStyle w:val="Normalpool"/>
        <w:numPr>
          <w:ilvl w:val="0"/>
          <w:numId w:val="18"/>
        </w:numPr>
        <w:tabs>
          <w:tab w:val="clear" w:pos="1253"/>
          <w:tab w:val="clear" w:pos="1814"/>
          <w:tab w:val="clear" w:pos="2376"/>
          <w:tab w:val="clear" w:pos="2952"/>
          <w:tab w:val="clear" w:pos="3514"/>
          <w:tab w:val="left" w:pos="624"/>
        </w:tabs>
        <w:spacing w:after="120"/>
        <w:ind w:left="1247" w:firstLine="624"/>
        <w:rPr>
          <w:lang w:eastAsia="ja-JP"/>
        </w:rPr>
      </w:pPr>
      <w:r w:rsidRPr="00DB6883">
        <w:t>Research and systematic observation activities on processes influencing the evolution of the ozone layer and its links to climate, including the prioritization of new measurement locations to optimize the co-location of ozone measurements with observations of other atmospheric species and parameters;</w:t>
      </w:r>
    </w:p>
    <w:p w:rsidR="00154589" w:rsidRPr="00DB6883" w:rsidRDefault="00154589" w:rsidP="004E7D79">
      <w:pPr>
        <w:pStyle w:val="Normalpool"/>
        <w:numPr>
          <w:ilvl w:val="0"/>
          <w:numId w:val="18"/>
        </w:numPr>
        <w:tabs>
          <w:tab w:val="clear" w:pos="1253"/>
          <w:tab w:val="clear" w:pos="1814"/>
          <w:tab w:val="clear" w:pos="2376"/>
          <w:tab w:val="clear" w:pos="2952"/>
          <w:tab w:val="clear" w:pos="3514"/>
          <w:tab w:val="left" w:pos="624"/>
        </w:tabs>
        <w:spacing w:after="120"/>
        <w:ind w:left="1247" w:firstLine="624"/>
      </w:pPr>
      <w:r w:rsidRPr="00DB6883">
        <w:t xml:space="preserve">Capacity-building activities in developing countries and countries with economies in transition, in particular through the continuation and expansion of regular calibration and intercomparison campaigns and through the provision of assistance to enable those parties to expand their scientific capacity and participate in ozone research activities, including assessment activities under the Montreal Protocol on Substances that Deplete the Ozone Layer; </w:t>
      </w:r>
    </w:p>
    <w:p w:rsidR="00154589" w:rsidRPr="00DB6883" w:rsidRDefault="00154589" w:rsidP="004E7D79">
      <w:pPr>
        <w:pStyle w:val="Normalpool"/>
        <w:numPr>
          <w:ilvl w:val="0"/>
          <w:numId w:val="17"/>
        </w:numPr>
        <w:tabs>
          <w:tab w:val="clear" w:pos="1253"/>
          <w:tab w:val="clear" w:pos="1814"/>
          <w:tab w:val="clear" w:pos="2376"/>
          <w:tab w:val="clear" w:pos="2952"/>
          <w:tab w:val="clear" w:pos="3514"/>
          <w:tab w:val="left" w:pos="624"/>
        </w:tabs>
        <w:spacing w:after="120"/>
        <w:ind w:left="1247" w:firstLine="624"/>
      </w:pPr>
      <w:r w:rsidRPr="00DB6883">
        <w:t xml:space="preserve">To encourage </w:t>
      </w:r>
      <w:r w:rsidRPr="00DB6883">
        <w:rPr>
          <w:lang w:eastAsia="ja-JP"/>
        </w:rPr>
        <w:t>the national</w:t>
      </w:r>
      <w:r w:rsidRPr="00DB6883">
        <w:t xml:space="preserve"> ozone focal points to improve communication with the meteorological agencies and other relevant organizations in their countries on monitoring, research and scientific activities</w:t>
      </w:r>
      <w:r w:rsidR="006336C4">
        <w:t>;</w:t>
      </w:r>
    </w:p>
    <w:p w:rsidR="00154589" w:rsidRPr="00E861A7" w:rsidRDefault="00154589" w:rsidP="00DB6883">
      <w:pPr>
        <w:pStyle w:val="CH2"/>
        <w:rPr>
          <w:rFonts w:eastAsia="Batang"/>
        </w:rPr>
      </w:pPr>
      <w:r w:rsidRPr="004E7D79">
        <w:lastRenderedPageBreak/>
        <w:tab/>
      </w:r>
      <w:r w:rsidRPr="00DF6D5C">
        <w:rPr>
          <w:rFonts w:eastAsia="Batang"/>
        </w:rPr>
        <w:tab/>
      </w:r>
      <w:r w:rsidRPr="00EA557B">
        <w:rPr>
          <w:rFonts w:eastAsia="Batang"/>
        </w:rPr>
        <w:t xml:space="preserve">Decision </w:t>
      </w:r>
      <w:r w:rsidRPr="000B3A99">
        <w:rPr>
          <w:rFonts w:eastAsia="Batang"/>
        </w:rPr>
        <w:t>XI/2: General Trust Fund for Financing Activities on Research and Systematic Observations Relevant to the Vienna Convention</w:t>
      </w:r>
    </w:p>
    <w:p w:rsidR="00154589" w:rsidRPr="00DB6883" w:rsidRDefault="00154589" w:rsidP="00DB6883">
      <w:pPr>
        <w:pStyle w:val="NormalNonumber"/>
        <w:tabs>
          <w:tab w:val="clear" w:pos="1247"/>
          <w:tab w:val="clear" w:pos="1814"/>
          <w:tab w:val="clear" w:pos="2381"/>
          <w:tab w:val="clear" w:pos="2948"/>
          <w:tab w:val="clear" w:pos="3515"/>
          <w:tab w:val="left" w:pos="624"/>
        </w:tabs>
        <w:ind w:firstLine="624"/>
      </w:pPr>
      <w:r w:rsidRPr="00DB6883">
        <w:rPr>
          <w:i/>
          <w:iCs/>
        </w:rPr>
        <w:t>Recalling</w:t>
      </w:r>
      <w:r w:rsidRPr="00DB6883">
        <w:rPr>
          <w:iCs/>
        </w:rPr>
        <w:t xml:space="preserve"> </w:t>
      </w:r>
      <w:r w:rsidRPr="00DB6883">
        <w:t>decision VI/2, by which the Conference of the Parties established the General Trust Fund for Financing Activities on Research and Systematic Observations Relevant to the Vienna Convention for the Protection of the Ozone Layer, and noting that the current life of the Trust Fund will expire at the end of 2019,</w:t>
      </w:r>
    </w:p>
    <w:p w:rsidR="00154589" w:rsidRPr="00DB6883" w:rsidRDefault="00154589" w:rsidP="00DB6883">
      <w:pPr>
        <w:pStyle w:val="NormalNonumber"/>
        <w:tabs>
          <w:tab w:val="clear" w:pos="1247"/>
          <w:tab w:val="clear" w:pos="1814"/>
          <w:tab w:val="clear" w:pos="2381"/>
          <w:tab w:val="clear" w:pos="2948"/>
          <w:tab w:val="clear" w:pos="3515"/>
          <w:tab w:val="left" w:pos="624"/>
        </w:tabs>
        <w:ind w:firstLine="624"/>
      </w:pPr>
      <w:r w:rsidRPr="00DB6883">
        <w:rPr>
          <w:i/>
          <w:iCs/>
        </w:rPr>
        <w:t>Noting with appreciation</w:t>
      </w:r>
      <w:r w:rsidRPr="00DB6883">
        <w:rPr>
          <w:iCs/>
        </w:rPr>
        <w:t xml:space="preserve"> </w:t>
      </w:r>
      <w:r w:rsidRPr="00DB6883">
        <w:t>the contributions to the Trust Fund by several parties and the joint efforts of the World Meteorological Organization and the Secretariat in the implementation of the activities funded from the Trust Fund since it became operational in 2003,</w:t>
      </w:r>
    </w:p>
    <w:p w:rsidR="00154589" w:rsidRPr="00DB6883" w:rsidRDefault="00154589" w:rsidP="00DB6883">
      <w:pPr>
        <w:pStyle w:val="NormalNonumber"/>
        <w:tabs>
          <w:tab w:val="clear" w:pos="1247"/>
          <w:tab w:val="clear" w:pos="1814"/>
          <w:tab w:val="clear" w:pos="2381"/>
          <w:tab w:val="clear" w:pos="2948"/>
          <w:tab w:val="clear" w:pos="3515"/>
          <w:tab w:val="left" w:pos="624"/>
        </w:tabs>
        <w:ind w:firstLine="624"/>
      </w:pPr>
      <w:r w:rsidRPr="00DB6883">
        <w:rPr>
          <w:i/>
          <w:iCs/>
          <w:lang w:eastAsia="ja-JP"/>
        </w:rPr>
        <w:t>Noting</w:t>
      </w:r>
      <w:r w:rsidRPr="00DB6883">
        <w:rPr>
          <w:iCs/>
          <w:lang w:eastAsia="ja-JP"/>
        </w:rPr>
        <w:t xml:space="preserve"> </w:t>
      </w:r>
      <w:r w:rsidRPr="00DB6883">
        <w:rPr>
          <w:lang w:eastAsia="ja-JP"/>
        </w:rPr>
        <w:t xml:space="preserve">that </w:t>
      </w:r>
      <w:r w:rsidRPr="00DB6883">
        <w:t xml:space="preserve">important activities, including calibrations, inter-comparisons and relevant training, have been implemented successfully under the Trust Fund to date, </w:t>
      </w:r>
    </w:p>
    <w:p w:rsidR="00154589" w:rsidRPr="00DB6883" w:rsidRDefault="00154589" w:rsidP="00DB6883">
      <w:pPr>
        <w:pStyle w:val="NormalNonumber"/>
        <w:tabs>
          <w:tab w:val="clear" w:pos="1247"/>
          <w:tab w:val="clear" w:pos="1814"/>
          <w:tab w:val="clear" w:pos="2381"/>
          <w:tab w:val="clear" w:pos="2948"/>
          <w:tab w:val="clear" w:pos="3515"/>
          <w:tab w:val="left" w:pos="624"/>
        </w:tabs>
        <w:ind w:firstLine="624"/>
      </w:pPr>
      <w:r w:rsidRPr="00DB6883">
        <w:rPr>
          <w:i/>
          <w:iCs/>
          <w:lang w:eastAsia="ja-JP"/>
        </w:rPr>
        <w:t>Noting</w:t>
      </w:r>
      <w:r w:rsidRPr="00DB6883">
        <w:rPr>
          <w:iCs/>
          <w:lang w:eastAsia="ja-JP"/>
        </w:rPr>
        <w:t xml:space="preserve"> </w:t>
      </w:r>
      <w:r w:rsidRPr="00DB6883">
        <w:rPr>
          <w:i/>
          <w:iCs/>
          <w:lang w:eastAsia="ja-JP"/>
        </w:rPr>
        <w:t>with great concern</w:t>
      </w:r>
      <w:r w:rsidRPr="00DB6883">
        <w:rPr>
          <w:iCs/>
          <w:lang w:eastAsia="ja-JP"/>
        </w:rPr>
        <w:t xml:space="preserve">, however, </w:t>
      </w:r>
      <w:r w:rsidRPr="00DB6883">
        <w:t>that the resources available in the Trust Fund are not sufficient to enable substantial and sustainable improvements to be made to the global ozone observing system,</w:t>
      </w:r>
    </w:p>
    <w:p w:rsidR="00154589" w:rsidRPr="00DB6883" w:rsidRDefault="00154589" w:rsidP="00DB6883">
      <w:pPr>
        <w:pStyle w:val="NormalNonumber"/>
        <w:tabs>
          <w:tab w:val="clear" w:pos="1247"/>
          <w:tab w:val="clear" w:pos="1814"/>
          <w:tab w:val="clear" w:pos="2381"/>
          <w:tab w:val="clear" w:pos="2948"/>
          <w:tab w:val="clear" w:pos="3515"/>
          <w:tab w:val="left" w:pos="624"/>
        </w:tabs>
        <w:ind w:firstLine="624"/>
      </w:pPr>
      <w:r w:rsidRPr="00DB6883">
        <w:rPr>
          <w:i/>
        </w:rPr>
        <w:t>Noting</w:t>
      </w:r>
      <w:r w:rsidRPr="00DB6883">
        <w:t xml:space="preserve"> that the coming decade remains a crucial time during which the status of the recovery of the ozone layer will become clearer, but that such clarity will be dependent on continued high</w:t>
      </w:r>
      <w:r w:rsidRPr="00DB6883">
        <w:noBreakHyphen/>
        <w:t>quality observations,</w:t>
      </w:r>
    </w:p>
    <w:p w:rsidR="00154589" w:rsidRPr="00DB6883" w:rsidRDefault="00154589" w:rsidP="00DB6883">
      <w:pPr>
        <w:pStyle w:val="NormalNonumber"/>
        <w:tabs>
          <w:tab w:val="clear" w:pos="1247"/>
          <w:tab w:val="clear" w:pos="1814"/>
          <w:tab w:val="clear" w:pos="2381"/>
          <w:tab w:val="clear" w:pos="2948"/>
          <w:tab w:val="clear" w:pos="3515"/>
          <w:tab w:val="left" w:pos="624"/>
        </w:tabs>
        <w:ind w:firstLine="624"/>
      </w:pPr>
      <w:r w:rsidRPr="00DB6883">
        <w:rPr>
          <w:i/>
        </w:rPr>
        <w:t>Aware</w:t>
      </w:r>
      <w:r w:rsidRPr="00DB6883">
        <w:t xml:space="preserve"> that improvements in ozone observations should take into account the existing strong and intricate linkages between ozone and climate and of the need to carry out relevant observations and analyses for both ozone and climate wherever possible, </w:t>
      </w:r>
    </w:p>
    <w:p w:rsidR="00154589" w:rsidRPr="00DB6883" w:rsidRDefault="00154589" w:rsidP="00DB6883">
      <w:pPr>
        <w:pStyle w:val="NormalNonumber"/>
        <w:tabs>
          <w:tab w:val="clear" w:pos="1247"/>
          <w:tab w:val="clear" w:pos="1814"/>
          <w:tab w:val="clear" w:pos="2381"/>
          <w:tab w:val="clear" w:pos="2948"/>
          <w:tab w:val="clear" w:pos="3515"/>
          <w:tab w:val="left" w:pos="624"/>
        </w:tabs>
        <w:ind w:firstLine="624"/>
        <w:rPr>
          <w:lang w:eastAsia="ja-JP"/>
        </w:rPr>
      </w:pPr>
      <w:r w:rsidRPr="00DB6883">
        <w:rPr>
          <w:i/>
          <w:lang w:eastAsia="ja-JP"/>
        </w:rPr>
        <w:t>Noting with appreciation</w:t>
      </w:r>
      <w:r w:rsidRPr="00DB6883">
        <w:rPr>
          <w:lang w:eastAsia="ja-JP"/>
        </w:rPr>
        <w:t xml:space="preserve"> the work of the Advisory Committee of the Trust Fund, including on the long-term </w:t>
      </w:r>
      <w:r w:rsidRPr="00DB6883">
        <w:t>strategy</w:t>
      </w:r>
      <w:r w:rsidRPr="00DB6883">
        <w:rPr>
          <w:lang w:eastAsia="ja-JP"/>
        </w:rPr>
        <w:t xml:space="preserve"> and short-term plan of action for the Trust Fund prepared for consideration by the Conference of the Parties pursuant to decision X/3, </w:t>
      </w:r>
    </w:p>
    <w:p w:rsidR="00154589" w:rsidRPr="00DB6883" w:rsidRDefault="00154589" w:rsidP="00DF6D5C">
      <w:pPr>
        <w:pStyle w:val="Normalpool"/>
        <w:tabs>
          <w:tab w:val="clear" w:pos="1253"/>
          <w:tab w:val="clear" w:pos="1814"/>
          <w:tab w:val="clear" w:pos="2376"/>
          <w:tab w:val="clear" w:pos="2952"/>
          <w:tab w:val="clear" w:pos="3514"/>
          <w:tab w:val="left" w:pos="624"/>
        </w:tabs>
        <w:spacing w:after="120"/>
        <w:ind w:left="1247" w:firstLine="624"/>
      </w:pPr>
      <w:r w:rsidRPr="00DB6883">
        <w:t>1.</w:t>
      </w:r>
      <w:r w:rsidRPr="00DB6883">
        <w:tab/>
        <w:t>To request the Executive Director of the United Nations Environment Programme to extend the life of the General Trust Fund for Financing Activities on Research and Systematic Observations Relevant to the Vienna Convention until 31 December 2026;</w:t>
      </w:r>
    </w:p>
    <w:p w:rsidR="00154589" w:rsidRPr="00DB6883" w:rsidRDefault="00154589" w:rsidP="00DF6D5C">
      <w:pPr>
        <w:pStyle w:val="Normalpool"/>
        <w:tabs>
          <w:tab w:val="clear" w:pos="1253"/>
          <w:tab w:val="clear" w:pos="1814"/>
          <w:tab w:val="clear" w:pos="2376"/>
          <w:tab w:val="clear" w:pos="2952"/>
          <w:tab w:val="clear" w:pos="3514"/>
          <w:tab w:val="left" w:pos="624"/>
        </w:tabs>
        <w:spacing w:after="120"/>
        <w:ind w:left="1247" w:firstLine="624"/>
      </w:pPr>
      <w:r w:rsidRPr="00DB6883">
        <w:t>2.</w:t>
      </w:r>
      <w:r w:rsidRPr="00DB6883">
        <w:tab/>
        <w:t xml:space="preserve">To request the Advisory Committee of the Trust Fund, with the assistance of the World Meteorological Organization </w:t>
      </w:r>
      <w:r w:rsidRPr="00DF6D5C">
        <w:t xml:space="preserve">and the </w:t>
      </w:r>
      <w:r w:rsidRPr="00DB6883">
        <w:t>Secretariat, to implement its long-term strategy and short</w:t>
      </w:r>
      <w:r w:rsidRPr="00DB6883">
        <w:noBreakHyphen/>
        <w:t>term plan of action for the Trust Fund, paying particular attention to:</w:t>
      </w:r>
    </w:p>
    <w:p w:rsidR="00154589" w:rsidRPr="00E861A7" w:rsidRDefault="00154589" w:rsidP="00DF6D5C">
      <w:pPr>
        <w:pStyle w:val="Normalpool"/>
        <w:tabs>
          <w:tab w:val="clear" w:pos="1253"/>
          <w:tab w:val="clear" w:pos="1814"/>
          <w:tab w:val="clear" w:pos="2376"/>
          <w:tab w:val="clear" w:pos="2952"/>
          <w:tab w:val="clear" w:pos="3514"/>
          <w:tab w:val="left" w:pos="624"/>
        </w:tabs>
        <w:spacing w:after="120"/>
        <w:ind w:left="1247" w:firstLine="624"/>
      </w:pPr>
      <w:r w:rsidRPr="00DB6883">
        <w:t>(a)</w:t>
      </w:r>
      <w:r w:rsidRPr="00DB6883">
        <w:tab/>
        <w:t>Identifying gaps and needs in research and monitoring of ozone and related climate variables and parameters, complementing the ongoing efforts of the Ozone Research Managers of the Parties to the Vienna Convention and other relevant programmes such as the World Meteorological Organization</w:t>
      </w:r>
      <w:r w:rsidRPr="00DF6D5C" w:rsidDel="00CB4889">
        <w:t xml:space="preserve"> </w:t>
      </w:r>
      <w:r w:rsidRPr="00E861A7">
        <w:t xml:space="preserve">Global Atmosphere Watch programme; </w:t>
      </w:r>
    </w:p>
    <w:p w:rsidR="00154589" w:rsidRPr="00DB6883" w:rsidRDefault="00154589" w:rsidP="00DF6D5C">
      <w:pPr>
        <w:pStyle w:val="Normalpool"/>
        <w:tabs>
          <w:tab w:val="clear" w:pos="1253"/>
          <w:tab w:val="clear" w:pos="1814"/>
          <w:tab w:val="clear" w:pos="2376"/>
          <w:tab w:val="clear" w:pos="2952"/>
          <w:tab w:val="clear" w:pos="3514"/>
          <w:tab w:val="left" w:pos="624"/>
        </w:tabs>
        <w:spacing w:after="120"/>
        <w:ind w:left="1247" w:firstLine="624"/>
      </w:pPr>
      <w:r w:rsidRPr="00DB6883">
        <w:t>(b)</w:t>
      </w:r>
      <w:r w:rsidRPr="00DB6883">
        <w:tab/>
        <w:t xml:space="preserve">Exploring the use of new and cost-effective instrumentation to replace ageing instruments with regard to the projects under consideration by the Advisory Committee; </w:t>
      </w:r>
    </w:p>
    <w:p w:rsidR="00154589" w:rsidRPr="00DB6883" w:rsidRDefault="00154589" w:rsidP="00DF6D5C">
      <w:pPr>
        <w:pStyle w:val="Normalpool"/>
        <w:tabs>
          <w:tab w:val="clear" w:pos="1253"/>
          <w:tab w:val="clear" w:pos="1814"/>
          <w:tab w:val="clear" w:pos="2376"/>
          <w:tab w:val="clear" w:pos="2952"/>
          <w:tab w:val="clear" w:pos="3514"/>
          <w:tab w:val="left" w:pos="624"/>
        </w:tabs>
        <w:spacing w:after="120"/>
        <w:ind w:left="1247" w:firstLine="624"/>
      </w:pPr>
      <w:r w:rsidRPr="00DB6883">
        <w:t>(c)</w:t>
      </w:r>
      <w:r w:rsidRPr="00DB6883">
        <w:tab/>
        <w:t xml:space="preserve">Fostering stronger relationships with scientific institutions and related global networks to build capacity and the infusion of knowledge for the activities under its consideration; </w:t>
      </w:r>
    </w:p>
    <w:p w:rsidR="00154589" w:rsidRPr="00DB6883" w:rsidRDefault="00154589" w:rsidP="00DF6D5C">
      <w:pPr>
        <w:pStyle w:val="Normalpool"/>
        <w:tabs>
          <w:tab w:val="clear" w:pos="1253"/>
          <w:tab w:val="clear" w:pos="1814"/>
          <w:tab w:val="clear" w:pos="2376"/>
          <w:tab w:val="clear" w:pos="2952"/>
          <w:tab w:val="clear" w:pos="3514"/>
          <w:tab w:val="left" w:pos="624"/>
        </w:tabs>
        <w:spacing w:after="120"/>
        <w:ind w:left="1247" w:firstLine="624"/>
      </w:pPr>
      <w:r w:rsidRPr="00DB6883">
        <w:t>(d)</w:t>
      </w:r>
      <w:r w:rsidRPr="00DB6883">
        <w:tab/>
        <w:t>Developing a strategic plan for mobilizing public and financial resources and in-kind contributions for the Trust Fund, to safeguard necessary research and observation activities, and submit it to the Conference of the Parties to the Vienna Convention at its twelfth meeting and inform the parties to the Convention annually through the Secretariat on the progress made, in conjunction with the action set out in paragraph 3 (a) below;</w:t>
      </w:r>
    </w:p>
    <w:p w:rsidR="00154589" w:rsidRPr="00DB6883" w:rsidRDefault="00154589" w:rsidP="00DF6D5C">
      <w:pPr>
        <w:pStyle w:val="Normalpool"/>
        <w:tabs>
          <w:tab w:val="clear" w:pos="1253"/>
          <w:tab w:val="clear" w:pos="1814"/>
          <w:tab w:val="clear" w:pos="2376"/>
          <w:tab w:val="clear" w:pos="2952"/>
          <w:tab w:val="clear" w:pos="3514"/>
          <w:tab w:val="left" w:pos="624"/>
        </w:tabs>
        <w:spacing w:after="120"/>
        <w:ind w:left="1247" w:firstLine="624"/>
      </w:pPr>
      <w:r w:rsidRPr="00DB6883">
        <w:t>3.</w:t>
      </w:r>
      <w:r w:rsidRPr="00DB6883">
        <w:tab/>
        <w:t>To request the Secretariat:</w:t>
      </w:r>
    </w:p>
    <w:p w:rsidR="00154589" w:rsidRPr="00DB6883" w:rsidRDefault="00154589" w:rsidP="004E7D79">
      <w:pPr>
        <w:pStyle w:val="Normalnumber"/>
        <w:numPr>
          <w:ilvl w:val="0"/>
          <w:numId w:val="11"/>
        </w:numPr>
        <w:tabs>
          <w:tab w:val="clear" w:pos="1247"/>
          <w:tab w:val="clear" w:pos="1701"/>
          <w:tab w:val="clear" w:pos="1814"/>
          <w:tab w:val="clear" w:pos="2381"/>
          <w:tab w:val="clear" w:pos="2948"/>
          <w:tab w:val="clear" w:pos="3515"/>
          <w:tab w:val="left" w:pos="624"/>
        </w:tabs>
        <w:ind w:left="1247" w:firstLine="624"/>
      </w:pPr>
      <w:r w:rsidRPr="00DB6883">
        <w:t>To continue to invite parties and relevant international organizations, including space agencies, scientific and research institutions, United Nations entities, international financial institutions and the private sector, as appropriate, to make financial and/or in-kind contributions towards well</w:t>
      </w:r>
      <w:r w:rsidRPr="00DB6883">
        <w:noBreakHyphen/>
        <w:t>defined and well-budgeted project proposals developed under the Trust Fund;</w:t>
      </w:r>
    </w:p>
    <w:p w:rsidR="00154589" w:rsidRPr="00DB6883" w:rsidRDefault="00154589" w:rsidP="004E7D79">
      <w:pPr>
        <w:pStyle w:val="Normalnumber"/>
        <w:numPr>
          <w:ilvl w:val="0"/>
          <w:numId w:val="11"/>
        </w:numPr>
        <w:tabs>
          <w:tab w:val="clear" w:pos="1247"/>
          <w:tab w:val="clear" w:pos="1701"/>
          <w:tab w:val="clear" w:pos="1814"/>
          <w:tab w:val="clear" w:pos="2381"/>
          <w:tab w:val="clear" w:pos="2948"/>
          <w:tab w:val="clear" w:pos="3515"/>
          <w:tab w:val="left" w:pos="624"/>
        </w:tabs>
        <w:ind w:left="1247" w:firstLine="624"/>
      </w:pPr>
      <w:r w:rsidRPr="00DB6883">
        <w:t>To report to the Conference of the Parties at its twelfth meeting on the operation of, contributions to and expenditure from the Trust Fund and on the activities funded from the Trust Fund since its inception, as well as on the activities of the Advisory Committee</w:t>
      </w:r>
      <w:r w:rsidR="00EA557B">
        <w:t>;</w:t>
      </w:r>
    </w:p>
    <w:p w:rsidR="00154589" w:rsidRPr="00DB6883" w:rsidRDefault="00154589" w:rsidP="00154589">
      <w:pPr>
        <w:pStyle w:val="CH2"/>
        <w:tabs>
          <w:tab w:val="left" w:pos="567"/>
        </w:tabs>
        <w:spacing w:before="240"/>
        <w:rPr>
          <w:rFonts w:eastAsia="Batang"/>
        </w:rPr>
      </w:pPr>
      <w:r w:rsidRPr="00DB6883">
        <w:rPr>
          <w:rFonts w:eastAsia="Batang"/>
        </w:rPr>
        <w:lastRenderedPageBreak/>
        <w:tab/>
      </w:r>
      <w:r w:rsidRPr="00DB6883">
        <w:rPr>
          <w:rFonts w:eastAsia="Batang"/>
        </w:rPr>
        <w:tab/>
      </w:r>
      <w:r w:rsidRPr="00DB6883">
        <w:rPr>
          <w:rFonts w:eastAsia="Batang"/>
        </w:rPr>
        <w:tab/>
        <w:t>Decision XI/3: Financial reports and budgets for the Vienna Convention for the Protection of the Ozone Layer</w:t>
      </w:r>
    </w:p>
    <w:p w:rsidR="00154589" w:rsidRPr="004E7D79" w:rsidRDefault="00154589" w:rsidP="00DF6D5C">
      <w:pPr>
        <w:pStyle w:val="NormalNonumber"/>
        <w:tabs>
          <w:tab w:val="clear" w:pos="1247"/>
          <w:tab w:val="clear" w:pos="1814"/>
          <w:tab w:val="clear" w:pos="2381"/>
          <w:tab w:val="clear" w:pos="2948"/>
          <w:tab w:val="clear" w:pos="3515"/>
          <w:tab w:val="left" w:pos="624"/>
        </w:tabs>
        <w:ind w:firstLine="624"/>
        <w:rPr>
          <w:rFonts w:eastAsia="Batang"/>
        </w:rPr>
      </w:pPr>
      <w:r w:rsidRPr="00E861A7">
        <w:rPr>
          <w:rFonts w:eastAsia="Batang"/>
          <w:i/>
        </w:rPr>
        <w:t>Recalling</w:t>
      </w:r>
      <w:r w:rsidRPr="004E7D79">
        <w:rPr>
          <w:rFonts w:eastAsia="Batang"/>
        </w:rPr>
        <w:t xml:space="preserve"> </w:t>
      </w:r>
      <w:r w:rsidRPr="00DF6D5C">
        <w:rPr>
          <w:rFonts w:eastAsia="Batang"/>
        </w:rPr>
        <w:t xml:space="preserve">decision X/4 on financial </w:t>
      </w:r>
      <w:r w:rsidRPr="002C2754">
        <w:rPr>
          <w:rFonts w:eastAsia="Batang"/>
        </w:rPr>
        <w:t>reports and budgets</w:t>
      </w:r>
      <w:r w:rsidRPr="00E861A7">
        <w:rPr>
          <w:rFonts w:eastAsia="Batang"/>
        </w:rPr>
        <w:t xml:space="preserve"> for the Vienna Convention </w:t>
      </w:r>
      <w:bookmarkStart w:id="3" w:name="_Hlk499282652"/>
      <w:r w:rsidRPr="00E861A7">
        <w:rPr>
          <w:rFonts w:eastAsia="Batang"/>
        </w:rPr>
        <w:t>for the Protection of the Ozone Layer</w:t>
      </w:r>
      <w:bookmarkEnd w:id="3"/>
      <w:r w:rsidRPr="00E861A7">
        <w:rPr>
          <w:rFonts w:eastAsia="Batang"/>
        </w:rPr>
        <w:t>,</w:t>
      </w:r>
    </w:p>
    <w:p w:rsidR="00154589" w:rsidRPr="004E7D79" w:rsidRDefault="00154589" w:rsidP="00DF6D5C">
      <w:pPr>
        <w:pStyle w:val="NormalNonumber"/>
        <w:tabs>
          <w:tab w:val="clear" w:pos="1247"/>
          <w:tab w:val="clear" w:pos="1814"/>
          <w:tab w:val="clear" w:pos="2381"/>
          <w:tab w:val="clear" w:pos="2948"/>
          <w:tab w:val="clear" w:pos="3515"/>
          <w:tab w:val="left" w:pos="624"/>
        </w:tabs>
        <w:ind w:firstLine="624"/>
      </w:pPr>
      <w:r w:rsidRPr="00E861A7">
        <w:rPr>
          <w:i/>
        </w:rPr>
        <w:t>Taking note</w:t>
      </w:r>
      <w:r w:rsidRPr="004E7D79">
        <w:t xml:space="preserve"> </w:t>
      </w:r>
      <w:r w:rsidRPr="00DF6D5C">
        <w:t xml:space="preserve">of the financial report on the Trust Fund for the Vienna Convention </w:t>
      </w:r>
      <w:r w:rsidRPr="00E861A7">
        <w:rPr>
          <w:rFonts w:eastAsia="Batang"/>
        </w:rPr>
        <w:t>for the Protection of the Ozone Layer</w:t>
      </w:r>
      <w:r w:rsidRPr="004E7D79">
        <w:t xml:space="preserve"> for </w:t>
      </w:r>
      <w:r w:rsidRPr="00DF6D5C">
        <w:t xml:space="preserve">the </w:t>
      </w:r>
      <w:r w:rsidRPr="00E861A7">
        <w:rPr>
          <w:bCs/>
          <w:color w:val="000000"/>
        </w:rPr>
        <w:t>fiscal ye</w:t>
      </w:r>
      <w:r w:rsidRPr="00DF6D5C">
        <w:rPr>
          <w:bCs/>
          <w:color w:val="000000"/>
        </w:rPr>
        <w:t>ar</w:t>
      </w:r>
      <w:r w:rsidRPr="00DF6D5C">
        <w:t xml:space="preserve"> 2016,</w:t>
      </w:r>
      <w:r w:rsidRPr="00DF6D5C">
        <w:rPr>
          <w:vertAlign w:val="superscript"/>
        </w:rPr>
        <w:footnoteReference w:id="2"/>
      </w:r>
    </w:p>
    <w:p w:rsidR="00154589" w:rsidRPr="004E7D79" w:rsidRDefault="00154589" w:rsidP="00DF6D5C">
      <w:pPr>
        <w:pStyle w:val="NormalNonumber"/>
        <w:tabs>
          <w:tab w:val="clear" w:pos="1247"/>
          <w:tab w:val="clear" w:pos="1814"/>
          <w:tab w:val="clear" w:pos="2381"/>
          <w:tab w:val="clear" w:pos="2948"/>
          <w:tab w:val="clear" w:pos="3515"/>
          <w:tab w:val="left" w:pos="624"/>
        </w:tabs>
        <w:ind w:firstLine="624"/>
      </w:pPr>
      <w:r w:rsidRPr="004E7D79">
        <w:rPr>
          <w:i/>
        </w:rPr>
        <w:t>Recognizing</w:t>
      </w:r>
      <w:r w:rsidRPr="004E7D79">
        <w:t xml:space="preserve"> that voluntary contributions, once agreed upon, are an essential complement for the effective implementation of the Vienna Convention,</w:t>
      </w:r>
    </w:p>
    <w:p w:rsidR="00154589" w:rsidRPr="00DF6D5C" w:rsidRDefault="00154589" w:rsidP="00DF6D5C">
      <w:pPr>
        <w:pStyle w:val="NormalNonumber"/>
        <w:tabs>
          <w:tab w:val="clear" w:pos="1247"/>
          <w:tab w:val="clear" w:pos="1814"/>
          <w:tab w:val="clear" w:pos="2381"/>
          <w:tab w:val="clear" w:pos="2948"/>
          <w:tab w:val="clear" w:pos="3515"/>
          <w:tab w:val="left" w:pos="624"/>
        </w:tabs>
        <w:ind w:firstLine="624"/>
        <w:rPr>
          <w:rFonts w:eastAsia="Batang"/>
        </w:rPr>
      </w:pPr>
      <w:r w:rsidRPr="004E7D79">
        <w:rPr>
          <w:i/>
        </w:rPr>
        <w:t>Welcoming</w:t>
      </w:r>
      <w:r w:rsidRPr="004E7D79">
        <w:t xml:space="preserve"> the continued efficient management by the Secretariat of the finances of the Trust Fund for the Vienna Convention</w:t>
      </w:r>
      <w:r w:rsidRPr="00DF6D5C">
        <w:rPr>
          <w:rFonts w:eastAsia="Batang"/>
        </w:rPr>
        <w:t>,</w:t>
      </w:r>
    </w:p>
    <w:p w:rsidR="00154589" w:rsidRPr="004E7D79" w:rsidRDefault="00154589" w:rsidP="004E7D79">
      <w:pPr>
        <w:pStyle w:val="Normalpool"/>
        <w:numPr>
          <w:ilvl w:val="0"/>
          <w:numId w:val="19"/>
        </w:numPr>
        <w:tabs>
          <w:tab w:val="clear" w:pos="1253"/>
          <w:tab w:val="clear" w:pos="1814"/>
          <w:tab w:val="clear" w:pos="2376"/>
          <w:tab w:val="clear" w:pos="2952"/>
          <w:tab w:val="clear" w:pos="3514"/>
          <w:tab w:val="left" w:pos="624"/>
        </w:tabs>
        <w:spacing w:after="120"/>
        <w:ind w:left="1247" w:firstLine="624"/>
      </w:pPr>
      <w:r w:rsidRPr="004E7D79">
        <w:t xml:space="preserve">To express its appreciation to the Government of Canada for the generous hosting of and contribution towards the </w:t>
      </w:r>
      <w:bookmarkStart w:id="4" w:name="_Hlk499282612"/>
      <w:r w:rsidRPr="004E7D79">
        <w:t xml:space="preserve">joint eleventh meeting of the Conference of the Parties to the Vienna Convention </w:t>
      </w:r>
      <w:bookmarkEnd w:id="4"/>
      <w:r w:rsidRPr="004E7D79">
        <w:t xml:space="preserve">for the Protection of the Ozone Layer and the </w:t>
      </w:r>
      <w:r w:rsidRPr="00DB6883">
        <w:t>Twenty-Ninth Meeting of the Parties to the Montreal Protocol on Substances that Deplete the Ozone Layer</w:t>
      </w:r>
      <w:r w:rsidRPr="004E7D79">
        <w:t>, and to allocate 50 per cent of that contribution, entitled “Contribution for the organization of the joint 29th Meeting of the Parties to the Montreal Protocol and the 11th meeting of the Conference of the Parties to the Vienna Convention”, to the Trust Fund for the Vienna Convention to be reflected in the financial statement for 2017; </w:t>
      </w:r>
    </w:p>
    <w:p w:rsidR="00154589" w:rsidRPr="004E7D79" w:rsidRDefault="00154589" w:rsidP="004E7D79">
      <w:pPr>
        <w:pStyle w:val="Normalpool"/>
        <w:numPr>
          <w:ilvl w:val="0"/>
          <w:numId w:val="19"/>
        </w:numPr>
        <w:tabs>
          <w:tab w:val="clear" w:pos="1253"/>
          <w:tab w:val="clear" w:pos="1814"/>
          <w:tab w:val="clear" w:pos="2376"/>
          <w:tab w:val="clear" w:pos="2952"/>
          <w:tab w:val="clear" w:pos="3514"/>
          <w:tab w:val="left" w:pos="624"/>
        </w:tabs>
        <w:spacing w:after="120"/>
        <w:ind w:left="1247" w:firstLine="624"/>
      </w:pPr>
      <w:r w:rsidRPr="004E7D79">
        <w:t xml:space="preserve">To take note with appreciation of the financial report of the Trust Fund for the fiscal year 2016 and the report on the actual expenditures for 2016 as compared to the approved budget for that year; </w:t>
      </w:r>
    </w:p>
    <w:p w:rsidR="00154589" w:rsidRPr="004E7D79" w:rsidRDefault="00154589" w:rsidP="004E7D79">
      <w:pPr>
        <w:pStyle w:val="Normalpool"/>
        <w:numPr>
          <w:ilvl w:val="0"/>
          <w:numId w:val="19"/>
        </w:numPr>
        <w:tabs>
          <w:tab w:val="clear" w:pos="1253"/>
          <w:tab w:val="clear" w:pos="1814"/>
          <w:tab w:val="clear" w:pos="2376"/>
          <w:tab w:val="clear" w:pos="2952"/>
          <w:tab w:val="clear" w:pos="3514"/>
          <w:tab w:val="left" w:pos="624"/>
        </w:tabs>
        <w:spacing w:after="120"/>
        <w:ind w:left="1247" w:firstLine="624"/>
      </w:pPr>
      <w:r w:rsidRPr="004E7D79">
        <w:t>To reaffirm a working capital reserve equivalent to 15 per cent of the annual operational budgets for the triennium 2018–2020 to be used to meet the final expenditures under the Trust Fund;</w:t>
      </w:r>
    </w:p>
    <w:p w:rsidR="00154589" w:rsidRPr="004E7D79" w:rsidRDefault="00154589" w:rsidP="004E7D79">
      <w:pPr>
        <w:pStyle w:val="Normalpool"/>
        <w:numPr>
          <w:ilvl w:val="0"/>
          <w:numId w:val="19"/>
        </w:numPr>
        <w:tabs>
          <w:tab w:val="clear" w:pos="1253"/>
          <w:tab w:val="clear" w:pos="1814"/>
          <w:tab w:val="clear" w:pos="2376"/>
          <w:tab w:val="clear" w:pos="2952"/>
          <w:tab w:val="clear" w:pos="3514"/>
          <w:tab w:val="left" w:pos="624"/>
        </w:tabs>
        <w:spacing w:after="120"/>
        <w:ind w:left="1247" w:firstLine="624"/>
      </w:pPr>
      <w:r w:rsidRPr="004E7D79">
        <w:t xml:space="preserve">To approve the revised budget for 2017 for the Trust Fund in the amount of $1,308,964, the budget for 2018 in the amount of $788,167, the budget for 2019 in the amount of $800,981 and the budget for 2020 in the amount of $1,370,010, as set out in annex I to the </w:t>
      </w:r>
      <w:r w:rsidR="00EC470B" w:rsidRPr="004E7D79">
        <w:t xml:space="preserve">present </w:t>
      </w:r>
      <w:r w:rsidR="00206CEF">
        <w:t>report</w:t>
      </w:r>
      <w:r w:rsidRPr="004E7D79">
        <w:t>;</w:t>
      </w:r>
    </w:p>
    <w:p w:rsidR="00154589" w:rsidRPr="004E7D79" w:rsidRDefault="00154589" w:rsidP="004E7D79">
      <w:pPr>
        <w:pStyle w:val="Normalpool"/>
        <w:numPr>
          <w:ilvl w:val="0"/>
          <w:numId w:val="19"/>
        </w:numPr>
        <w:tabs>
          <w:tab w:val="clear" w:pos="1253"/>
          <w:tab w:val="clear" w:pos="1814"/>
          <w:tab w:val="clear" w:pos="2376"/>
          <w:tab w:val="clear" w:pos="2952"/>
          <w:tab w:val="clear" w:pos="3514"/>
          <w:tab w:val="left" w:pos="624"/>
        </w:tabs>
        <w:spacing w:after="120"/>
        <w:ind w:left="1247" w:firstLine="624"/>
      </w:pPr>
      <w:r w:rsidRPr="004E7D79">
        <w:t xml:space="preserve">Also to approve the contributions to be paid by the parties of $733,000 in 2018, $863,000 in 2019 and $986,000 in 2020, as set out in annex </w:t>
      </w:r>
      <w:r w:rsidR="00EC470B" w:rsidRPr="004E7D79">
        <w:t xml:space="preserve">II to the present </w:t>
      </w:r>
      <w:r w:rsidR="00206CEF">
        <w:t>report</w:t>
      </w:r>
      <w:r w:rsidRPr="004E7D79">
        <w:t>;</w:t>
      </w:r>
    </w:p>
    <w:p w:rsidR="00154589" w:rsidRPr="004E7D79" w:rsidRDefault="00154589" w:rsidP="004E7D79">
      <w:pPr>
        <w:pStyle w:val="Normalpool"/>
        <w:numPr>
          <w:ilvl w:val="0"/>
          <w:numId w:val="19"/>
        </w:numPr>
        <w:tabs>
          <w:tab w:val="clear" w:pos="1253"/>
          <w:tab w:val="clear" w:pos="1814"/>
          <w:tab w:val="clear" w:pos="2376"/>
          <w:tab w:val="clear" w:pos="2952"/>
          <w:tab w:val="clear" w:pos="3514"/>
          <w:tab w:val="left" w:pos="624"/>
        </w:tabs>
        <w:spacing w:after="120"/>
        <w:ind w:left="1247" w:firstLine="624"/>
      </w:pPr>
      <w:r w:rsidRPr="004E7D79">
        <w:t>To authorize the Secretariat to draw down from the cash balance the funds required to cover the shortfall between the level of contributions agreed upon in paragraph 5 above and the approved budgets for 2018, 2019 and 2020 as set out in paragraph 4 above;</w:t>
      </w:r>
    </w:p>
    <w:p w:rsidR="00154589" w:rsidRPr="004E7D79" w:rsidRDefault="00154589" w:rsidP="004E7D79">
      <w:pPr>
        <w:pStyle w:val="Normalpool"/>
        <w:numPr>
          <w:ilvl w:val="0"/>
          <w:numId w:val="19"/>
        </w:numPr>
        <w:tabs>
          <w:tab w:val="clear" w:pos="1253"/>
          <w:tab w:val="clear" w:pos="1814"/>
          <w:tab w:val="clear" w:pos="2376"/>
          <w:tab w:val="clear" w:pos="2952"/>
          <w:tab w:val="clear" w:pos="3514"/>
          <w:tab w:val="left" w:pos="624"/>
        </w:tabs>
        <w:spacing w:after="120"/>
        <w:ind w:left="1247" w:firstLine="624"/>
      </w:pPr>
      <w:r w:rsidRPr="004E7D79">
        <w:t>To urge all parties to pay any outstanding contributions and their future contributions promptly and in full;</w:t>
      </w:r>
    </w:p>
    <w:p w:rsidR="00154589" w:rsidRPr="004E7D79" w:rsidRDefault="00154589" w:rsidP="004E7D79">
      <w:pPr>
        <w:pStyle w:val="Normalpool"/>
        <w:numPr>
          <w:ilvl w:val="0"/>
          <w:numId w:val="19"/>
        </w:numPr>
        <w:tabs>
          <w:tab w:val="clear" w:pos="1253"/>
          <w:tab w:val="clear" w:pos="1814"/>
          <w:tab w:val="clear" w:pos="2376"/>
          <w:tab w:val="clear" w:pos="2952"/>
          <w:tab w:val="clear" w:pos="3514"/>
          <w:tab w:val="left" w:pos="624"/>
        </w:tabs>
        <w:spacing w:after="120"/>
        <w:ind w:left="1247" w:firstLine="624"/>
      </w:pPr>
      <w:r w:rsidRPr="004E7D79">
        <w:t xml:space="preserve">To note with concern that a number of parties have not paid their contributions for 2017 and prior years, and to urge those parties to pay both their outstanding contributions and their future contributions promptly and in full; </w:t>
      </w:r>
    </w:p>
    <w:p w:rsidR="00154589" w:rsidRPr="004E7D79" w:rsidRDefault="00154589" w:rsidP="004E7D79">
      <w:pPr>
        <w:pStyle w:val="Normalpool"/>
        <w:numPr>
          <w:ilvl w:val="0"/>
          <w:numId w:val="19"/>
        </w:numPr>
        <w:tabs>
          <w:tab w:val="clear" w:pos="1253"/>
          <w:tab w:val="clear" w:pos="1814"/>
          <w:tab w:val="clear" w:pos="2376"/>
          <w:tab w:val="clear" w:pos="2952"/>
          <w:tab w:val="clear" w:pos="3514"/>
          <w:tab w:val="left" w:pos="624"/>
        </w:tabs>
        <w:spacing w:after="120"/>
        <w:ind w:left="1247" w:firstLine="624"/>
      </w:pPr>
      <w:r w:rsidRPr="004E7D79">
        <w:t xml:space="preserve">To request the Executive Secretary, and to invite the President of the Bureau of the Conference of the Parties, to enter into discussions with any party whose contributions </w:t>
      </w:r>
      <w:r w:rsidR="00A42678">
        <w:t>have been</w:t>
      </w:r>
      <w:r w:rsidR="00A42678" w:rsidRPr="004E7D79">
        <w:t xml:space="preserve"> </w:t>
      </w:r>
      <w:r w:rsidRPr="004E7D79">
        <w:t>outstanding for two or more years with a view to finding a way forward, and to request the Executive Secretary to report to the Conference of the Parties at its twelfth meeting on the outcome of the discussions;</w:t>
      </w:r>
    </w:p>
    <w:p w:rsidR="00154589" w:rsidRPr="004E7D79" w:rsidRDefault="00154589" w:rsidP="004E7D79">
      <w:pPr>
        <w:pStyle w:val="Normalpool"/>
        <w:numPr>
          <w:ilvl w:val="0"/>
          <w:numId w:val="19"/>
        </w:numPr>
        <w:tabs>
          <w:tab w:val="clear" w:pos="1253"/>
          <w:tab w:val="clear" w:pos="1814"/>
          <w:tab w:val="clear" w:pos="2376"/>
          <w:tab w:val="clear" w:pos="2952"/>
          <w:tab w:val="clear" w:pos="3514"/>
          <w:tab w:val="left" w:pos="624"/>
        </w:tabs>
        <w:spacing w:after="120"/>
        <w:ind w:left="1247" w:firstLine="624"/>
      </w:pPr>
      <w:r w:rsidRPr="004E7D79">
        <w:t>To further consider how to address outstanding contributions to the Trust Fund at its twelfth meeting, and to request the Executive Secretary to continue to publish and regularly update information on the status of contributions to the Trust Fund;</w:t>
      </w:r>
    </w:p>
    <w:p w:rsidR="00154589" w:rsidRPr="004E7D79" w:rsidRDefault="00154589" w:rsidP="004E7D79">
      <w:pPr>
        <w:pStyle w:val="Normalpool"/>
        <w:numPr>
          <w:ilvl w:val="0"/>
          <w:numId w:val="19"/>
        </w:numPr>
        <w:tabs>
          <w:tab w:val="clear" w:pos="1253"/>
          <w:tab w:val="clear" w:pos="1814"/>
          <w:tab w:val="clear" w:pos="2376"/>
          <w:tab w:val="clear" w:pos="2952"/>
          <w:tab w:val="clear" w:pos="3514"/>
          <w:tab w:val="left" w:pos="624"/>
        </w:tabs>
        <w:spacing w:after="120"/>
        <w:ind w:left="1247" w:firstLine="624"/>
      </w:pPr>
      <w:r w:rsidRPr="004E7D79">
        <w:t xml:space="preserve">To request the Secretariat to ensure the full utilization of programme support costs available to it in </w:t>
      </w:r>
      <w:r w:rsidR="00A42678">
        <w:t xml:space="preserve">the triennium </w:t>
      </w:r>
      <w:r w:rsidRPr="004E7D79">
        <w:t>2018</w:t>
      </w:r>
      <w:r w:rsidR="00A42678">
        <w:t>‒</w:t>
      </w:r>
      <w:r w:rsidRPr="004E7D79">
        <w:t xml:space="preserve">2020 and </w:t>
      </w:r>
      <w:r w:rsidR="00A42678">
        <w:t xml:space="preserve">in </w:t>
      </w:r>
      <w:r w:rsidRPr="004E7D79">
        <w:t>later years, and where possible, to offset those costs against the administrative components of the approved budget;</w:t>
      </w:r>
    </w:p>
    <w:p w:rsidR="00154589" w:rsidRPr="00DB6883" w:rsidRDefault="00154589" w:rsidP="004E7D79">
      <w:pPr>
        <w:pStyle w:val="Normalpool"/>
        <w:numPr>
          <w:ilvl w:val="0"/>
          <w:numId w:val="19"/>
        </w:numPr>
        <w:tabs>
          <w:tab w:val="clear" w:pos="1253"/>
          <w:tab w:val="clear" w:pos="1814"/>
          <w:tab w:val="clear" w:pos="2376"/>
          <w:tab w:val="clear" w:pos="2952"/>
          <w:tab w:val="clear" w:pos="3514"/>
          <w:tab w:val="left" w:pos="624"/>
        </w:tabs>
        <w:spacing w:after="120"/>
        <w:ind w:left="1247" w:firstLine="624"/>
        <w:rPr>
          <w:rFonts w:eastAsia="Batang"/>
        </w:rPr>
      </w:pPr>
      <w:r w:rsidRPr="00DB6883">
        <w:rPr>
          <w:rFonts w:eastAsia="Batang"/>
        </w:rPr>
        <w:t xml:space="preserve">Also to request the Secretariat to indicate in future financial reports of the Trust Fund the amounts of cash on hand in the section entitled “Total reserves and fund balances”, in addition to contributions that have </w:t>
      </w:r>
      <w:r w:rsidRPr="004E7D79">
        <w:t>not</w:t>
      </w:r>
      <w:r w:rsidRPr="00DB6883">
        <w:rPr>
          <w:rFonts w:eastAsia="Batang"/>
        </w:rPr>
        <w:t xml:space="preserve"> yet been received;</w:t>
      </w:r>
    </w:p>
    <w:p w:rsidR="00154589" w:rsidRPr="00DB6883" w:rsidRDefault="00154589" w:rsidP="004E7D79">
      <w:pPr>
        <w:pStyle w:val="Normalpool"/>
        <w:numPr>
          <w:ilvl w:val="0"/>
          <w:numId w:val="19"/>
        </w:numPr>
        <w:tabs>
          <w:tab w:val="clear" w:pos="1253"/>
          <w:tab w:val="clear" w:pos="1814"/>
          <w:tab w:val="clear" w:pos="2376"/>
          <w:tab w:val="clear" w:pos="2952"/>
          <w:tab w:val="clear" w:pos="3514"/>
          <w:tab w:val="left" w:pos="624"/>
        </w:tabs>
        <w:spacing w:after="120"/>
        <w:ind w:left="1247" w:firstLine="624"/>
        <w:rPr>
          <w:rFonts w:eastAsia="Batang"/>
        </w:rPr>
      </w:pPr>
      <w:r w:rsidRPr="00DB6883">
        <w:rPr>
          <w:rFonts w:eastAsia="Batang"/>
        </w:rPr>
        <w:lastRenderedPageBreak/>
        <w:t>To request the Executive Secretary to prepare results-based budget and work programmes for the triennium 2021</w:t>
      </w:r>
      <w:r w:rsidR="00A42678">
        <w:t>‒</w:t>
      </w:r>
      <w:r w:rsidRPr="00DB6883">
        <w:rPr>
          <w:rFonts w:eastAsia="Batang"/>
        </w:rPr>
        <w:t xml:space="preserve">2023, presenting two budget scenarios and work programmes based on the projected needs for the biennium in: </w:t>
      </w:r>
    </w:p>
    <w:p w:rsidR="00154589" w:rsidRPr="004E7D79" w:rsidRDefault="00154589" w:rsidP="00DF6D5C">
      <w:pPr>
        <w:pStyle w:val="Normalpool"/>
        <w:tabs>
          <w:tab w:val="clear" w:pos="1253"/>
          <w:tab w:val="clear" w:pos="1814"/>
          <w:tab w:val="clear" w:pos="2376"/>
          <w:tab w:val="clear" w:pos="2952"/>
          <w:tab w:val="clear" w:pos="3514"/>
          <w:tab w:val="left" w:pos="624"/>
        </w:tabs>
        <w:spacing w:after="120"/>
        <w:ind w:left="1247" w:firstLine="624"/>
      </w:pPr>
      <w:r w:rsidRPr="004E7D79">
        <w:t>(a)</w:t>
      </w:r>
      <w:r w:rsidRPr="004E7D79">
        <w:tab/>
        <w:t>A zero</w:t>
      </w:r>
      <w:r w:rsidR="008E3922">
        <w:t xml:space="preserve"> </w:t>
      </w:r>
      <w:r w:rsidRPr="004E7D79">
        <w:t>nominal</w:t>
      </w:r>
      <w:r w:rsidR="008E3922">
        <w:t xml:space="preserve"> </w:t>
      </w:r>
      <w:r w:rsidRPr="004E7D79">
        <w:t xml:space="preserve">growth scenario; </w:t>
      </w:r>
    </w:p>
    <w:p w:rsidR="00154589" w:rsidRPr="004E7D79" w:rsidRDefault="00154589" w:rsidP="00DF6D5C">
      <w:pPr>
        <w:pStyle w:val="Normalpool"/>
        <w:tabs>
          <w:tab w:val="clear" w:pos="1253"/>
          <w:tab w:val="clear" w:pos="1814"/>
          <w:tab w:val="clear" w:pos="2376"/>
          <w:tab w:val="clear" w:pos="2952"/>
          <w:tab w:val="clear" w:pos="3514"/>
          <w:tab w:val="left" w:pos="624"/>
        </w:tabs>
        <w:spacing w:after="120"/>
        <w:ind w:left="1247" w:firstLine="624"/>
      </w:pPr>
      <w:r w:rsidRPr="004E7D79">
        <w:t>(b)</w:t>
      </w:r>
      <w:r w:rsidRPr="004E7D79">
        <w:tab/>
        <w:t>A scenario based on further recommended adjustments to the first scenario and the added costs or savings related thereto.</w:t>
      </w:r>
    </w:p>
    <w:p w:rsidR="008D6111" w:rsidRPr="00D77EC9" w:rsidRDefault="008D6111">
      <w:pPr>
        <w:pStyle w:val="CH2"/>
      </w:pPr>
      <w:r w:rsidRPr="00D77EC9">
        <w:tab/>
      </w:r>
      <w:r w:rsidRPr="00D77EC9">
        <w:tab/>
        <w:t xml:space="preserve">Decision XI/4: Twelfth meeting of the Conference of the Parties to the Vienna Convention </w:t>
      </w:r>
      <w:r w:rsidR="009F67AB" w:rsidRPr="00D77EC9">
        <w:t>for the Protection of the Ozone Layer</w:t>
      </w:r>
    </w:p>
    <w:p w:rsidR="008D6111" w:rsidRPr="000D1975" w:rsidRDefault="008D6111" w:rsidP="004E7D79">
      <w:pPr>
        <w:pStyle w:val="Normalpool"/>
        <w:tabs>
          <w:tab w:val="clear" w:pos="1253"/>
          <w:tab w:val="clear" w:pos="1814"/>
          <w:tab w:val="clear" w:pos="2376"/>
          <w:tab w:val="clear" w:pos="2952"/>
          <w:tab w:val="clear" w:pos="3514"/>
          <w:tab w:val="left" w:pos="624"/>
        </w:tabs>
        <w:spacing w:after="120"/>
        <w:ind w:left="1247" w:firstLine="624"/>
      </w:pPr>
      <w:r>
        <w:tab/>
      </w:r>
      <w:r w:rsidRPr="00FE749B">
        <w:t xml:space="preserve">To convene the </w:t>
      </w:r>
      <w:r>
        <w:t>twelfth</w:t>
      </w:r>
      <w:r w:rsidRPr="00FE749B">
        <w:t xml:space="preserve"> meeting of the Conference of the Parties to the Vienna Convention </w:t>
      </w:r>
      <w:r w:rsidR="009F67AB">
        <w:t>for the Protection of the Ozone Layer</w:t>
      </w:r>
      <w:r w:rsidR="009F67AB" w:rsidRPr="00FE749B">
        <w:t xml:space="preserve"> </w:t>
      </w:r>
      <w:r w:rsidRPr="00FE749B">
        <w:t xml:space="preserve">back to back with the </w:t>
      </w:r>
      <w:r>
        <w:t>Thirty-Second</w:t>
      </w:r>
      <w:r w:rsidRPr="00FE749B">
        <w:t xml:space="preserve"> Meeting of the Parties to the Montreal Protocol</w:t>
      </w:r>
      <w:r w:rsidR="009F67AB">
        <w:t xml:space="preserve"> on Substances that Deplete the Ozone Layer</w:t>
      </w:r>
      <w:r w:rsidRPr="00FE749B">
        <w:t>.</w:t>
      </w:r>
    </w:p>
    <w:p w:rsidR="004C6B9D" w:rsidRDefault="004C6B9D" w:rsidP="004C6B9D">
      <w:pPr>
        <w:pStyle w:val="CH1"/>
      </w:pPr>
      <w:r w:rsidRPr="00DB6883">
        <w:tab/>
        <w:t>X.</w:t>
      </w:r>
      <w:r w:rsidRPr="00DB6883">
        <w:tab/>
        <w:t>Adoption of decisions by the Twenty-Ninth Meeting of the Parties to the Montreal Protocol</w:t>
      </w:r>
    </w:p>
    <w:p w:rsidR="00895F4A" w:rsidRPr="00CD35BB" w:rsidRDefault="00895F4A" w:rsidP="00CD35BB">
      <w:pPr>
        <w:pStyle w:val="Normalnumber"/>
        <w:tabs>
          <w:tab w:val="clear" w:pos="567"/>
          <w:tab w:val="clear" w:pos="1247"/>
          <w:tab w:val="clear" w:pos="1814"/>
          <w:tab w:val="clear" w:pos="2381"/>
          <w:tab w:val="clear" w:pos="2948"/>
          <w:tab w:val="clear" w:pos="3515"/>
          <w:tab w:val="left" w:pos="624"/>
        </w:tabs>
      </w:pPr>
      <w:r w:rsidRPr="00CD35BB">
        <w:t>The Twenty-Ninth Meeting of the Parties decides:</w:t>
      </w:r>
    </w:p>
    <w:p w:rsidR="00796478" w:rsidRPr="0062040A" w:rsidRDefault="00796478" w:rsidP="00796478">
      <w:pPr>
        <w:pStyle w:val="CH1"/>
      </w:pPr>
      <w:r>
        <w:rPr>
          <w:sz w:val="24"/>
          <w:szCs w:val="24"/>
        </w:rPr>
        <w:tab/>
      </w:r>
      <w:r>
        <w:rPr>
          <w:sz w:val="24"/>
          <w:szCs w:val="24"/>
        </w:rPr>
        <w:tab/>
        <w:t xml:space="preserve">Decision </w:t>
      </w:r>
      <w:r w:rsidRPr="000C234A">
        <w:rPr>
          <w:sz w:val="24"/>
          <w:szCs w:val="24"/>
        </w:rPr>
        <w:t>XXIX/</w:t>
      </w:r>
      <w:r>
        <w:rPr>
          <w:sz w:val="24"/>
          <w:szCs w:val="24"/>
        </w:rPr>
        <w:t>1</w:t>
      </w:r>
      <w:r w:rsidRPr="000C234A">
        <w:rPr>
          <w:sz w:val="24"/>
          <w:szCs w:val="24"/>
        </w:rPr>
        <w:t xml:space="preserve">: </w:t>
      </w:r>
      <w:r w:rsidRPr="00072A0F">
        <w:rPr>
          <w:sz w:val="24"/>
          <w:szCs w:val="24"/>
        </w:rPr>
        <w:t>Replenishment of the Multilateral Fund for the Implementation of the Montreal Protocol for the triennium 2018–2020</w:t>
      </w:r>
    </w:p>
    <w:p w:rsidR="00796478" w:rsidRDefault="00796478" w:rsidP="004E7D79">
      <w:pPr>
        <w:pStyle w:val="Normalpool"/>
        <w:numPr>
          <w:ilvl w:val="0"/>
          <w:numId w:val="28"/>
        </w:numPr>
        <w:tabs>
          <w:tab w:val="clear" w:pos="1253"/>
          <w:tab w:val="clear" w:pos="1814"/>
          <w:tab w:val="clear" w:pos="2376"/>
          <w:tab w:val="clear" w:pos="2952"/>
          <w:tab w:val="clear" w:pos="3514"/>
          <w:tab w:val="left" w:pos="624"/>
        </w:tabs>
        <w:spacing w:after="120"/>
        <w:ind w:left="1247" w:firstLine="624"/>
      </w:pPr>
      <w:r>
        <w:t>To adopt a budget for the Multilateral Fund for the Implementation of the Montreal Protocol for the triennium 2018–2020 of $540,000,000, on the understanding that $34,000,000 of that budget will be provided from anticipated contributions due to the Multilateral Fund and other sources for the triennium 2015–2017, and that $6,000,000 will be provided from interest accruing to the Fund during the triennium 2018–2020. The parties note that outstanding contributions from parties with economies in transition in the period 2015–2017 amount to $10,452,429;</w:t>
      </w:r>
    </w:p>
    <w:p w:rsidR="00796478" w:rsidRDefault="0015712B" w:rsidP="004E7D79">
      <w:pPr>
        <w:pStyle w:val="Normalpool"/>
        <w:numPr>
          <w:ilvl w:val="0"/>
          <w:numId w:val="28"/>
        </w:numPr>
        <w:tabs>
          <w:tab w:val="clear" w:pos="1253"/>
          <w:tab w:val="clear" w:pos="1814"/>
          <w:tab w:val="clear" w:pos="2376"/>
          <w:tab w:val="clear" w:pos="2952"/>
          <w:tab w:val="clear" w:pos="3514"/>
          <w:tab w:val="left" w:pos="624"/>
        </w:tabs>
        <w:spacing w:after="120"/>
        <w:ind w:left="1247" w:firstLine="624"/>
      </w:pPr>
      <w:r>
        <w:t>Also t</w:t>
      </w:r>
      <w:r w:rsidR="00796478">
        <w:t>o adopt the scale of contributions for the Multilateral Fund based on a replenishment of $166,666,667 for 2018, $166,666,667 for 2019 and $166,666,666 for 2020, as it appears in annex III to the report of the combined eleventh meeting of the Conference of the Parties to the Vienna Convention and the Twenty-Ninth meeting of the Parties to the Montreal Protocol;</w:t>
      </w:r>
    </w:p>
    <w:p w:rsidR="00796478" w:rsidRDefault="00796478" w:rsidP="004E7D79">
      <w:pPr>
        <w:pStyle w:val="Normalpool"/>
        <w:numPr>
          <w:ilvl w:val="0"/>
          <w:numId w:val="28"/>
        </w:numPr>
        <w:tabs>
          <w:tab w:val="clear" w:pos="1253"/>
          <w:tab w:val="clear" w:pos="1814"/>
          <w:tab w:val="clear" w:pos="2376"/>
          <w:tab w:val="clear" w:pos="2952"/>
          <w:tab w:val="clear" w:pos="3514"/>
          <w:tab w:val="left" w:pos="624"/>
        </w:tabs>
        <w:spacing w:after="120"/>
        <w:ind w:left="1247" w:firstLine="624"/>
      </w:pPr>
      <w:r>
        <w:t>That the Executive Committee should take action to ensure, to the extent possible, that the entire budget for the triennium 2018–2020 is committed by the end of 2020 and that parties not operating under paragraph 1 of Article 5 should make timely payments in accordance with paragraph 7 of decision XI/6;</w:t>
      </w:r>
    </w:p>
    <w:p w:rsidR="00796478" w:rsidRPr="006D6ED5" w:rsidRDefault="00796478" w:rsidP="00CD35BB">
      <w:pPr>
        <w:pStyle w:val="CH2"/>
      </w:pPr>
      <w:r w:rsidRPr="006D6ED5">
        <w:tab/>
      </w:r>
      <w:r w:rsidR="00D77EC9">
        <w:tab/>
      </w:r>
      <w:r w:rsidRPr="0010641C">
        <w:t xml:space="preserve">Decision XXIX/2: Extension of the fixed-exchange-rate mechanism to the </w:t>
      </w:r>
      <w:r w:rsidR="00A23E46" w:rsidRPr="00535E7E">
        <w:br/>
      </w:r>
      <w:r w:rsidRPr="006D6ED5">
        <w:t xml:space="preserve">2018–2020 replenishment of the Multilateral Fund </w:t>
      </w:r>
    </w:p>
    <w:p w:rsidR="00796478" w:rsidRPr="004E7D79" w:rsidRDefault="00796478" w:rsidP="00435E3D">
      <w:pPr>
        <w:pStyle w:val="Normalpool"/>
        <w:keepNext/>
        <w:keepLines/>
        <w:numPr>
          <w:ilvl w:val="0"/>
          <w:numId w:val="23"/>
        </w:numPr>
        <w:tabs>
          <w:tab w:val="clear" w:pos="1253"/>
          <w:tab w:val="clear" w:pos="1814"/>
          <w:tab w:val="clear" w:pos="2376"/>
          <w:tab w:val="clear" w:pos="2952"/>
          <w:tab w:val="clear" w:pos="3514"/>
          <w:tab w:val="left" w:pos="624"/>
        </w:tabs>
        <w:spacing w:after="120"/>
        <w:ind w:left="1247" w:firstLine="624"/>
      </w:pPr>
      <w:r w:rsidRPr="004E7D79">
        <w:t xml:space="preserve">To direct the Treasurer to </w:t>
      </w:r>
      <w:r w:rsidRPr="00DD4FBE">
        <w:t>exten</w:t>
      </w:r>
      <w:r w:rsidRPr="004E7D79">
        <w:t xml:space="preserve">d the fixed-exchange-rate mechanism to the period 2018–2020; </w:t>
      </w:r>
    </w:p>
    <w:p w:rsidR="00796478" w:rsidRPr="004E7D79" w:rsidRDefault="00796478" w:rsidP="00435E3D">
      <w:pPr>
        <w:pStyle w:val="Normalpool"/>
        <w:keepNext/>
        <w:keepLines/>
        <w:numPr>
          <w:ilvl w:val="0"/>
          <w:numId w:val="23"/>
        </w:numPr>
        <w:tabs>
          <w:tab w:val="clear" w:pos="1253"/>
          <w:tab w:val="clear" w:pos="1814"/>
          <w:tab w:val="clear" w:pos="2376"/>
          <w:tab w:val="clear" w:pos="2952"/>
          <w:tab w:val="clear" w:pos="3514"/>
          <w:tab w:val="left" w:pos="624"/>
        </w:tabs>
        <w:spacing w:after="120"/>
        <w:ind w:left="1247" w:firstLine="624"/>
      </w:pPr>
      <w:r w:rsidRPr="004E7D79">
        <w:t>That parties choosing to pay their contributions to the Multilateral Fund for the Implementation of the Montreal Protocol in national currencies will calculate their contributions based on the average United Nations exchange rate for the six-month period commencing 1 January 2017;</w:t>
      </w:r>
    </w:p>
    <w:p w:rsidR="00796478" w:rsidRPr="004E7D79" w:rsidRDefault="00796478" w:rsidP="004E7D79">
      <w:pPr>
        <w:pStyle w:val="Normalpool"/>
        <w:numPr>
          <w:ilvl w:val="0"/>
          <w:numId w:val="23"/>
        </w:numPr>
        <w:tabs>
          <w:tab w:val="clear" w:pos="1253"/>
          <w:tab w:val="clear" w:pos="1814"/>
          <w:tab w:val="clear" w:pos="2376"/>
          <w:tab w:val="clear" w:pos="2952"/>
          <w:tab w:val="clear" w:pos="3514"/>
          <w:tab w:val="left" w:pos="624"/>
        </w:tabs>
        <w:spacing w:after="120"/>
        <w:ind w:left="1247" w:firstLine="624"/>
      </w:pPr>
      <w:r w:rsidRPr="004E7D79">
        <w:t>That, subject to paragraph 4 below, parties not choosing to pay in national currencies pursuant to the fixed-exchange-rate mechanism will continue to pay in United States dollars;</w:t>
      </w:r>
    </w:p>
    <w:p w:rsidR="00796478" w:rsidRPr="004E7D79" w:rsidRDefault="00796478" w:rsidP="004E7D79">
      <w:pPr>
        <w:pStyle w:val="Normalpool"/>
        <w:numPr>
          <w:ilvl w:val="0"/>
          <w:numId w:val="23"/>
        </w:numPr>
        <w:tabs>
          <w:tab w:val="clear" w:pos="1253"/>
          <w:tab w:val="clear" w:pos="1814"/>
          <w:tab w:val="clear" w:pos="2376"/>
          <w:tab w:val="clear" w:pos="2952"/>
          <w:tab w:val="clear" w:pos="3514"/>
          <w:tab w:val="left" w:pos="624"/>
        </w:tabs>
        <w:spacing w:after="120"/>
        <w:ind w:left="1247" w:firstLine="624"/>
      </w:pPr>
      <w:r w:rsidRPr="004E7D79">
        <w:t>That no party should change the currency selected for its contribution in the course of the triennium 2018–2020;</w:t>
      </w:r>
    </w:p>
    <w:p w:rsidR="00796478" w:rsidRPr="004E7D79" w:rsidRDefault="00796478" w:rsidP="004E7D79">
      <w:pPr>
        <w:pStyle w:val="Normalpool"/>
        <w:numPr>
          <w:ilvl w:val="0"/>
          <w:numId w:val="23"/>
        </w:numPr>
        <w:tabs>
          <w:tab w:val="clear" w:pos="1253"/>
          <w:tab w:val="clear" w:pos="1814"/>
          <w:tab w:val="clear" w:pos="2376"/>
          <w:tab w:val="clear" w:pos="2952"/>
          <w:tab w:val="clear" w:pos="3514"/>
          <w:tab w:val="left" w:pos="624"/>
        </w:tabs>
        <w:spacing w:after="120"/>
        <w:ind w:left="1247" w:firstLine="624"/>
      </w:pPr>
      <w:r w:rsidRPr="004E7D79">
        <w:t>That only parties with inflation rate fluctuations of less than 10 per cent for the preceding triennium, pursuant to published figures of the International Monetary Fund, will be eligible to use the fixed-exchange-rate mechanism;</w:t>
      </w:r>
    </w:p>
    <w:p w:rsidR="00796478" w:rsidRPr="004E7D79" w:rsidRDefault="00796478" w:rsidP="004E7D79">
      <w:pPr>
        <w:pStyle w:val="Normalpool"/>
        <w:numPr>
          <w:ilvl w:val="0"/>
          <w:numId w:val="23"/>
        </w:numPr>
        <w:tabs>
          <w:tab w:val="clear" w:pos="1253"/>
          <w:tab w:val="clear" w:pos="1814"/>
          <w:tab w:val="clear" w:pos="2376"/>
          <w:tab w:val="clear" w:pos="2952"/>
          <w:tab w:val="clear" w:pos="3514"/>
          <w:tab w:val="left" w:pos="624"/>
        </w:tabs>
        <w:spacing w:after="120"/>
        <w:ind w:left="1247" w:firstLine="624"/>
      </w:pPr>
      <w:r w:rsidRPr="004E7D79">
        <w:t>To urge parties to pay their contributions to the Multilateral Fund in full and as early as possible in accordance with paragraph 7 of decision XI/6;</w:t>
      </w:r>
    </w:p>
    <w:p w:rsidR="00796478" w:rsidRPr="004E7D79" w:rsidRDefault="00796478" w:rsidP="00D77EC9">
      <w:pPr>
        <w:pStyle w:val="Normalpool"/>
        <w:keepNext/>
        <w:keepLines/>
        <w:numPr>
          <w:ilvl w:val="0"/>
          <w:numId w:val="23"/>
        </w:numPr>
        <w:tabs>
          <w:tab w:val="clear" w:pos="1253"/>
          <w:tab w:val="clear" w:pos="1814"/>
          <w:tab w:val="clear" w:pos="2376"/>
          <w:tab w:val="clear" w:pos="2952"/>
          <w:tab w:val="clear" w:pos="3514"/>
          <w:tab w:val="left" w:pos="624"/>
        </w:tabs>
        <w:spacing w:after="120"/>
        <w:ind w:left="1247" w:firstLine="624"/>
      </w:pPr>
      <w:r w:rsidRPr="004E7D79">
        <w:lastRenderedPageBreak/>
        <w:t>To agree that</w:t>
      </w:r>
      <w:r w:rsidR="006256CE" w:rsidRPr="004E7D79">
        <w:t>,</w:t>
      </w:r>
      <w:r w:rsidRPr="004E7D79">
        <w:t xml:space="preserve"> if the fixed-exchange-rate mechanism is to be used for the replenishment period 2021–2023, parties choosing to pay their contributions in national currencies will calculate their contributions based on the average United Nations exchange rate for the six-month period commencing 1 January 2020</w:t>
      </w:r>
      <w:r w:rsidR="00DD4FBE">
        <w:t>;</w:t>
      </w:r>
    </w:p>
    <w:p w:rsidR="008D6111" w:rsidRDefault="008D6111" w:rsidP="00F65FC9">
      <w:pPr>
        <w:pStyle w:val="CH1"/>
        <w:tabs>
          <w:tab w:val="left" w:pos="624"/>
          <w:tab w:val="left" w:pos="1871"/>
          <w:tab w:val="left" w:pos="2495"/>
          <w:tab w:val="left" w:pos="3119"/>
          <w:tab w:val="left" w:pos="4082"/>
        </w:tabs>
        <w:ind w:right="0"/>
        <w:rPr>
          <w:sz w:val="24"/>
          <w:szCs w:val="24"/>
        </w:rPr>
      </w:pPr>
      <w:r>
        <w:rPr>
          <w:sz w:val="24"/>
          <w:szCs w:val="24"/>
        </w:rPr>
        <w:tab/>
      </w:r>
      <w:r>
        <w:rPr>
          <w:sz w:val="24"/>
          <w:szCs w:val="24"/>
        </w:rPr>
        <w:tab/>
      </w:r>
      <w:r>
        <w:rPr>
          <w:sz w:val="24"/>
          <w:szCs w:val="24"/>
        </w:rPr>
        <w:tab/>
        <w:t xml:space="preserve">Decision </w:t>
      </w:r>
      <w:r w:rsidRPr="00C3113E">
        <w:rPr>
          <w:sz w:val="24"/>
          <w:szCs w:val="24"/>
        </w:rPr>
        <w:t>XXIX/</w:t>
      </w:r>
      <w:r>
        <w:rPr>
          <w:sz w:val="24"/>
          <w:szCs w:val="24"/>
        </w:rPr>
        <w:t>3</w:t>
      </w:r>
      <w:r w:rsidRPr="00C3113E">
        <w:rPr>
          <w:sz w:val="24"/>
          <w:szCs w:val="24"/>
        </w:rPr>
        <w:t>: Kigali Amendment to the Montreal Protocol to phase down hydrofluorocarbons</w:t>
      </w:r>
    </w:p>
    <w:p w:rsidR="008D6111" w:rsidRPr="00C3113E" w:rsidRDefault="008D6111" w:rsidP="004E7D79">
      <w:pPr>
        <w:pStyle w:val="Normalpool"/>
        <w:tabs>
          <w:tab w:val="clear" w:pos="1253"/>
          <w:tab w:val="clear" w:pos="1814"/>
          <w:tab w:val="clear" w:pos="2376"/>
          <w:tab w:val="clear" w:pos="2952"/>
          <w:tab w:val="clear" w:pos="3514"/>
          <w:tab w:val="left" w:pos="624"/>
        </w:tabs>
        <w:spacing w:after="120"/>
        <w:ind w:left="1247" w:firstLine="624"/>
      </w:pPr>
      <w:r>
        <w:t>1.</w:t>
      </w:r>
      <w:r>
        <w:tab/>
        <w:t xml:space="preserve">To note that, as </w:t>
      </w:r>
      <w:r w:rsidR="006256CE">
        <w:t xml:space="preserve">at </w:t>
      </w:r>
      <w:r>
        <w:t>24 November</w:t>
      </w:r>
      <w:r w:rsidRPr="00C3113E">
        <w:t xml:space="preserve"> 2017, </w:t>
      </w:r>
      <w:r>
        <w:t>22</w:t>
      </w:r>
      <w:r w:rsidRPr="00C3113E">
        <w:t xml:space="preserve"> parties ha</w:t>
      </w:r>
      <w:r w:rsidR="006256CE">
        <w:t>d</w:t>
      </w:r>
      <w:r w:rsidRPr="00C3113E">
        <w:t xml:space="preserve"> ratified, approved or accepted the Kigali Ame</w:t>
      </w:r>
      <w:r>
        <w:t>ndment to the Montreal Protocol;</w:t>
      </w:r>
    </w:p>
    <w:p w:rsidR="008D6111" w:rsidRPr="00C3113E" w:rsidRDefault="008D6111" w:rsidP="004E7D79">
      <w:pPr>
        <w:pStyle w:val="Normalpool"/>
        <w:tabs>
          <w:tab w:val="clear" w:pos="1253"/>
          <w:tab w:val="clear" w:pos="1814"/>
          <w:tab w:val="clear" w:pos="2376"/>
          <w:tab w:val="clear" w:pos="2952"/>
          <w:tab w:val="clear" w:pos="3514"/>
          <w:tab w:val="left" w:pos="624"/>
        </w:tabs>
        <w:spacing w:after="120"/>
        <w:ind w:left="1247" w:firstLine="624"/>
      </w:pPr>
      <w:r>
        <w:t>2.</w:t>
      </w:r>
      <w:r>
        <w:tab/>
      </w:r>
      <w:r w:rsidRPr="00C3113E">
        <w:t>To urge all parties that have not yet done so to consider ratifying, approving or accepting the Kigali Amendment in order to ensure broad participation and achieve the goals of the Amendment</w:t>
      </w:r>
      <w:r w:rsidR="006256CE">
        <w:t>;</w:t>
      </w:r>
    </w:p>
    <w:p w:rsidR="008D6111" w:rsidRPr="000C234A" w:rsidRDefault="008D6111" w:rsidP="00F65FC9">
      <w:pPr>
        <w:pStyle w:val="CH1"/>
        <w:tabs>
          <w:tab w:val="left" w:pos="624"/>
          <w:tab w:val="left" w:pos="1871"/>
          <w:tab w:val="left" w:pos="2495"/>
          <w:tab w:val="left" w:pos="3119"/>
          <w:tab w:val="left" w:pos="4082"/>
        </w:tabs>
        <w:ind w:right="0"/>
        <w:rPr>
          <w:sz w:val="24"/>
          <w:szCs w:val="24"/>
        </w:rPr>
      </w:pPr>
      <w:r>
        <w:rPr>
          <w:sz w:val="24"/>
          <w:szCs w:val="24"/>
        </w:rPr>
        <w:tab/>
      </w:r>
      <w:r>
        <w:rPr>
          <w:sz w:val="24"/>
          <w:szCs w:val="24"/>
        </w:rPr>
        <w:tab/>
      </w:r>
      <w:r>
        <w:rPr>
          <w:sz w:val="24"/>
          <w:szCs w:val="24"/>
        </w:rPr>
        <w:tab/>
        <w:t xml:space="preserve">Decision XXIX/4: </w:t>
      </w:r>
      <w:r w:rsidRPr="000C234A">
        <w:rPr>
          <w:sz w:val="24"/>
          <w:szCs w:val="24"/>
        </w:rPr>
        <w:t>Destruction technologies for controlled substances</w:t>
      </w:r>
    </w:p>
    <w:p w:rsidR="008D6111" w:rsidRPr="006308D9" w:rsidRDefault="008D6111" w:rsidP="004E7D79">
      <w:pPr>
        <w:pStyle w:val="Normalpool"/>
        <w:tabs>
          <w:tab w:val="clear" w:pos="1253"/>
          <w:tab w:val="clear" w:pos="1814"/>
          <w:tab w:val="clear" w:pos="2376"/>
          <w:tab w:val="clear" w:pos="2952"/>
          <w:tab w:val="clear" w:pos="3514"/>
          <w:tab w:val="left" w:pos="624"/>
        </w:tabs>
        <w:spacing w:after="120"/>
        <w:ind w:left="1247" w:firstLine="624"/>
        <w:rPr>
          <w:i/>
        </w:rPr>
      </w:pPr>
      <w:r w:rsidRPr="006308D9">
        <w:rPr>
          <w:i/>
        </w:rPr>
        <w:t xml:space="preserve">Considering </w:t>
      </w:r>
      <w:r w:rsidRPr="006308D9">
        <w:t xml:space="preserve">the chemical </w:t>
      </w:r>
      <w:r w:rsidRPr="00984579">
        <w:t>similarity o</w:t>
      </w:r>
      <w:r w:rsidRPr="006308D9">
        <w:t xml:space="preserve">f hydrofluorocarbons and hydrochlorofluorocarbons, and chlorofluorocarbons and halons, and taking note of the practice </w:t>
      </w:r>
      <w:r w:rsidR="006D6ED5">
        <w:t xml:space="preserve">to often </w:t>
      </w:r>
      <w:r w:rsidRPr="006308D9">
        <w:t>destroy</w:t>
      </w:r>
      <w:r w:rsidR="006D6ED5">
        <w:t xml:space="preserve"> </w:t>
      </w:r>
      <w:r w:rsidRPr="006308D9">
        <w:t>them together,</w:t>
      </w:r>
    </w:p>
    <w:p w:rsidR="008D6111" w:rsidRDefault="008D6111" w:rsidP="004E7D79">
      <w:pPr>
        <w:pStyle w:val="Normalpool"/>
        <w:tabs>
          <w:tab w:val="clear" w:pos="1253"/>
          <w:tab w:val="clear" w:pos="1814"/>
          <w:tab w:val="clear" w:pos="2376"/>
          <w:tab w:val="clear" w:pos="2952"/>
          <w:tab w:val="clear" w:pos="3514"/>
          <w:tab w:val="left" w:pos="624"/>
        </w:tabs>
        <w:spacing w:after="120"/>
        <w:ind w:left="1247" w:firstLine="624"/>
      </w:pPr>
      <w:r w:rsidRPr="006308D9">
        <w:rPr>
          <w:i/>
        </w:rPr>
        <w:t>Noting</w:t>
      </w:r>
      <w:r w:rsidRPr="006308D9">
        <w:rPr>
          <w:i/>
          <w:iCs/>
        </w:rPr>
        <w:t xml:space="preserve"> </w:t>
      </w:r>
      <w:r w:rsidRPr="006308D9">
        <w:t xml:space="preserve">the need to approve destruction technologies for hydrofluorocarbons and to keep the list of approved destruction </w:t>
      </w:r>
      <w:r w:rsidRPr="006308D9">
        <w:rPr>
          <w:iCs/>
        </w:rPr>
        <w:t>technologies</w:t>
      </w:r>
      <w:r w:rsidRPr="006308D9">
        <w:t xml:space="preserve"> annexed to decision XXIII/12 up</w:t>
      </w:r>
      <w:r w:rsidR="00A42678">
        <w:t xml:space="preserve"> </w:t>
      </w:r>
      <w:r w:rsidRPr="00533FB6">
        <w:t>to</w:t>
      </w:r>
      <w:r w:rsidR="00A42678">
        <w:t xml:space="preserve"> </w:t>
      </w:r>
      <w:r w:rsidRPr="00533FB6">
        <w:t>date,</w:t>
      </w:r>
    </w:p>
    <w:p w:rsidR="008D6111" w:rsidRPr="00932933" w:rsidRDefault="00205AB2" w:rsidP="004E7D79">
      <w:pPr>
        <w:pStyle w:val="Normalpool"/>
        <w:tabs>
          <w:tab w:val="clear" w:pos="1253"/>
          <w:tab w:val="clear" w:pos="1814"/>
          <w:tab w:val="clear" w:pos="2376"/>
          <w:tab w:val="clear" w:pos="2952"/>
          <w:tab w:val="clear" w:pos="3514"/>
          <w:tab w:val="left" w:pos="624"/>
        </w:tabs>
        <w:spacing w:after="120"/>
        <w:ind w:left="1247" w:firstLine="624"/>
      </w:pPr>
      <w:r>
        <w:t>1.</w:t>
      </w:r>
      <w:r>
        <w:tab/>
      </w:r>
      <w:r w:rsidR="008D6111" w:rsidRPr="00932933">
        <w:t xml:space="preserve">To </w:t>
      </w:r>
      <w:r w:rsidR="008D6111" w:rsidRPr="00932933">
        <w:rPr>
          <w:lang w:eastAsia="zh-CN"/>
        </w:rPr>
        <w:t>request</w:t>
      </w:r>
      <w:r w:rsidR="008D6111" w:rsidRPr="00932933">
        <w:t xml:space="preserve"> the Technology and Economic Assessment Panel to report by 31 March 2018, and if necessary to submit a supplemental report to the Open</w:t>
      </w:r>
      <w:r w:rsidR="008D6111" w:rsidRPr="00932933">
        <w:noBreakHyphen/>
        <w:t>ended Working Group at its fortieth meeting, on:</w:t>
      </w:r>
    </w:p>
    <w:p w:rsidR="008D6111" w:rsidRPr="00932933" w:rsidRDefault="008D6111" w:rsidP="004E7D79">
      <w:pPr>
        <w:pStyle w:val="Normalpool"/>
        <w:tabs>
          <w:tab w:val="clear" w:pos="1253"/>
          <w:tab w:val="clear" w:pos="1814"/>
          <w:tab w:val="clear" w:pos="2376"/>
          <w:tab w:val="clear" w:pos="2952"/>
          <w:tab w:val="clear" w:pos="3514"/>
          <w:tab w:val="left" w:pos="624"/>
        </w:tabs>
        <w:spacing w:after="120"/>
        <w:ind w:left="1247" w:firstLine="624"/>
      </w:pPr>
      <w:r>
        <w:tab/>
        <w:t>(a)</w:t>
      </w:r>
      <w:r>
        <w:tab/>
      </w:r>
      <w:r w:rsidRPr="00932933">
        <w:t>An assessment of the destruction technologies as specified in the annex to decision XXIII/12 with a view to confirming their applicability to hydrofluorocarbons;</w:t>
      </w:r>
    </w:p>
    <w:p w:rsidR="008D6111" w:rsidRPr="00932933" w:rsidRDefault="008D6111" w:rsidP="004E7D79">
      <w:pPr>
        <w:pStyle w:val="Normalpool"/>
        <w:tabs>
          <w:tab w:val="clear" w:pos="1253"/>
          <w:tab w:val="clear" w:pos="1814"/>
          <w:tab w:val="clear" w:pos="2376"/>
          <w:tab w:val="clear" w:pos="2952"/>
          <w:tab w:val="clear" w:pos="3514"/>
          <w:tab w:val="left" w:pos="624"/>
        </w:tabs>
        <w:spacing w:after="120"/>
        <w:ind w:left="1247" w:firstLine="624"/>
      </w:pPr>
      <w:r>
        <w:tab/>
        <w:t>(b)</w:t>
      </w:r>
      <w:r>
        <w:tab/>
      </w:r>
      <w:r w:rsidRPr="00932933">
        <w:t>A review of any other technology for possible inclusion in the list of approved destruction technologies in relation to controlled substances;</w:t>
      </w:r>
    </w:p>
    <w:p w:rsidR="008D6111" w:rsidRPr="00932933" w:rsidRDefault="00205AB2" w:rsidP="004E7D79">
      <w:pPr>
        <w:pStyle w:val="Normalpool"/>
        <w:tabs>
          <w:tab w:val="clear" w:pos="1253"/>
          <w:tab w:val="clear" w:pos="1814"/>
          <w:tab w:val="clear" w:pos="2376"/>
          <w:tab w:val="clear" w:pos="2952"/>
          <w:tab w:val="clear" w:pos="3514"/>
          <w:tab w:val="left" w:pos="624"/>
        </w:tabs>
        <w:spacing w:after="120"/>
        <w:ind w:left="1247" w:firstLine="624"/>
      </w:pPr>
      <w:r>
        <w:t>2.</w:t>
      </w:r>
      <w:r>
        <w:tab/>
      </w:r>
      <w:r w:rsidR="008D6111" w:rsidRPr="00932933">
        <w:t>To invite parties to submit to the Secretariat by 1 February 2018 information relevant to the tasks set out in paragraph 1 above</w:t>
      </w:r>
      <w:r w:rsidR="006256CE">
        <w:t>;</w:t>
      </w:r>
    </w:p>
    <w:p w:rsidR="008D6111" w:rsidRPr="00FB0BE8" w:rsidRDefault="008D6111" w:rsidP="00F65FC9">
      <w:pPr>
        <w:pStyle w:val="CH1"/>
        <w:tabs>
          <w:tab w:val="left" w:pos="624"/>
          <w:tab w:val="left" w:pos="1871"/>
          <w:tab w:val="left" w:pos="2495"/>
          <w:tab w:val="left" w:pos="3119"/>
          <w:tab w:val="left" w:pos="4082"/>
        </w:tabs>
        <w:ind w:right="0"/>
        <w:rPr>
          <w:sz w:val="24"/>
        </w:rPr>
      </w:pPr>
      <w:r>
        <w:rPr>
          <w:sz w:val="24"/>
          <w:szCs w:val="24"/>
        </w:rPr>
        <w:tab/>
      </w:r>
      <w:r>
        <w:rPr>
          <w:sz w:val="24"/>
          <w:szCs w:val="24"/>
        </w:rPr>
        <w:tab/>
      </w:r>
      <w:r>
        <w:rPr>
          <w:sz w:val="24"/>
          <w:szCs w:val="24"/>
        </w:rPr>
        <w:tab/>
        <w:t xml:space="preserve">Decision XXIX/5: </w:t>
      </w:r>
      <w:r w:rsidRPr="00506502">
        <w:rPr>
          <w:sz w:val="24"/>
          <w:szCs w:val="24"/>
        </w:rPr>
        <w:t>Essential</w:t>
      </w:r>
      <w:r w:rsidRPr="00FB0BE8">
        <w:rPr>
          <w:sz w:val="24"/>
        </w:rPr>
        <w:t>-use exemption for laboratory and analytical uses for 201</w:t>
      </w:r>
      <w:r w:rsidRPr="00FB0BE8">
        <w:rPr>
          <w:sz w:val="24"/>
          <w:lang w:eastAsia="zh-CN"/>
        </w:rPr>
        <w:t>8</w:t>
      </w:r>
      <w:r w:rsidRPr="00FB0BE8">
        <w:rPr>
          <w:sz w:val="24"/>
        </w:rPr>
        <w:t xml:space="preserve"> in China</w:t>
      </w:r>
    </w:p>
    <w:p w:rsidR="008D6111" w:rsidRPr="00533FB6" w:rsidRDefault="008D6111" w:rsidP="004E7D79">
      <w:pPr>
        <w:pStyle w:val="Normalpool"/>
        <w:tabs>
          <w:tab w:val="clear" w:pos="1253"/>
          <w:tab w:val="clear" w:pos="1814"/>
          <w:tab w:val="clear" w:pos="2376"/>
          <w:tab w:val="clear" w:pos="2952"/>
          <w:tab w:val="clear" w:pos="3514"/>
          <w:tab w:val="left" w:pos="624"/>
        </w:tabs>
        <w:spacing w:after="120"/>
        <w:ind w:left="1247" w:firstLine="624"/>
      </w:pPr>
      <w:r w:rsidRPr="006308D9">
        <w:rPr>
          <w:i/>
        </w:rPr>
        <w:t xml:space="preserve">Noting with appreciation </w:t>
      </w:r>
      <w:r w:rsidRPr="006308D9">
        <w:t xml:space="preserve">the work done by the Technology and Economic Assessment Panel and its Medical and </w:t>
      </w:r>
      <w:r w:rsidRPr="006308D9">
        <w:rPr>
          <w:lang w:eastAsia="zh-CN"/>
        </w:rPr>
        <w:t>Chemicals</w:t>
      </w:r>
      <w:r w:rsidRPr="006308D9">
        <w:t xml:space="preserve"> Technical Options Committee,</w:t>
      </w:r>
    </w:p>
    <w:p w:rsidR="008D6111" w:rsidRPr="006308D9" w:rsidRDefault="008D6111" w:rsidP="004E7D79">
      <w:pPr>
        <w:pStyle w:val="Normalpool"/>
        <w:tabs>
          <w:tab w:val="clear" w:pos="1253"/>
          <w:tab w:val="clear" w:pos="1814"/>
          <w:tab w:val="clear" w:pos="2376"/>
          <w:tab w:val="clear" w:pos="2952"/>
          <w:tab w:val="clear" w:pos="3514"/>
          <w:tab w:val="left" w:pos="624"/>
        </w:tabs>
        <w:spacing w:after="120"/>
        <w:ind w:left="1247" w:firstLine="624"/>
      </w:pPr>
      <w:r w:rsidRPr="00533FB6">
        <w:rPr>
          <w:i/>
        </w:rPr>
        <w:t xml:space="preserve">Recalling </w:t>
      </w:r>
      <w:r w:rsidRPr="00533FB6">
        <w:t>decision XI/15, by which the parties, among other things, eliminated the use of ozo</w:t>
      </w:r>
      <w:r w:rsidRPr="005E0997">
        <w:t>ne</w:t>
      </w:r>
      <w:r w:rsidRPr="005E0997">
        <w:noBreakHyphen/>
        <w:t>depleting substances for the testing of oil, grease and total petroleum hydrocarbons in water from the global exemption for laboratory and analytical uses,</w:t>
      </w:r>
    </w:p>
    <w:p w:rsidR="008D6111" w:rsidRPr="003C404C" w:rsidRDefault="008D6111" w:rsidP="004E7D79">
      <w:pPr>
        <w:pStyle w:val="Normalpool"/>
        <w:tabs>
          <w:tab w:val="clear" w:pos="1253"/>
          <w:tab w:val="clear" w:pos="1814"/>
          <w:tab w:val="clear" w:pos="2376"/>
          <w:tab w:val="clear" w:pos="2952"/>
          <w:tab w:val="clear" w:pos="3514"/>
          <w:tab w:val="left" w:pos="624"/>
        </w:tabs>
        <w:spacing w:after="120"/>
        <w:ind w:left="1247" w:firstLine="624"/>
      </w:pPr>
      <w:r w:rsidRPr="006308D9">
        <w:rPr>
          <w:i/>
        </w:rPr>
        <w:t>Recalling</w:t>
      </w:r>
      <w:r w:rsidRPr="006308D9">
        <w:rPr>
          <w:i/>
          <w:iCs/>
        </w:rPr>
        <w:t xml:space="preserve"> </w:t>
      </w:r>
      <w:r w:rsidRPr="006308D9">
        <w:rPr>
          <w:i/>
        </w:rPr>
        <w:t xml:space="preserve">also </w:t>
      </w:r>
      <w:r w:rsidRPr="006308D9">
        <w:t xml:space="preserve">decision XXIII/6, by which parties operating under paragraph 1 of Article 5 of the Montreal Protocol </w:t>
      </w:r>
      <w:r w:rsidRPr="00FB0BE8">
        <w:t>on Substances that Deplete the Ozone Layer</w:t>
      </w:r>
      <w:r>
        <w:rPr>
          <w:b/>
        </w:rPr>
        <w:t xml:space="preserve"> </w:t>
      </w:r>
      <w:r w:rsidRPr="006308D9">
        <w:t>were allowed until 31 December 2014 to deviate from the existing ban on the use of carbon tetrachloride for the testing of oil, grease and total petroleum hydrocarbons in water in individual cases where such parties considered doing so to be justified, and in which it was clarified that any deviation beyond that should take place only in accordance with an essential-use exemption</w:t>
      </w:r>
      <w:r w:rsidRPr="006308D9">
        <w:rPr>
          <w:iCs/>
          <w:lang w:eastAsia="zh-CN"/>
        </w:rPr>
        <w:t xml:space="preserve"> in </w:t>
      </w:r>
      <w:r w:rsidRPr="006308D9">
        <w:t>respect</w:t>
      </w:r>
      <w:r w:rsidRPr="006308D9">
        <w:rPr>
          <w:iCs/>
          <w:lang w:eastAsia="zh-CN"/>
        </w:rPr>
        <w:t xml:space="preserve"> of the use of carbon tetrachloride for the testing of oil, grease and total petroleum hydrocarbons in water beyond 2014</w:t>
      </w:r>
      <w:r w:rsidRPr="006308D9">
        <w:t xml:space="preserve">, </w:t>
      </w:r>
    </w:p>
    <w:p w:rsidR="008D6111" w:rsidRDefault="008D6111" w:rsidP="004E7D79">
      <w:pPr>
        <w:pStyle w:val="Normalpool"/>
        <w:tabs>
          <w:tab w:val="clear" w:pos="1253"/>
          <w:tab w:val="clear" w:pos="1814"/>
          <w:tab w:val="clear" w:pos="2376"/>
          <w:tab w:val="clear" w:pos="2952"/>
          <w:tab w:val="clear" w:pos="3514"/>
          <w:tab w:val="left" w:pos="624"/>
        </w:tabs>
        <w:spacing w:after="120"/>
        <w:ind w:left="1247" w:firstLine="624"/>
        <w:rPr>
          <w:lang w:eastAsia="zh-CN"/>
        </w:rPr>
      </w:pPr>
      <w:r>
        <w:rPr>
          <w:lang w:eastAsia="zh-CN"/>
        </w:rPr>
        <w:t>1.</w:t>
      </w:r>
      <w:r>
        <w:rPr>
          <w:lang w:eastAsia="zh-CN"/>
        </w:rPr>
        <w:tab/>
      </w:r>
      <w:r w:rsidRPr="006308D9">
        <w:rPr>
          <w:lang w:eastAsia="zh-CN"/>
        </w:rPr>
        <w:t>To authorize the level of consumption for China for 2018 necessary to satisfy essential uses of carbon tetrachloride for the testing of oil, grease and total petroleum hydrocarbons in water, as specified in the annex to the present decision;</w:t>
      </w:r>
    </w:p>
    <w:p w:rsidR="008D6111" w:rsidRPr="007022CB" w:rsidRDefault="008D6111" w:rsidP="004E7D79">
      <w:pPr>
        <w:pStyle w:val="Normalpool"/>
        <w:tabs>
          <w:tab w:val="clear" w:pos="1253"/>
          <w:tab w:val="clear" w:pos="1814"/>
          <w:tab w:val="clear" w:pos="2376"/>
          <w:tab w:val="clear" w:pos="2952"/>
          <w:tab w:val="clear" w:pos="3514"/>
          <w:tab w:val="left" w:pos="624"/>
        </w:tabs>
        <w:spacing w:after="120"/>
        <w:ind w:left="1247" w:firstLine="624"/>
        <w:rPr>
          <w:lang w:eastAsia="zh-CN"/>
        </w:rPr>
      </w:pPr>
      <w:r w:rsidRPr="007022CB">
        <w:rPr>
          <w:lang w:eastAsia="zh-CN"/>
        </w:rPr>
        <w:t>2.</w:t>
      </w:r>
      <w:r w:rsidRPr="007022CB">
        <w:rPr>
          <w:lang w:eastAsia="zh-CN"/>
        </w:rPr>
        <w:tab/>
      </w:r>
      <w:r w:rsidRPr="007022CB">
        <w:rPr>
          <w:rFonts w:hint="eastAsia"/>
          <w:lang w:eastAsia="zh-CN"/>
        </w:rPr>
        <w:t xml:space="preserve">To welcome </w:t>
      </w:r>
      <w:r w:rsidRPr="002D2B28">
        <w:rPr>
          <w:lang w:eastAsia="zh-CN"/>
        </w:rPr>
        <w:t>the undertaking from China to cease the use of carbon tetrachloride for the testing of oil, grease and total petroleum hydrocarbons</w:t>
      </w:r>
      <w:r w:rsidRPr="007022CB">
        <w:rPr>
          <w:lang w:eastAsia="zh-CN"/>
        </w:rPr>
        <w:t xml:space="preserve"> in water from 2019 onwards</w:t>
      </w:r>
      <w:r w:rsidR="009079F4">
        <w:rPr>
          <w:lang w:eastAsia="zh-CN"/>
        </w:rPr>
        <w:t>;</w:t>
      </w:r>
    </w:p>
    <w:p w:rsidR="008D6111" w:rsidRPr="004E7D79" w:rsidRDefault="008D6111" w:rsidP="004E7D79">
      <w:pPr>
        <w:pStyle w:val="CH2"/>
        <w:ind w:hanging="254"/>
        <w:outlineLvl w:val="0"/>
        <w:rPr>
          <w:lang w:eastAsia="zh-CN"/>
        </w:rPr>
      </w:pPr>
      <w:r w:rsidRPr="004E7D79">
        <w:rPr>
          <w:lang w:eastAsia="zh-CN"/>
        </w:rPr>
        <w:lastRenderedPageBreak/>
        <w:tab/>
        <w:t>Annex to decision XXIX/</w:t>
      </w:r>
      <w:r w:rsidR="00F65FC9" w:rsidRPr="004E7D79">
        <w:rPr>
          <w:lang w:eastAsia="zh-CN"/>
        </w:rPr>
        <w:t>5</w:t>
      </w:r>
    </w:p>
    <w:p w:rsidR="008D6111" w:rsidRPr="004E7D79" w:rsidRDefault="008D6111" w:rsidP="004E7D79">
      <w:pPr>
        <w:pStyle w:val="CH2"/>
        <w:ind w:hanging="254"/>
        <w:rPr>
          <w:lang w:eastAsia="zh-CN"/>
        </w:rPr>
      </w:pPr>
      <w:r w:rsidRPr="004E7D79">
        <w:tab/>
      </w:r>
      <w:r w:rsidRPr="004E7D79">
        <w:rPr>
          <w:lang w:eastAsia="zh-CN"/>
        </w:rPr>
        <w:t xml:space="preserve">Essential-use authorization for 2018 for carbon tetrachloride for the testing of oil, grease and total petroleum hydrocarbons in water </w:t>
      </w:r>
    </w:p>
    <w:p w:rsidR="008D6111" w:rsidRPr="004E7D79" w:rsidRDefault="00B7417A" w:rsidP="004E7D79">
      <w:pPr>
        <w:keepNext/>
        <w:keepLines/>
        <w:tabs>
          <w:tab w:val="clear" w:pos="1247"/>
          <w:tab w:val="clear" w:pos="1814"/>
          <w:tab w:val="clear" w:pos="2381"/>
          <w:tab w:val="clear" w:pos="2948"/>
          <w:tab w:val="clear" w:pos="3515"/>
          <w:tab w:val="left" w:pos="4082"/>
        </w:tabs>
        <w:spacing w:after="120"/>
        <w:ind w:left="1247"/>
        <w:rPr>
          <w:sz w:val="17"/>
          <w:szCs w:val="17"/>
          <w:lang w:eastAsia="zh-CN"/>
        </w:rPr>
      </w:pPr>
      <w:r>
        <w:rPr>
          <w:sz w:val="17"/>
          <w:szCs w:val="17"/>
          <w:lang w:eastAsia="zh-CN"/>
        </w:rPr>
        <w:t>(</w:t>
      </w:r>
      <w:proofErr w:type="gramStart"/>
      <w:r w:rsidR="008D6111" w:rsidRPr="004E7D79">
        <w:rPr>
          <w:sz w:val="17"/>
          <w:szCs w:val="17"/>
          <w:lang w:eastAsia="zh-CN"/>
        </w:rPr>
        <w:t>tonnes)</w:t>
      </w:r>
      <w:proofErr w:type="gramEnd"/>
      <w:r w:rsidR="009634A6" w:rsidRPr="00715700">
        <w:rPr>
          <w:sz w:val="17"/>
          <w:szCs w:val="17"/>
          <w:vertAlign w:val="superscript"/>
          <w:lang w:eastAsia="zh-CN"/>
        </w:rPr>
        <w:t>a</w:t>
      </w:r>
    </w:p>
    <w:tbl>
      <w:tblPr>
        <w:tblW w:w="0" w:type="auto"/>
        <w:tblInd w:w="1384" w:type="dxa"/>
        <w:tblLook w:val="04A0" w:firstRow="1" w:lastRow="0" w:firstColumn="1" w:lastColumn="0" w:noHBand="0" w:noVBand="1"/>
      </w:tblPr>
      <w:tblGrid>
        <w:gridCol w:w="3969"/>
        <w:gridCol w:w="4253"/>
      </w:tblGrid>
      <w:tr w:rsidR="008D6111" w:rsidRPr="002C0063" w:rsidTr="008D6111">
        <w:trPr>
          <w:trHeight w:val="227"/>
        </w:trPr>
        <w:tc>
          <w:tcPr>
            <w:tcW w:w="3969" w:type="dxa"/>
            <w:tcBorders>
              <w:top w:val="single" w:sz="4" w:space="0" w:color="auto"/>
              <w:bottom w:val="single" w:sz="12" w:space="0" w:color="auto"/>
            </w:tcBorders>
            <w:shd w:val="clear" w:color="auto" w:fill="auto"/>
            <w:vAlign w:val="bottom"/>
          </w:tcPr>
          <w:p w:rsidR="008D6111" w:rsidRPr="006768A7" w:rsidRDefault="008D6111" w:rsidP="004E7D79">
            <w:pPr>
              <w:keepNext/>
              <w:keepLines/>
              <w:widowControl w:val="0"/>
              <w:tabs>
                <w:tab w:val="left" w:pos="0"/>
                <w:tab w:val="left" w:pos="624"/>
                <w:tab w:val="left" w:pos="993"/>
                <w:tab w:val="left" w:pos="1871"/>
                <w:tab w:val="left" w:pos="2495"/>
                <w:tab w:val="left" w:pos="3119"/>
                <w:tab w:val="left" w:pos="3742"/>
              </w:tabs>
              <w:spacing w:before="40" w:after="40" w:line="276" w:lineRule="auto"/>
              <w:ind w:firstLine="567"/>
              <w:jc w:val="both"/>
              <w:rPr>
                <w:bCs/>
                <w:i/>
              </w:rPr>
            </w:pPr>
            <w:r w:rsidRPr="004E7D79">
              <w:rPr>
                <w:i/>
                <w:kern w:val="3"/>
                <w:sz w:val="18"/>
              </w:rPr>
              <w:t>Party</w:t>
            </w:r>
            <w:r w:rsidRPr="006768A7">
              <w:rPr>
                <w:bCs/>
                <w:i/>
              </w:rPr>
              <w:t xml:space="preserve"> </w:t>
            </w:r>
          </w:p>
        </w:tc>
        <w:tc>
          <w:tcPr>
            <w:tcW w:w="4253" w:type="dxa"/>
            <w:tcBorders>
              <w:top w:val="single" w:sz="4" w:space="0" w:color="auto"/>
              <w:bottom w:val="single" w:sz="12" w:space="0" w:color="auto"/>
            </w:tcBorders>
            <w:shd w:val="clear" w:color="auto" w:fill="auto"/>
            <w:vAlign w:val="bottom"/>
          </w:tcPr>
          <w:p w:rsidR="008D6111" w:rsidRPr="006768A7" w:rsidRDefault="008D6111" w:rsidP="004E7D79">
            <w:pPr>
              <w:keepNext/>
              <w:keepLines/>
              <w:widowControl w:val="0"/>
              <w:tabs>
                <w:tab w:val="left" w:pos="0"/>
                <w:tab w:val="left" w:pos="624"/>
                <w:tab w:val="left" w:pos="993"/>
                <w:tab w:val="left" w:pos="1871"/>
                <w:tab w:val="left" w:pos="2495"/>
                <w:tab w:val="left" w:pos="3119"/>
                <w:tab w:val="left" w:pos="3742"/>
              </w:tabs>
              <w:spacing w:before="40" w:after="40" w:line="276" w:lineRule="auto"/>
              <w:ind w:firstLine="567"/>
              <w:jc w:val="both"/>
              <w:rPr>
                <w:bCs/>
                <w:i/>
                <w:lang w:eastAsia="zh-CN"/>
              </w:rPr>
            </w:pPr>
            <w:r w:rsidRPr="006768A7">
              <w:rPr>
                <w:bCs/>
                <w:i/>
                <w:lang w:eastAsia="zh-CN"/>
              </w:rPr>
              <w:t>2018</w:t>
            </w:r>
          </w:p>
        </w:tc>
      </w:tr>
      <w:tr w:rsidR="008D6111" w:rsidRPr="002C0063" w:rsidTr="008D6111">
        <w:trPr>
          <w:trHeight w:val="260"/>
        </w:trPr>
        <w:tc>
          <w:tcPr>
            <w:tcW w:w="3969" w:type="dxa"/>
            <w:tcBorders>
              <w:top w:val="single" w:sz="12" w:space="0" w:color="auto"/>
              <w:bottom w:val="single" w:sz="12" w:space="0" w:color="auto"/>
            </w:tcBorders>
            <w:shd w:val="clear" w:color="auto" w:fill="auto"/>
            <w:vAlign w:val="bottom"/>
          </w:tcPr>
          <w:p w:rsidR="008D6111" w:rsidRPr="006768A7" w:rsidRDefault="008D6111" w:rsidP="004E7D79">
            <w:pPr>
              <w:keepNext/>
              <w:keepLines/>
              <w:widowControl w:val="0"/>
              <w:tabs>
                <w:tab w:val="left" w:pos="0"/>
                <w:tab w:val="left" w:pos="624"/>
                <w:tab w:val="left" w:pos="993"/>
                <w:tab w:val="left" w:pos="1871"/>
                <w:tab w:val="left" w:pos="2495"/>
                <w:tab w:val="left" w:pos="3119"/>
                <w:tab w:val="left" w:pos="3742"/>
              </w:tabs>
              <w:spacing w:before="40" w:after="40" w:line="276" w:lineRule="auto"/>
              <w:ind w:firstLine="567"/>
              <w:jc w:val="both"/>
              <w:rPr>
                <w:bCs/>
              </w:rPr>
            </w:pPr>
            <w:r w:rsidRPr="006768A7">
              <w:rPr>
                <w:bCs/>
              </w:rPr>
              <w:t>China</w:t>
            </w:r>
          </w:p>
        </w:tc>
        <w:tc>
          <w:tcPr>
            <w:tcW w:w="4253" w:type="dxa"/>
            <w:tcBorders>
              <w:top w:val="single" w:sz="12" w:space="0" w:color="auto"/>
              <w:bottom w:val="single" w:sz="12" w:space="0" w:color="auto"/>
            </w:tcBorders>
            <w:shd w:val="clear" w:color="auto" w:fill="auto"/>
            <w:vAlign w:val="bottom"/>
          </w:tcPr>
          <w:p w:rsidR="008D6111" w:rsidRPr="006768A7" w:rsidRDefault="008D6111" w:rsidP="004E7D79">
            <w:pPr>
              <w:keepNext/>
              <w:keepLines/>
              <w:widowControl w:val="0"/>
              <w:tabs>
                <w:tab w:val="left" w:pos="0"/>
                <w:tab w:val="left" w:pos="624"/>
                <w:tab w:val="left" w:pos="993"/>
                <w:tab w:val="left" w:pos="1871"/>
                <w:tab w:val="left" w:pos="2495"/>
                <w:tab w:val="left" w:pos="3119"/>
                <w:tab w:val="left" w:pos="3742"/>
              </w:tabs>
              <w:spacing w:before="40" w:after="40" w:line="276" w:lineRule="auto"/>
              <w:ind w:firstLine="567"/>
              <w:jc w:val="both"/>
              <w:rPr>
                <w:bCs/>
                <w:lang w:eastAsia="zh-CN"/>
              </w:rPr>
            </w:pPr>
            <w:r w:rsidRPr="006768A7">
              <w:rPr>
                <w:bCs/>
                <w:lang w:eastAsia="zh-CN"/>
              </w:rPr>
              <w:t xml:space="preserve"> 65</w:t>
            </w:r>
          </w:p>
        </w:tc>
      </w:tr>
    </w:tbl>
    <w:p w:rsidR="008D6111" w:rsidRPr="002C0063" w:rsidRDefault="009634A6" w:rsidP="008D6111">
      <w:pPr>
        <w:pStyle w:val="NormalNonumber"/>
        <w:keepNext/>
        <w:tabs>
          <w:tab w:val="left" w:pos="624"/>
        </w:tabs>
        <w:ind w:firstLine="240"/>
        <w:rPr>
          <w:lang w:val="en"/>
        </w:rPr>
      </w:pPr>
      <w:proofErr w:type="gramStart"/>
      <w:r w:rsidRPr="00715700">
        <w:rPr>
          <w:vertAlign w:val="superscript"/>
          <w:lang w:val="en"/>
        </w:rPr>
        <w:t>a</w:t>
      </w:r>
      <w:proofErr w:type="gramEnd"/>
      <w:r>
        <w:rPr>
          <w:lang w:val="en"/>
        </w:rPr>
        <w:t xml:space="preserve"> T</w:t>
      </w:r>
      <w:r w:rsidRPr="00715700">
        <w:rPr>
          <w:sz w:val="18"/>
          <w:szCs w:val="18"/>
          <w:lang w:val="en"/>
        </w:rPr>
        <w:t>onnes = metric tons.</w:t>
      </w:r>
    </w:p>
    <w:p w:rsidR="008D6111" w:rsidRPr="00693FED" w:rsidRDefault="008D6111" w:rsidP="00F65FC9">
      <w:pPr>
        <w:pStyle w:val="CH1"/>
        <w:tabs>
          <w:tab w:val="left" w:pos="624"/>
          <w:tab w:val="left" w:pos="1871"/>
          <w:tab w:val="left" w:pos="2495"/>
          <w:tab w:val="left" w:pos="3119"/>
          <w:tab w:val="left" w:pos="4082"/>
        </w:tabs>
        <w:ind w:left="0" w:right="0" w:firstLine="0"/>
        <w:rPr>
          <w:sz w:val="24"/>
          <w:szCs w:val="24"/>
        </w:rPr>
      </w:pPr>
      <w:r>
        <w:rPr>
          <w:sz w:val="24"/>
          <w:szCs w:val="24"/>
        </w:rPr>
        <w:tab/>
      </w:r>
      <w:r>
        <w:rPr>
          <w:sz w:val="24"/>
          <w:szCs w:val="24"/>
        </w:rPr>
        <w:tab/>
      </w:r>
      <w:r>
        <w:rPr>
          <w:sz w:val="24"/>
          <w:szCs w:val="24"/>
        </w:rPr>
        <w:tab/>
        <w:t xml:space="preserve">Decision XXIX/6: </w:t>
      </w:r>
      <w:r w:rsidRPr="00693FED">
        <w:rPr>
          <w:sz w:val="24"/>
          <w:szCs w:val="24"/>
        </w:rPr>
        <w:t>Critical-use exemptions for methyl bromide for 2018 and 2019</w:t>
      </w:r>
    </w:p>
    <w:p w:rsidR="008D6111" w:rsidRPr="007A5D71" w:rsidRDefault="008D6111" w:rsidP="004E7D79">
      <w:pPr>
        <w:pStyle w:val="Normalpool"/>
        <w:tabs>
          <w:tab w:val="clear" w:pos="1253"/>
          <w:tab w:val="clear" w:pos="1814"/>
          <w:tab w:val="clear" w:pos="2376"/>
          <w:tab w:val="clear" w:pos="2952"/>
          <w:tab w:val="clear" w:pos="3514"/>
          <w:tab w:val="left" w:pos="624"/>
        </w:tabs>
        <w:spacing w:after="120"/>
        <w:ind w:left="1247" w:firstLine="624"/>
        <w:rPr>
          <w:lang w:val="en" w:eastAsia="en-AU"/>
        </w:rPr>
      </w:pPr>
      <w:r w:rsidRPr="007A5D71">
        <w:rPr>
          <w:i/>
          <w:iCs/>
          <w:lang w:val="en" w:eastAsia="en-AU"/>
        </w:rPr>
        <w:t xml:space="preserve">Noting with appreciation </w:t>
      </w:r>
      <w:r w:rsidRPr="007A5D71">
        <w:rPr>
          <w:lang w:val="en" w:eastAsia="en-AU"/>
        </w:rPr>
        <w:t>the work of the Technology and Economic Assessment Panel and its Methyl Bromide Technical Options Committee,</w:t>
      </w:r>
    </w:p>
    <w:p w:rsidR="008D6111" w:rsidRPr="007A5D71" w:rsidRDefault="008D6111" w:rsidP="004E7D79">
      <w:pPr>
        <w:pStyle w:val="Normalpool"/>
        <w:tabs>
          <w:tab w:val="clear" w:pos="1253"/>
          <w:tab w:val="clear" w:pos="1814"/>
          <w:tab w:val="clear" w:pos="2376"/>
          <w:tab w:val="clear" w:pos="2952"/>
          <w:tab w:val="clear" w:pos="3514"/>
          <w:tab w:val="left" w:pos="624"/>
        </w:tabs>
        <w:spacing w:after="120"/>
        <w:ind w:left="1247" w:firstLine="624"/>
        <w:rPr>
          <w:color w:val="222222"/>
          <w:lang w:val="en" w:eastAsia="en-AU"/>
        </w:rPr>
      </w:pPr>
      <w:r w:rsidRPr="007A5D71">
        <w:rPr>
          <w:i/>
          <w:iCs/>
          <w:color w:val="222222"/>
          <w:lang w:val="en" w:eastAsia="en-AU"/>
        </w:rPr>
        <w:t xml:space="preserve">Recognizing </w:t>
      </w:r>
      <w:r w:rsidRPr="007A5D71">
        <w:rPr>
          <w:color w:val="222222"/>
          <w:lang w:val="en" w:eastAsia="en-AU"/>
        </w:rPr>
        <w:t xml:space="preserve">the significant </w:t>
      </w:r>
      <w:r w:rsidRPr="001664CF">
        <w:rPr>
          <w:iCs/>
          <w:lang w:val="en" w:eastAsia="en-AU"/>
        </w:rPr>
        <w:t>reductions</w:t>
      </w:r>
      <w:r w:rsidRPr="007A5D71">
        <w:rPr>
          <w:color w:val="222222"/>
          <w:lang w:val="en" w:eastAsia="en-AU"/>
        </w:rPr>
        <w:t xml:space="preserve"> in critical-use nominations for methyl bromide by many parties,</w:t>
      </w:r>
    </w:p>
    <w:p w:rsidR="008D6111" w:rsidRPr="007A5D71" w:rsidRDefault="008D6111" w:rsidP="004E7D79">
      <w:pPr>
        <w:pStyle w:val="Normalpool"/>
        <w:tabs>
          <w:tab w:val="clear" w:pos="1253"/>
          <w:tab w:val="clear" w:pos="1814"/>
          <w:tab w:val="clear" w:pos="2376"/>
          <w:tab w:val="clear" w:pos="2952"/>
          <w:tab w:val="clear" w:pos="3514"/>
          <w:tab w:val="left" w:pos="624"/>
        </w:tabs>
        <w:spacing w:after="120"/>
        <w:ind w:left="1247" w:firstLine="624"/>
        <w:rPr>
          <w:color w:val="222222"/>
          <w:lang w:val="en" w:eastAsia="en-AU"/>
        </w:rPr>
      </w:pPr>
      <w:r w:rsidRPr="007A5D71">
        <w:rPr>
          <w:i/>
          <w:iCs/>
          <w:color w:val="222222"/>
          <w:lang w:val="en" w:eastAsia="en-AU"/>
        </w:rPr>
        <w:t xml:space="preserve">Recalling </w:t>
      </w:r>
      <w:r w:rsidRPr="007A5D71">
        <w:rPr>
          <w:color w:val="222222"/>
          <w:lang w:val="en" w:eastAsia="en-AU"/>
        </w:rPr>
        <w:t xml:space="preserve">paragraph 10 of </w:t>
      </w:r>
      <w:r w:rsidRPr="001664CF">
        <w:rPr>
          <w:iCs/>
          <w:lang w:val="en" w:eastAsia="en-AU"/>
        </w:rPr>
        <w:t>decision</w:t>
      </w:r>
      <w:r w:rsidRPr="007A5D71">
        <w:rPr>
          <w:color w:val="222222"/>
          <w:lang w:val="en" w:eastAsia="en-AU"/>
        </w:rPr>
        <w:t xml:space="preserve"> XVII/9,</w:t>
      </w:r>
    </w:p>
    <w:p w:rsidR="008D6111" w:rsidRPr="007A5D71" w:rsidRDefault="008D6111" w:rsidP="004E7D79">
      <w:pPr>
        <w:pStyle w:val="Normalpool"/>
        <w:tabs>
          <w:tab w:val="clear" w:pos="1253"/>
          <w:tab w:val="clear" w:pos="1814"/>
          <w:tab w:val="clear" w:pos="2376"/>
          <w:tab w:val="clear" w:pos="2952"/>
          <w:tab w:val="clear" w:pos="3514"/>
          <w:tab w:val="left" w:pos="624"/>
        </w:tabs>
        <w:spacing w:after="120"/>
        <w:ind w:left="1247" w:firstLine="624"/>
        <w:rPr>
          <w:color w:val="222222"/>
          <w:lang w:val="en" w:eastAsia="en-AU"/>
        </w:rPr>
      </w:pPr>
      <w:r w:rsidRPr="007A5D71">
        <w:rPr>
          <w:i/>
          <w:iCs/>
          <w:color w:val="222222"/>
          <w:lang w:val="en" w:eastAsia="en-AU"/>
        </w:rPr>
        <w:t xml:space="preserve">Recalling also </w:t>
      </w:r>
      <w:r w:rsidRPr="007A5D71">
        <w:rPr>
          <w:color w:val="222222"/>
          <w:lang w:val="en" w:eastAsia="en-AU"/>
        </w:rPr>
        <w:t xml:space="preserve">that all parties that have nominated critical-use exemptions are to report data on stocks of methyl bromide using the accounting </w:t>
      </w:r>
      <w:r w:rsidRPr="001664CF">
        <w:rPr>
          <w:iCs/>
          <w:lang w:val="en" w:eastAsia="en-AU"/>
        </w:rPr>
        <w:t>framework</w:t>
      </w:r>
      <w:r w:rsidRPr="007A5D71">
        <w:rPr>
          <w:color w:val="222222"/>
          <w:lang w:val="en" w:eastAsia="en-AU"/>
        </w:rPr>
        <w:t xml:space="preserve"> agreed to by the Sixteenth Meeting of the Parties,</w:t>
      </w:r>
    </w:p>
    <w:p w:rsidR="008D6111" w:rsidRPr="007A5D71" w:rsidRDefault="008D6111" w:rsidP="004E7D79">
      <w:pPr>
        <w:pStyle w:val="Normalpool"/>
        <w:tabs>
          <w:tab w:val="clear" w:pos="1253"/>
          <w:tab w:val="clear" w:pos="1814"/>
          <w:tab w:val="clear" w:pos="2376"/>
          <w:tab w:val="clear" w:pos="2952"/>
          <w:tab w:val="clear" w:pos="3514"/>
          <w:tab w:val="left" w:pos="624"/>
        </w:tabs>
        <w:spacing w:after="120"/>
        <w:ind w:left="1247" w:firstLine="624"/>
        <w:rPr>
          <w:color w:val="222222"/>
          <w:lang w:val="en" w:eastAsia="en-AU"/>
        </w:rPr>
      </w:pPr>
      <w:r w:rsidRPr="007A5D71">
        <w:rPr>
          <w:i/>
          <w:iCs/>
          <w:color w:val="222222"/>
          <w:lang w:val="en" w:eastAsia="en-AU"/>
        </w:rPr>
        <w:t>Recognizing</w:t>
      </w:r>
      <w:r w:rsidRPr="007A5D71">
        <w:rPr>
          <w:color w:val="222222"/>
          <w:lang w:val="en" w:eastAsia="en-AU"/>
        </w:rPr>
        <w:t xml:space="preserve"> that the production and consumption of methyl bromide for critical uses should be permitted only if methyl bromide is not available in sufficient quantity and quality from existing stocks of banked or recycled methyl bromide,</w:t>
      </w:r>
    </w:p>
    <w:p w:rsidR="008D6111" w:rsidRPr="007A5D71" w:rsidRDefault="008D6111" w:rsidP="004E7D79">
      <w:pPr>
        <w:pStyle w:val="Normalpool"/>
        <w:tabs>
          <w:tab w:val="clear" w:pos="1253"/>
          <w:tab w:val="clear" w:pos="1814"/>
          <w:tab w:val="clear" w:pos="2376"/>
          <w:tab w:val="clear" w:pos="2952"/>
          <w:tab w:val="clear" w:pos="3514"/>
          <w:tab w:val="left" w:pos="624"/>
        </w:tabs>
        <w:spacing w:after="120"/>
        <w:ind w:left="1247" w:firstLine="624"/>
        <w:rPr>
          <w:color w:val="222222"/>
          <w:lang w:val="en" w:eastAsia="en-AU"/>
        </w:rPr>
      </w:pPr>
      <w:r w:rsidRPr="007A5D71">
        <w:rPr>
          <w:i/>
          <w:iCs/>
          <w:color w:val="222222"/>
          <w:lang w:val="en" w:eastAsia="en-AU"/>
        </w:rPr>
        <w:t>Recognizing also</w:t>
      </w:r>
      <w:r w:rsidRPr="007A5D71">
        <w:rPr>
          <w:color w:val="222222"/>
          <w:lang w:val="en" w:eastAsia="en-AU"/>
        </w:rPr>
        <w:t xml:space="preserve"> that parties operating under critical-use exemptions should take into account the extent to which methyl bromide is </w:t>
      </w:r>
      <w:r w:rsidRPr="001664CF">
        <w:rPr>
          <w:iCs/>
          <w:lang w:val="en" w:eastAsia="en-AU"/>
        </w:rPr>
        <w:t>available</w:t>
      </w:r>
      <w:r w:rsidRPr="007A5D71">
        <w:rPr>
          <w:color w:val="222222"/>
          <w:lang w:val="en" w:eastAsia="en-AU"/>
        </w:rPr>
        <w:t xml:space="preserve"> in sufficient quantity and quality from existing stocks of banked or recycled methyl bromide in licensing, permitting or authorizing the production and consumption of methyl bromide for critical uses,</w:t>
      </w:r>
    </w:p>
    <w:p w:rsidR="008D6111" w:rsidRPr="007A5D71" w:rsidRDefault="008D6111" w:rsidP="004E7D79">
      <w:pPr>
        <w:pStyle w:val="Normalpool"/>
        <w:tabs>
          <w:tab w:val="clear" w:pos="1253"/>
          <w:tab w:val="clear" w:pos="1814"/>
          <w:tab w:val="clear" w:pos="2376"/>
          <w:tab w:val="clear" w:pos="2952"/>
          <w:tab w:val="clear" w:pos="3514"/>
          <w:tab w:val="left" w:pos="624"/>
        </w:tabs>
        <w:spacing w:after="120"/>
        <w:ind w:left="1247" w:firstLine="624"/>
        <w:rPr>
          <w:color w:val="222222"/>
          <w:lang w:val="en" w:eastAsia="en-AU"/>
        </w:rPr>
      </w:pPr>
      <w:r w:rsidRPr="007A5D71">
        <w:rPr>
          <w:i/>
          <w:iCs/>
          <w:color w:val="222222"/>
          <w:lang w:val="en" w:eastAsia="en-AU"/>
        </w:rPr>
        <w:t xml:space="preserve">Recalling </w:t>
      </w:r>
      <w:r w:rsidRPr="007A5D71">
        <w:rPr>
          <w:color w:val="222222"/>
          <w:lang w:val="en" w:eastAsia="en-AU"/>
        </w:rPr>
        <w:t xml:space="preserve">decision Ex.I/4, </w:t>
      </w:r>
      <w:r>
        <w:rPr>
          <w:color w:val="222222"/>
          <w:lang w:val="en" w:eastAsia="en-AU"/>
        </w:rPr>
        <w:t xml:space="preserve">by </w:t>
      </w:r>
      <w:r w:rsidRPr="007A5D71">
        <w:rPr>
          <w:color w:val="222222"/>
          <w:lang w:val="en" w:eastAsia="en-AU"/>
        </w:rPr>
        <w:t xml:space="preserve">which parties with critical-use exemptions </w:t>
      </w:r>
      <w:r>
        <w:rPr>
          <w:color w:val="222222"/>
          <w:lang w:val="en" w:eastAsia="en-AU"/>
        </w:rPr>
        <w:t xml:space="preserve">were requested </w:t>
      </w:r>
      <w:r w:rsidRPr="007A5D71">
        <w:rPr>
          <w:color w:val="222222"/>
          <w:lang w:val="en" w:eastAsia="en-AU"/>
        </w:rPr>
        <w:t>to submit annual accounting frameworks,</w:t>
      </w:r>
    </w:p>
    <w:p w:rsidR="008D6111" w:rsidRPr="007A5D71" w:rsidRDefault="008D6111" w:rsidP="004E7D79">
      <w:pPr>
        <w:pStyle w:val="Normalpool"/>
        <w:tabs>
          <w:tab w:val="clear" w:pos="1253"/>
          <w:tab w:val="clear" w:pos="1814"/>
          <w:tab w:val="clear" w:pos="2376"/>
          <w:tab w:val="clear" w:pos="2952"/>
          <w:tab w:val="clear" w:pos="3514"/>
          <w:tab w:val="left" w:pos="624"/>
        </w:tabs>
        <w:spacing w:after="120"/>
        <w:ind w:left="1247" w:firstLine="624"/>
        <w:rPr>
          <w:color w:val="222222"/>
          <w:lang w:val="en" w:eastAsia="en-AU"/>
        </w:rPr>
      </w:pPr>
      <w:r w:rsidRPr="001664CF">
        <w:rPr>
          <w:i/>
          <w:color w:val="222222"/>
          <w:lang w:val="en" w:eastAsia="en-AU"/>
        </w:rPr>
        <w:t>Noting</w:t>
      </w:r>
      <w:r w:rsidRPr="007A5D71">
        <w:rPr>
          <w:color w:val="222222"/>
          <w:lang w:val="en" w:eastAsia="en-AU"/>
        </w:rPr>
        <w:t xml:space="preserve"> the progress made under the research programme </w:t>
      </w:r>
      <w:r>
        <w:rPr>
          <w:color w:val="222222"/>
          <w:lang w:val="en" w:eastAsia="en-AU"/>
        </w:rPr>
        <w:t xml:space="preserve">of the </w:t>
      </w:r>
      <w:r w:rsidRPr="007A5D71">
        <w:rPr>
          <w:color w:val="222222"/>
          <w:lang w:val="en" w:eastAsia="en-AU"/>
        </w:rPr>
        <w:t xml:space="preserve">Australian strawberry runner industry and </w:t>
      </w:r>
      <w:r>
        <w:rPr>
          <w:color w:val="222222"/>
          <w:lang w:val="en" w:eastAsia="en-AU"/>
        </w:rPr>
        <w:t xml:space="preserve">that </w:t>
      </w:r>
      <w:r w:rsidRPr="007A5D71">
        <w:rPr>
          <w:color w:val="222222"/>
          <w:lang w:val="en" w:eastAsia="en-AU"/>
        </w:rPr>
        <w:t xml:space="preserve">Australia is planning to move to alternatives if trials in 2018 and 2019 are successful and </w:t>
      </w:r>
      <w:r>
        <w:rPr>
          <w:color w:val="222222"/>
          <w:lang w:val="en" w:eastAsia="en-AU"/>
        </w:rPr>
        <w:t xml:space="preserve">the </w:t>
      </w:r>
      <w:r w:rsidRPr="007A5D71">
        <w:rPr>
          <w:color w:val="222222"/>
          <w:lang w:val="en" w:eastAsia="en-AU"/>
        </w:rPr>
        <w:t>registration of the alternatives is completed</w:t>
      </w:r>
      <w:r>
        <w:rPr>
          <w:color w:val="222222"/>
          <w:lang w:val="en" w:eastAsia="en-AU"/>
        </w:rPr>
        <w:t>,</w:t>
      </w:r>
    </w:p>
    <w:p w:rsidR="008D6111" w:rsidRPr="007A5D71" w:rsidRDefault="008D6111" w:rsidP="004E7D79">
      <w:pPr>
        <w:pStyle w:val="Normalpool"/>
        <w:tabs>
          <w:tab w:val="clear" w:pos="1253"/>
          <w:tab w:val="clear" w:pos="1814"/>
          <w:tab w:val="clear" w:pos="2376"/>
          <w:tab w:val="clear" w:pos="2952"/>
          <w:tab w:val="clear" w:pos="3514"/>
          <w:tab w:val="left" w:pos="624"/>
        </w:tabs>
        <w:spacing w:after="120"/>
        <w:ind w:left="1247" w:firstLine="624"/>
        <w:rPr>
          <w:color w:val="222222"/>
          <w:lang w:val="en" w:eastAsia="en-AU"/>
        </w:rPr>
      </w:pPr>
      <w:r w:rsidRPr="001664CF">
        <w:rPr>
          <w:i/>
          <w:color w:val="222222"/>
          <w:lang w:val="en" w:eastAsia="en-AU"/>
        </w:rPr>
        <w:t>Noting</w:t>
      </w:r>
      <w:r w:rsidRPr="007A5D71">
        <w:rPr>
          <w:color w:val="222222"/>
          <w:lang w:val="en" w:eastAsia="en-AU"/>
        </w:rPr>
        <w:t xml:space="preserve"> </w:t>
      </w:r>
      <w:r w:rsidRPr="00DB5077">
        <w:rPr>
          <w:i/>
          <w:color w:val="222222"/>
          <w:lang w:val="en" w:eastAsia="en-AU"/>
        </w:rPr>
        <w:t>also</w:t>
      </w:r>
      <w:r>
        <w:rPr>
          <w:color w:val="222222"/>
          <w:lang w:val="en" w:eastAsia="en-AU"/>
        </w:rPr>
        <w:t xml:space="preserve"> </w:t>
      </w:r>
      <w:r w:rsidRPr="007A5D71">
        <w:rPr>
          <w:color w:val="222222"/>
          <w:lang w:val="en" w:eastAsia="en-AU"/>
        </w:rPr>
        <w:t xml:space="preserve">the progress made under the Canadian research programme and </w:t>
      </w:r>
      <w:r>
        <w:rPr>
          <w:color w:val="222222"/>
          <w:lang w:val="en" w:eastAsia="en-AU"/>
        </w:rPr>
        <w:t>the</w:t>
      </w:r>
      <w:r w:rsidRPr="007A5D71">
        <w:rPr>
          <w:color w:val="222222"/>
          <w:lang w:val="en" w:eastAsia="en-AU"/>
        </w:rPr>
        <w:t xml:space="preserve"> commitment</w:t>
      </w:r>
      <w:r>
        <w:rPr>
          <w:color w:val="222222"/>
          <w:lang w:val="en" w:eastAsia="en-AU"/>
        </w:rPr>
        <w:t xml:space="preserve"> of Canada</w:t>
      </w:r>
      <w:r w:rsidRPr="007A5D71">
        <w:rPr>
          <w:color w:val="222222"/>
          <w:lang w:val="en" w:eastAsia="en-AU"/>
        </w:rPr>
        <w:t xml:space="preserve"> to submit</w:t>
      </w:r>
      <w:r>
        <w:rPr>
          <w:color w:val="222222"/>
          <w:lang w:val="en" w:eastAsia="en-AU"/>
        </w:rPr>
        <w:t>ting</w:t>
      </w:r>
      <w:r w:rsidRPr="007A5D71">
        <w:rPr>
          <w:color w:val="222222"/>
          <w:lang w:val="en" w:eastAsia="en-AU"/>
        </w:rPr>
        <w:t xml:space="preserve"> a progress report before the </w:t>
      </w:r>
      <w:r>
        <w:rPr>
          <w:color w:val="222222"/>
          <w:lang w:val="en" w:eastAsia="en-AU"/>
        </w:rPr>
        <w:t>f</w:t>
      </w:r>
      <w:r w:rsidRPr="007A5D71">
        <w:rPr>
          <w:color w:val="222222"/>
          <w:lang w:val="en" w:eastAsia="en-AU"/>
        </w:rPr>
        <w:t xml:space="preserve">ortieth </w:t>
      </w:r>
      <w:r>
        <w:rPr>
          <w:color w:val="222222"/>
          <w:lang w:val="en" w:eastAsia="en-AU"/>
        </w:rPr>
        <w:t xml:space="preserve">meeting of the </w:t>
      </w:r>
      <w:r w:rsidRPr="007A5D71">
        <w:rPr>
          <w:color w:val="222222"/>
          <w:lang w:val="en" w:eastAsia="en-AU"/>
        </w:rPr>
        <w:t>Open-end</w:t>
      </w:r>
      <w:r>
        <w:rPr>
          <w:color w:val="222222"/>
          <w:lang w:val="en" w:eastAsia="en-AU"/>
        </w:rPr>
        <w:t>ed</w:t>
      </w:r>
      <w:r w:rsidRPr="007A5D71">
        <w:rPr>
          <w:color w:val="222222"/>
          <w:lang w:val="en" w:eastAsia="en-AU"/>
        </w:rPr>
        <w:t xml:space="preserve"> Working Group</w:t>
      </w:r>
      <w:r>
        <w:rPr>
          <w:color w:val="222222"/>
          <w:lang w:val="en" w:eastAsia="en-AU"/>
        </w:rPr>
        <w:t>,</w:t>
      </w:r>
      <w:r w:rsidRPr="007A5D71">
        <w:rPr>
          <w:color w:val="222222"/>
          <w:lang w:val="en" w:eastAsia="en-AU"/>
        </w:rPr>
        <w:t xml:space="preserve"> </w:t>
      </w:r>
    </w:p>
    <w:p w:rsidR="008D6111" w:rsidRPr="007A5D71" w:rsidRDefault="008D6111" w:rsidP="004E7D79">
      <w:pPr>
        <w:pStyle w:val="Normalpool"/>
        <w:tabs>
          <w:tab w:val="clear" w:pos="1253"/>
          <w:tab w:val="clear" w:pos="1814"/>
          <w:tab w:val="clear" w:pos="2376"/>
          <w:tab w:val="clear" w:pos="2952"/>
          <w:tab w:val="clear" w:pos="3514"/>
          <w:tab w:val="left" w:pos="624"/>
        </w:tabs>
        <w:spacing w:after="120"/>
        <w:ind w:left="1247" w:firstLine="624"/>
        <w:rPr>
          <w:color w:val="222222"/>
          <w:lang w:val="en" w:eastAsia="en-AU"/>
        </w:rPr>
      </w:pPr>
      <w:r w:rsidRPr="001664CF">
        <w:rPr>
          <w:i/>
          <w:color w:val="222222"/>
          <w:lang w:val="en" w:eastAsia="en-AU"/>
        </w:rPr>
        <w:t>Noting with appreciation</w:t>
      </w:r>
      <w:r w:rsidRPr="007A5D71">
        <w:rPr>
          <w:color w:val="222222"/>
          <w:lang w:val="en" w:eastAsia="en-AU"/>
        </w:rPr>
        <w:t xml:space="preserve"> that </w:t>
      </w:r>
      <w:r w:rsidRPr="001664CF">
        <w:rPr>
          <w:iCs/>
          <w:lang w:val="en" w:eastAsia="en-AU"/>
        </w:rPr>
        <w:t>China</w:t>
      </w:r>
      <w:r w:rsidRPr="007A5D71">
        <w:rPr>
          <w:color w:val="222222"/>
          <w:lang w:val="en" w:eastAsia="en-AU"/>
        </w:rPr>
        <w:t xml:space="preserve"> does not intend to submit further nominations </w:t>
      </w:r>
      <w:r>
        <w:rPr>
          <w:color w:val="222222"/>
          <w:lang w:val="en" w:eastAsia="en-AU"/>
        </w:rPr>
        <w:t xml:space="preserve">for </w:t>
      </w:r>
      <w:r w:rsidRPr="007A5D71">
        <w:rPr>
          <w:color w:val="222222"/>
          <w:lang w:val="en" w:eastAsia="en-AU"/>
        </w:rPr>
        <w:t>critical</w:t>
      </w:r>
      <w:r>
        <w:rPr>
          <w:color w:val="222222"/>
          <w:lang w:val="en" w:eastAsia="en-AU"/>
        </w:rPr>
        <w:noBreakHyphen/>
      </w:r>
      <w:r w:rsidRPr="007A5D71">
        <w:rPr>
          <w:color w:val="222222"/>
          <w:lang w:val="en" w:eastAsia="en-AU"/>
        </w:rPr>
        <w:t>use exemption</w:t>
      </w:r>
      <w:r>
        <w:rPr>
          <w:color w:val="222222"/>
          <w:lang w:val="en" w:eastAsia="en-AU"/>
        </w:rPr>
        <w:t>s,</w:t>
      </w:r>
      <w:r w:rsidRPr="007A5D71">
        <w:rPr>
          <w:color w:val="222222"/>
          <w:lang w:val="en" w:eastAsia="en-AU"/>
        </w:rPr>
        <w:t xml:space="preserve">  </w:t>
      </w:r>
    </w:p>
    <w:p w:rsidR="008D6111" w:rsidRPr="007A5D71" w:rsidRDefault="008D6111" w:rsidP="004E7D79">
      <w:pPr>
        <w:pStyle w:val="Normalpool"/>
        <w:numPr>
          <w:ilvl w:val="0"/>
          <w:numId w:val="24"/>
        </w:numPr>
        <w:tabs>
          <w:tab w:val="clear" w:pos="1253"/>
          <w:tab w:val="clear" w:pos="1814"/>
          <w:tab w:val="clear" w:pos="2376"/>
          <w:tab w:val="clear" w:pos="2952"/>
          <w:tab w:val="clear" w:pos="3514"/>
          <w:tab w:val="left" w:pos="624"/>
        </w:tabs>
        <w:spacing w:after="120"/>
        <w:ind w:left="1247" w:firstLine="624"/>
        <w:rPr>
          <w:color w:val="222222"/>
          <w:lang w:val="en" w:eastAsia="en-AU"/>
        </w:rPr>
      </w:pPr>
      <w:r w:rsidRPr="007A5D71">
        <w:rPr>
          <w:color w:val="222222"/>
          <w:lang w:val="en" w:eastAsia="en-AU"/>
        </w:rPr>
        <w:t>To permit, for the agreed critical-use categories for 2018 and 2019 set forth in table A of the annex to the present decision for each party, subject to the conditions set forth in the present decision and in decision Ex.I/4, to the extent that those conditions are applicable, the levels of production and consumption for 2018 and 2019 set forth in table B of the annex to the present decision, which are necessary to satisfy critical uses, with the understanding that additional production and consumption and categories of use may be approved by the Meeting of the Parties in accordance with decision IX/6;</w:t>
      </w:r>
    </w:p>
    <w:p w:rsidR="008D6111" w:rsidRPr="007A5D71" w:rsidRDefault="008D6111" w:rsidP="004E7D79">
      <w:pPr>
        <w:pStyle w:val="Normalpool"/>
        <w:numPr>
          <w:ilvl w:val="0"/>
          <w:numId w:val="24"/>
        </w:numPr>
        <w:tabs>
          <w:tab w:val="clear" w:pos="1253"/>
          <w:tab w:val="clear" w:pos="1814"/>
          <w:tab w:val="clear" w:pos="2376"/>
          <w:tab w:val="clear" w:pos="2952"/>
          <w:tab w:val="clear" w:pos="3514"/>
          <w:tab w:val="left" w:pos="624"/>
        </w:tabs>
        <w:spacing w:after="120"/>
        <w:ind w:left="1247" w:firstLine="624"/>
        <w:rPr>
          <w:color w:val="222222"/>
          <w:lang w:val="en" w:eastAsia="en-AU"/>
        </w:rPr>
      </w:pPr>
      <w:r w:rsidRPr="007A5D71">
        <w:rPr>
          <w:color w:val="222222"/>
          <w:lang w:val="en" w:eastAsia="en-AU"/>
        </w:rPr>
        <w:t>That parties shall endeavour to licen</w:t>
      </w:r>
      <w:r>
        <w:rPr>
          <w:color w:val="222222"/>
          <w:lang w:val="en" w:eastAsia="en-AU"/>
        </w:rPr>
        <w:t>s</w:t>
      </w:r>
      <w:r w:rsidRPr="007A5D71">
        <w:rPr>
          <w:color w:val="222222"/>
          <w:lang w:val="en" w:eastAsia="en-AU"/>
        </w:rPr>
        <w:t>e, permit, authorize or allocate quantities of methyl bromide for critical uses as listed in table A of the annex to the present decision;</w:t>
      </w:r>
    </w:p>
    <w:p w:rsidR="008D6111" w:rsidRPr="007A5D71" w:rsidRDefault="008D6111" w:rsidP="004E7D79">
      <w:pPr>
        <w:pStyle w:val="Normalpool"/>
        <w:numPr>
          <w:ilvl w:val="0"/>
          <w:numId w:val="24"/>
        </w:numPr>
        <w:tabs>
          <w:tab w:val="clear" w:pos="1253"/>
          <w:tab w:val="clear" w:pos="1814"/>
          <w:tab w:val="clear" w:pos="2376"/>
          <w:tab w:val="clear" w:pos="2952"/>
          <w:tab w:val="clear" w:pos="3514"/>
          <w:tab w:val="left" w:pos="624"/>
        </w:tabs>
        <w:spacing w:after="120"/>
        <w:ind w:left="1247" w:firstLine="624"/>
        <w:rPr>
          <w:color w:val="222222"/>
          <w:lang w:val="en" w:eastAsia="en-AU"/>
        </w:rPr>
      </w:pPr>
      <w:r w:rsidRPr="007A5D71">
        <w:rPr>
          <w:color w:val="222222"/>
          <w:lang w:val="en" w:eastAsia="en-AU"/>
        </w:rPr>
        <w:t>That each party that has an agreed critical-use exemption shall renew its commitment to ensuring that the criteria in paragraph 1 of decision IX/6, in particular the criterion laid down in paragraph 1 (b) (ii) of decision IX/6, are applied in licensing, permitting or authorizing critical uses of methyl bromide, with each party requested to report on the implementation of the present provision to the Secretariat by 1 February for the years to which the present decision applies;</w:t>
      </w:r>
    </w:p>
    <w:p w:rsidR="008D6111" w:rsidRPr="007A5D71" w:rsidRDefault="008D6111" w:rsidP="004E7D79">
      <w:pPr>
        <w:pStyle w:val="Normalpool"/>
        <w:numPr>
          <w:ilvl w:val="0"/>
          <w:numId w:val="24"/>
        </w:numPr>
        <w:tabs>
          <w:tab w:val="clear" w:pos="1253"/>
          <w:tab w:val="clear" w:pos="1814"/>
          <w:tab w:val="clear" w:pos="2376"/>
          <w:tab w:val="clear" w:pos="2952"/>
          <w:tab w:val="clear" w:pos="3514"/>
          <w:tab w:val="left" w:pos="624"/>
        </w:tabs>
        <w:spacing w:after="120"/>
        <w:ind w:left="1247" w:firstLine="624"/>
        <w:rPr>
          <w:color w:val="222222"/>
          <w:lang w:val="en" w:eastAsia="en-AU"/>
        </w:rPr>
      </w:pPr>
      <w:r w:rsidRPr="007A5D71">
        <w:rPr>
          <w:color w:val="222222"/>
          <w:lang w:val="en" w:eastAsia="en-AU"/>
        </w:rPr>
        <w:t xml:space="preserve">That </w:t>
      </w:r>
      <w:r>
        <w:rPr>
          <w:color w:val="222222"/>
          <w:lang w:val="en" w:eastAsia="en-AU"/>
        </w:rPr>
        <w:t>p</w:t>
      </w:r>
      <w:r w:rsidRPr="007A5D71">
        <w:rPr>
          <w:color w:val="222222"/>
          <w:lang w:val="en" w:eastAsia="en-AU"/>
        </w:rPr>
        <w:t>arties submitting future requests for critical</w:t>
      </w:r>
      <w:r>
        <w:rPr>
          <w:color w:val="222222"/>
          <w:lang w:val="en" w:eastAsia="en-AU"/>
        </w:rPr>
        <w:t>-</w:t>
      </w:r>
      <w:r w:rsidRPr="007A5D71">
        <w:rPr>
          <w:color w:val="222222"/>
          <w:lang w:val="en" w:eastAsia="en-AU"/>
        </w:rPr>
        <w:t xml:space="preserve">use nominations for methyl bromide </w:t>
      </w:r>
      <w:r>
        <w:rPr>
          <w:color w:val="222222"/>
          <w:lang w:val="en" w:eastAsia="en-AU"/>
        </w:rPr>
        <w:t xml:space="preserve">shall </w:t>
      </w:r>
      <w:r w:rsidRPr="007A5D71">
        <w:rPr>
          <w:color w:val="222222"/>
          <w:lang w:val="en" w:eastAsia="en-AU"/>
        </w:rPr>
        <w:t xml:space="preserve">also comply with paragraph 1 (b) (iii) of decision IX/6 and that </w:t>
      </w:r>
      <w:r>
        <w:rPr>
          <w:color w:val="222222"/>
          <w:lang w:val="en" w:eastAsia="en-AU"/>
        </w:rPr>
        <w:t>p</w:t>
      </w:r>
      <w:r w:rsidRPr="007A5D71">
        <w:rPr>
          <w:color w:val="222222"/>
          <w:lang w:val="en" w:eastAsia="en-AU"/>
        </w:rPr>
        <w:t xml:space="preserve">arties </w:t>
      </w:r>
      <w:r>
        <w:rPr>
          <w:color w:val="222222"/>
          <w:lang w:val="en" w:eastAsia="en-AU"/>
        </w:rPr>
        <w:t xml:space="preserve">not operating under paragraph 1 of Article 5 shall </w:t>
      </w:r>
      <w:r w:rsidRPr="007A5D71">
        <w:rPr>
          <w:color w:val="222222"/>
          <w:lang w:val="en" w:eastAsia="en-AU"/>
        </w:rPr>
        <w:t xml:space="preserve">demonstrate that research programmes are in place to develop and deploy alternatives </w:t>
      </w:r>
      <w:r>
        <w:rPr>
          <w:color w:val="222222"/>
          <w:lang w:val="en" w:eastAsia="en-AU"/>
        </w:rPr>
        <w:t xml:space="preserve">to </w:t>
      </w:r>
      <w:r w:rsidRPr="007A5D71">
        <w:rPr>
          <w:color w:val="222222"/>
          <w:lang w:val="en" w:eastAsia="en-AU"/>
        </w:rPr>
        <w:t xml:space="preserve">and substitutes </w:t>
      </w:r>
      <w:r>
        <w:rPr>
          <w:color w:val="222222"/>
          <w:lang w:val="en" w:eastAsia="en-AU"/>
        </w:rPr>
        <w:t>for</w:t>
      </w:r>
      <w:r w:rsidRPr="007A5D71">
        <w:rPr>
          <w:color w:val="222222"/>
          <w:lang w:val="en" w:eastAsia="en-AU"/>
        </w:rPr>
        <w:t xml:space="preserve"> methyl bromide</w:t>
      </w:r>
      <w:r w:rsidR="00C14B35">
        <w:rPr>
          <w:color w:val="222222"/>
          <w:lang w:val="en" w:eastAsia="en-AU"/>
        </w:rPr>
        <w:t>;</w:t>
      </w:r>
      <w:r w:rsidRPr="007A5D71">
        <w:rPr>
          <w:color w:val="222222"/>
          <w:lang w:val="en" w:eastAsia="en-AU"/>
        </w:rPr>
        <w:t xml:space="preserve"> </w:t>
      </w:r>
    </w:p>
    <w:p w:rsidR="008D6111" w:rsidRPr="004E7D79" w:rsidRDefault="008D6111" w:rsidP="004E7D79">
      <w:pPr>
        <w:pStyle w:val="CH2"/>
        <w:ind w:hanging="254"/>
        <w:outlineLvl w:val="0"/>
        <w:rPr>
          <w:lang w:eastAsia="zh-CN"/>
        </w:rPr>
      </w:pPr>
      <w:r w:rsidRPr="004E7D79">
        <w:rPr>
          <w:lang w:eastAsia="zh-CN"/>
        </w:rPr>
        <w:lastRenderedPageBreak/>
        <w:tab/>
        <w:t>Annex to decision XXIX/</w:t>
      </w:r>
      <w:r w:rsidR="00F65FC9" w:rsidRPr="004E7D79">
        <w:rPr>
          <w:lang w:eastAsia="zh-CN"/>
        </w:rPr>
        <w:t>6</w:t>
      </w:r>
    </w:p>
    <w:p w:rsidR="008D6111" w:rsidRPr="004E7D79" w:rsidRDefault="008D6111" w:rsidP="004E7D79">
      <w:pPr>
        <w:pStyle w:val="Titletable"/>
        <w:spacing w:before="120"/>
        <w:rPr>
          <w:b w:val="0"/>
          <w:color w:val="222222"/>
          <w:lang w:val="en" w:eastAsia="en-AU"/>
        </w:rPr>
      </w:pPr>
      <w:r w:rsidRPr="004E7D79">
        <w:rPr>
          <w:b w:val="0"/>
          <w:lang w:eastAsia="en-AU"/>
        </w:rPr>
        <w:t>Table</w:t>
      </w:r>
      <w:r w:rsidRPr="004E7D79">
        <w:rPr>
          <w:b w:val="0"/>
          <w:color w:val="222222"/>
          <w:lang w:val="en" w:eastAsia="en-AU"/>
        </w:rPr>
        <w:t xml:space="preserve"> A</w:t>
      </w:r>
    </w:p>
    <w:p w:rsidR="00A23E46" w:rsidRDefault="008D6111" w:rsidP="00715700">
      <w:pPr>
        <w:pStyle w:val="Titletable"/>
        <w:spacing w:after="0"/>
        <w:ind w:left="1253"/>
        <w:outlineLvl w:val="0"/>
        <w:rPr>
          <w:lang w:val="en"/>
        </w:rPr>
      </w:pPr>
      <w:r w:rsidRPr="00693FED">
        <w:rPr>
          <w:lang w:val="en"/>
        </w:rPr>
        <w:t>Agreed critical-use categories</w:t>
      </w:r>
    </w:p>
    <w:p w:rsidR="008D6111" w:rsidRDefault="008D6111" w:rsidP="004E7D79">
      <w:pPr>
        <w:pStyle w:val="Titletable"/>
        <w:rPr>
          <w:b w:val="0"/>
          <w:sz w:val="17"/>
        </w:rPr>
      </w:pPr>
      <w:r w:rsidRPr="004E7D79">
        <w:rPr>
          <w:b w:val="0"/>
          <w:sz w:val="17"/>
        </w:rPr>
        <w:t>(</w:t>
      </w:r>
      <w:proofErr w:type="gramStart"/>
      <w:r w:rsidRPr="008E634D">
        <w:rPr>
          <w:b w:val="0"/>
          <w:sz w:val="17"/>
        </w:rPr>
        <w:t>tonnes</w:t>
      </w:r>
      <w:r w:rsidRPr="004E7D79">
        <w:rPr>
          <w:b w:val="0"/>
          <w:sz w:val="17"/>
        </w:rPr>
        <w:t>)</w:t>
      </w:r>
      <w:proofErr w:type="gramEnd"/>
      <w:r w:rsidR="009634A6" w:rsidRPr="00715700">
        <w:rPr>
          <w:b w:val="0"/>
          <w:sz w:val="17"/>
          <w:vertAlign w:val="superscript"/>
        </w:rPr>
        <w:t>a</w:t>
      </w:r>
    </w:p>
    <w:tbl>
      <w:tblPr>
        <w:tblStyle w:val="TableGrid"/>
        <w:tblW w:w="0" w:type="auto"/>
        <w:tblInd w:w="1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3"/>
        <w:gridCol w:w="4164"/>
      </w:tblGrid>
      <w:tr w:rsidR="00A23E46" w:rsidTr="004E7D79">
        <w:tc>
          <w:tcPr>
            <w:tcW w:w="4163" w:type="dxa"/>
            <w:tcBorders>
              <w:top w:val="single" w:sz="4" w:space="0" w:color="auto"/>
              <w:bottom w:val="single" w:sz="12" w:space="0" w:color="auto"/>
            </w:tcBorders>
          </w:tcPr>
          <w:p w:rsidR="00A23E46" w:rsidRDefault="00A23E46" w:rsidP="004E7D79">
            <w:pPr>
              <w:autoSpaceDE w:val="0"/>
              <w:autoSpaceDN w:val="0"/>
              <w:adjustRightInd w:val="0"/>
              <w:spacing w:before="40" w:after="40"/>
            </w:pPr>
            <w:r w:rsidRPr="004E7D79">
              <w:rPr>
                <w:b/>
                <w:sz w:val="18"/>
              </w:rPr>
              <w:t>2019</w:t>
            </w:r>
          </w:p>
        </w:tc>
        <w:tc>
          <w:tcPr>
            <w:tcW w:w="4164" w:type="dxa"/>
            <w:tcBorders>
              <w:top w:val="single" w:sz="4" w:space="0" w:color="auto"/>
              <w:bottom w:val="single" w:sz="12" w:space="0" w:color="auto"/>
            </w:tcBorders>
          </w:tcPr>
          <w:p w:rsidR="00A23E46" w:rsidRDefault="00A23E46" w:rsidP="004E7D79">
            <w:pPr>
              <w:pStyle w:val="Normalpool"/>
              <w:spacing w:before="40" w:after="40"/>
            </w:pPr>
          </w:p>
        </w:tc>
      </w:tr>
      <w:tr w:rsidR="00A23E46" w:rsidTr="004E7D79">
        <w:tc>
          <w:tcPr>
            <w:tcW w:w="4163" w:type="dxa"/>
            <w:tcBorders>
              <w:top w:val="single" w:sz="12" w:space="0" w:color="auto"/>
              <w:bottom w:val="single" w:sz="4" w:space="0" w:color="auto"/>
            </w:tcBorders>
            <w:vAlign w:val="center"/>
          </w:tcPr>
          <w:p w:rsidR="00A23E46" w:rsidRPr="004E7D79" w:rsidRDefault="00A23E46" w:rsidP="004E7D79">
            <w:pPr>
              <w:autoSpaceDE w:val="0"/>
              <w:autoSpaceDN w:val="0"/>
              <w:adjustRightInd w:val="0"/>
              <w:spacing w:before="40" w:after="40"/>
              <w:rPr>
                <w:sz w:val="18"/>
              </w:rPr>
            </w:pPr>
            <w:r w:rsidRPr="004E7D79">
              <w:rPr>
                <w:sz w:val="18"/>
              </w:rPr>
              <w:t>Australia</w:t>
            </w:r>
          </w:p>
        </w:tc>
        <w:tc>
          <w:tcPr>
            <w:tcW w:w="4164" w:type="dxa"/>
            <w:tcBorders>
              <w:top w:val="single" w:sz="12" w:space="0" w:color="auto"/>
              <w:bottom w:val="single" w:sz="4" w:space="0" w:color="auto"/>
            </w:tcBorders>
            <w:vAlign w:val="center"/>
          </w:tcPr>
          <w:p w:rsidR="00A23E46" w:rsidRPr="004E7D79" w:rsidRDefault="00A23E46" w:rsidP="004E7D79">
            <w:pPr>
              <w:autoSpaceDE w:val="0"/>
              <w:autoSpaceDN w:val="0"/>
              <w:adjustRightInd w:val="0"/>
              <w:spacing w:before="40" w:after="40"/>
              <w:rPr>
                <w:sz w:val="18"/>
              </w:rPr>
            </w:pPr>
            <w:r w:rsidRPr="004E7D79">
              <w:rPr>
                <w:sz w:val="18"/>
              </w:rPr>
              <w:t>Strawberry runners 28.98</w:t>
            </w:r>
          </w:p>
        </w:tc>
      </w:tr>
      <w:tr w:rsidR="00A23E46" w:rsidTr="004E7D79">
        <w:tc>
          <w:tcPr>
            <w:tcW w:w="4163" w:type="dxa"/>
            <w:tcBorders>
              <w:top w:val="single" w:sz="4" w:space="0" w:color="auto"/>
              <w:bottom w:val="single" w:sz="4" w:space="0" w:color="auto"/>
            </w:tcBorders>
          </w:tcPr>
          <w:p w:rsidR="00A23E46" w:rsidRDefault="00A23E46" w:rsidP="004E7D79">
            <w:pPr>
              <w:autoSpaceDE w:val="0"/>
              <w:autoSpaceDN w:val="0"/>
              <w:adjustRightInd w:val="0"/>
              <w:spacing w:before="40" w:after="40"/>
            </w:pPr>
            <w:r w:rsidRPr="004E7D79">
              <w:rPr>
                <w:b/>
                <w:sz w:val="18"/>
              </w:rPr>
              <w:t>2018</w:t>
            </w:r>
          </w:p>
        </w:tc>
        <w:tc>
          <w:tcPr>
            <w:tcW w:w="4164" w:type="dxa"/>
            <w:tcBorders>
              <w:top w:val="single" w:sz="4" w:space="0" w:color="auto"/>
              <w:bottom w:val="single" w:sz="4" w:space="0" w:color="auto"/>
            </w:tcBorders>
          </w:tcPr>
          <w:p w:rsidR="00A23E46" w:rsidRDefault="00A23E46" w:rsidP="004E7D79">
            <w:pPr>
              <w:pStyle w:val="Normalpool"/>
              <w:spacing w:before="40" w:after="40"/>
            </w:pPr>
          </w:p>
        </w:tc>
      </w:tr>
      <w:tr w:rsidR="00A23E46" w:rsidTr="004E7D79">
        <w:tc>
          <w:tcPr>
            <w:tcW w:w="4163" w:type="dxa"/>
            <w:tcBorders>
              <w:top w:val="single" w:sz="4" w:space="0" w:color="auto"/>
            </w:tcBorders>
            <w:vAlign w:val="center"/>
          </w:tcPr>
          <w:p w:rsidR="00A23E46" w:rsidRPr="004E7D79" w:rsidRDefault="00A23E46" w:rsidP="004E7D79">
            <w:pPr>
              <w:autoSpaceDE w:val="0"/>
              <w:autoSpaceDN w:val="0"/>
              <w:adjustRightInd w:val="0"/>
              <w:spacing w:before="40" w:after="40"/>
              <w:rPr>
                <w:sz w:val="18"/>
              </w:rPr>
            </w:pPr>
            <w:r w:rsidRPr="004E7D79">
              <w:rPr>
                <w:sz w:val="18"/>
              </w:rPr>
              <w:t>Argentina</w:t>
            </w:r>
          </w:p>
        </w:tc>
        <w:tc>
          <w:tcPr>
            <w:tcW w:w="4164" w:type="dxa"/>
            <w:tcBorders>
              <w:top w:val="single" w:sz="4" w:space="0" w:color="auto"/>
            </w:tcBorders>
            <w:vAlign w:val="center"/>
          </w:tcPr>
          <w:p w:rsidR="00A23E46" w:rsidRPr="004E7D79" w:rsidRDefault="00A23E46" w:rsidP="004E7D79">
            <w:pPr>
              <w:autoSpaceDE w:val="0"/>
              <w:autoSpaceDN w:val="0"/>
              <w:adjustRightInd w:val="0"/>
              <w:spacing w:before="40" w:after="40"/>
              <w:rPr>
                <w:sz w:val="18"/>
              </w:rPr>
            </w:pPr>
            <w:r w:rsidRPr="004E7D79">
              <w:rPr>
                <w:sz w:val="18"/>
              </w:rPr>
              <w:t>Strawberry fruit 29.0</w:t>
            </w:r>
          </w:p>
          <w:p w:rsidR="00A23E46" w:rsidRPr="004E7D79" w:rsidRDefault="00A23E46" w:rsidP="004E7D79">
            <w:pPr>
              <w:autoSpaceDE w:val="0"/>
              <w:autoSpaceDN w:val="0"/>
              <w:adjustRightInd w:val="0"/>
              <w:spacing w:before="40" w:after="40"/>
              <w:rPr>
                <w:sz w:val="18"/>
              </w:rPr>
            </w:pPr>
            <w:r w:rsidRPr="004E7D79">
              <w:rPr>
                <w:sz w:val="18"/>
              </w:rPr>
              <w:t>Tomatoes 47.7</w:t>
            </w:r>
          </w:p>
        </w:tc>
      </w:tr>
      <w:tr w:rsidR="00A23E46" w:rsidTr="004E7D79">
        <w:tc>
          <w:tcPr>
            <w:tcW w:w="4163" w:type="dxa"/>
            <w:vAlign w:val="center"/>
          </w:tcPr>
          <w:p w:rsidR="00A23E46" w:rsidRPr="004E7D79" w:rsidRDefault="00A23E46" w:rsidP="004E7D79">
            <w:pPr>
              <w:autoSpaceDE w:val="0"/>
              <w:autoSpaceDN w:val="0"/>
              <w:adjustRightInd w:val="0"/>
              <w:spacing w:before="40" w:after="40"/>
              <w:rPr>
                <w:sz w:val="18"/>
              </w:rPr>
            </w:pPr>
            <w:r w:rsidRPr="004E7D79">
              <w:rPr>
                <w:sz w:val="18"/>
              </w:rPr>
              <w:t>Canada</w:t>
            </w:r>
          </w:p>
        </w:tc>
        <w:tc>
          <w:tcPr>
            <w:tcW w:w="4164" w:type="dxa"/>
            <w:vAlign w:val="center"/>
          </w:tcPr>
          <w:p w:rsidR="00A23E46" w:rsidRPr="004E7D79" w:rsidRDefault="00A23E46" w:rsidP="004E7D79">
            <w:pPr>
              <w:autoSpaceDE w:val="0"/>
              <w:autoSpaceDN w:val="0"/>
              <w:adjustRightInd w:val="0"/>
              <w:spacing w:before="40" w:after="40"/>
              <w:rPr>
                <w:sz w:val="18"/>
              </w:rPr>
            </w:pPr>
            <w:r w:rsidRPr="004E7D79">
              <w:rPr>
                <w:sz w:val="18"/>
              </w:rPr>
              <w:t>Strawberry runners (Prince Edward Island) 5.261</w:t>
            </w:r>
          </w:p>
        </w:tc>
      </w:tr>
      <w:tr w:rsidR="00A23E46" w:rsidTr="004E7D79">
        <w:tc>
          <w:tcPr>
            <w:tcW w:w="4163" w:type="dxa"/>
            <w:vAlign w:val="center"/>
          </w:tcPr>
          <w:p w:rsidR="00A23E46" w:rsidRPr="004E7D79" w:rsidRDefault="00A23E46" w:rsidP="004E7D79">
            <w:pPr>
              <w:autoSpaceDE w:val="0"/>
              <w:autoSpaceDN w:val="0"/>
              <w:adjustRightInd w:val="0"/>
              <w:spacing w:before="40" w:after="40"/>
              <w:rPr>
                <w:sz w:val="18"/>
              </w:rPr>
            </w:pPr>
            <w:r w:rsidRPr="004E7D79">
              <w:rPr>
                <w:sz w:val="18"/>
              </w:rPr>
              <w:t>China</w:t>
            </w:r>
          </w:p>
        </w:tc>
        <w:tc>
          <w:tcPr>
            <w:tcW w:w="4164" w:type="dxa"/>
            <w:vAlign w:val="center"/>
          </w:tcPr>
          <w:p w:rsidR="00A23E46" w:rsidRPr="004E7D79" w:rsidRDefault="00A23E46" w:rsidP="004E7D79">
            <w:pPr>
              <w:autoSpaceDE w:val="0"/>
              <w:autoSpaceDN w:val="0"/>
              <w:adjustRightInd w:val="0"/>
              <w:spacing w:before="40" w:after="40"/>
              <w:rPr>
                <w:sz w:val="18"/>
              </w:rPr>
            </w:pPr>
            <w:r w:rsidRPr="004E7D79">
              <w:rPr>
                <w:sz w:val="18"/>
              </w:rPr>
              <w:t>Ginger, open field 68.88</w:t>
            </w:r>
          </w:p>
          <w:p w:rsidR="00A23E46" w:rsidRPr="004E7D79" w:rsidRDefault="00A23E46" w:rsidP="004E7D79">
            <w:pPr>
              <w:autoSpaceDE w:val="0"/>
              <w:autoSpaceDN w:val="0"/>
              <w:adjustRightInd w:val="0"/>
              <w:spacing w:before="40" w:after="40"/>
              <w:rPr>
                <w:sz w:val="18"/>
              </w:rPr>
            </w:pPr>
            <w:r w:rsidRPr="004E7D79">
              <w:rPr>
                <w:sz w:val="18"/>
              </w:rPr>
              <w:t>Ginger, protected 18.36</w:t>
            </w:r>
          </w:p>
        </w:tc>
      </w:tr>
      <w:tr w:rsidR="00A23E46" w:rsidTr="004E7D79">
        <w:tc>
          <w:tcPr>
            <w:tcW w:w="4163" w:type="dxa"/>
            <w:tcBorders>
              <w:bottom w:val="single" w:sz="12" w:space="0" w:color="auto"/>
            </w:tcBorders>
            <w:vAlign w:val="center"/>
          </w:tcPr>
          <w:p w:rsidR="00A23E46" w:rsidRPr="004E7D79" w:rsidRDefault="00A23E46" w:rsidP="004E7D79">
            <w:pPr>
              <w:autoSpaceDE w:val="0"/>
              <w:autoSpaceDN w:val="0"/>
              <w:adjustRightInd w:val="0"/>
              <w:spacing w:before="40" w:after="40"/>
              <w:rPr>
                <w:sz w:val="18"/>
              </w:rPr>
            </w:pPr>
            <w:r w:rsidRPr="004E7D79">
              <w:rPr>
                <w:sz w:val="18"/>
              </w:rPr>
              <w:t>South Africa</w:t>
            </w:r>
          </w:p>
        </w:tc>
        <w:tc>
          <w:tcPr>
            <w:tcW w:w="4164" w:type="dxa"/>
            <w:tcBorders>
              <w:bottom w:val="single" w:sz="12" w:space="0" w:color="auto"/>
            </w:tcBorders>
            <w:vAlign w:val="center"/>
          </w:tcPr>
          <w:p w:rsidR="00A23E46" w:rsidRPr="004E7D79" w:rsidRDefault="00A23E46" w:rsidP="004E7D79">
            <w:pPr>
              <w:autoSpaceDE w:val="0"/>
              <w:autoSpaceDN w:val="0"/>
              <w:adjustRightInd w:val="0"/>
              <w:spacing w:before="40" w:after="40"/>
              <w:rPr>
                <w:sz w:val="18"/>
              </w:rPr>
            </w:pPr>
            <w:r w:rsidRPr="004E7D79">
              <w:rPr>
                <w:sz w:val="18"/>
              </w:rPr>
              <w:t>Mills 2.9</w:t>
            </w:r>
          </w:p>
          <w:p w:rsidR="00A23E46" w:rsidRPr="004E7D79" w:rsidRDefault="00A23E46" w:rsidP="004E7D79">
            <w:pPr>
              <w:autoSpaceDE w:val="0"/>
              <w:autoSpaceDN w:val="0"/>
              <w:adjustRightInd w:val="0"/>
              <w:spacing w:before="40" w:after="40"/>
              <w:rPr>
                <w:sz w:val="18"/>
              </w:rPr>
            </w:pPr>
            <w:r w:rsidRPr="004E7D79">
              <w:rPr>
                <w:sz w:val="18"/>
              </w:rPr>
              <w:t>Houses 42.75</w:t>
            </w:r>
          </w:p>
        </w:tc>
      </w:tr>
    </w:tbl>
    <w:p w:rsidR="009634A6" w:rsidRPr="002C0063" w:rsidRDefault="009634A6" w:rsidP="009634A6">
      <w:pPr>
        <w:pStyle w:val="NormalNonumber"/>
        <w:keepNext/>
        <w:tabs>
          <w:tab w:val="left" w:pos="624"/>
        </w:tabs>
        <w:ind w:firstLine="240"/>
        <w:rPr>
          <w:lang w:val="en"/>
        </w:rPr>
      </w:pPr>
      <w:proofErr w:type="gramStart"/>
      <w:r w:rsidRPr="007E4333">
        <w:rPr>
          <w:vertAlign w:val="superscript"/>
          <w:lang w:val="en"/>
        </w:rPr>
        <w:t>a</w:t>
      </w:r>
      <w:proofErr w:type="gramEnd"/>
      <w:r>
        <w:rPr>
          <w:lang w:val="en"/>
        </w:rPr>
        <w:t xml:space="preserve"> T</w:t>
      </w:r>
      <w:r w:rsidRPr="007E4333">
        <w:rPr>
          <w:sz w:val="18"/>
          <w:szCs w:val="18"/>
          <w:lang w:val="en"/>
        </w:rPr>
        <w:t>onnes = metric tons.</w:t>
      </w:r>
    </w:p>
    <w:p w:rsidR="00A23E46" w:rsidRPr="004E7D79" w:rsidRDefault="00A23E46" w:rsidP="004E7D79">
      <w:pPr>
        <w:pStyle w:val="Normalpool"/>
      </w:pPr>
    </w:p>
    <w:p w:rsidR="008D6111" w:rsidRPr="004E7D79" w:rsidRDefault="008D6111" w:rsidP="004E7D79">
      <w:pPr>
        <w:pStyle w:val="Titletable"/>
        <w:spacing w:before="120"/>
        <w:rPr>
          <w:b w:val="0"/>
          <w:lang w:eastAsia="en-AU"/>
        </w:rPr>
      </w:pPr>
      <w:r w:rsidRPr="004E7D79">
        <w:rPr>
          <w:b w:val="0"/>
          <w:lang w:eastAsia="en-AU"/>
        </w:rPr>
        <w:t>Table B</w:t>
      </w:r>
    </w:p>
    <w:p w:rsidR="0023538F" w:rsidRDefault="008D6111" w:rsidP="00715700">
      <w:pPr>
        <w:pStyle w:val="CH2"/>
        <w:spacing w:after="0"/>
        <w:ind w:left="1253" w:right="288" w:hanging="1253"/>
        <w:rPr>
          <w:bCs/>
          <w:sz w:val="20"/>
          <w:szCs w:val="20"/>
          <w:lang w:val="en"/>
        </w:rPr>
      </w:pPr>
      <w:r w:rsidRPr="004E7D79">
        <w:rPr>
          <w:bCs/>
          <w:sz w:val="20"/>
          <w:szCs w:val="20"/>
          <w:lang w:val="en"/>
        </w:rPr>
        <w:tab/>
      </w:r>
      <w:r w:rsidRPr="004E7D79">
        <w:rPr>
          <w:bCs/>
          <w:sz w:val="20"/>
          <w:szCs w:val="20"/>
          <w:lang w:val="en"/>
        </w:rPr>
        <w:tab/>
        <w:t>Permitted levels of production and consumption</w:t>
      </w:r>
      <w:r w:rsidRPr="004E7D79">
        <w:rPr>
          <w:bCs/>
          <w:sz w:val="20"/>
          <w:szCs w:val="20"/>
          <w:vertAlign w:val="superscript"/>
          <w:lang w:val="en"/>
        </w:rPr>
        <w:t>a</w:t>
      </w:r>
    </w:p>
    <w:p w:rsidR="008D6111" w:rsidRPr="004E7D79" w:rsidRDefault="008D6111" w:rsidP="004E7D79">
      <w:pPr>
        <w:pStyle w:val="Titletable"/>
        <w:rPr>
          <w:b w:val="0"/>
          <w:sz w:val="17"/>
        </w:rPr>
      </w:pPr>
      <w:r w:rsidRPr="004E7D79">
        <w:rPr>
          <w:b w:val="0"/>
          <w:sz w:val="17"/>
        </w:rPr>
        <w:t>(</w:t>
      </w:r>
      <w:proofErr w:type="gramStart"/>
      <w:r w:rsidRPr="008E634D">
        <w:rPr>
          <w:b w:val="0"/>
          <w:sz w:val="17"/>
        </w:rPr>
        <w:t>tonnes</w:t>
      </w:r>
      <w:r w:rsidRPr="004E7D79">
        <w:rPr>
          <w:b w:val="0"/>
          <w:sz w:val="17"/>
        </w:rPr>
        <w:t>)</w:t>
      </w:r>
      <w:proofErr w:type="gramEnd"/>
      <w:r w:rsidR="009634A6" w:rsidRPr="00715700">
        <w:rPr>
          <w:b w:val="0"/>
          <w:sz w:val="17"/>
          <w:vertAlign w:val="superscript"/>
        </w:rPr>
        <w:t>b</w:t>
      </w:r>
    </w:p>
    <w:tbl>
      <w:tblPr>
        <w:tblW w:w="8220" w:type="dxa"/>
        <w:tblInd w:w="1276" w:type="dxa"/>
        <w:tblLayout w:type="fixed"/>
        <w:tblCellMar>
          <w:left w:w="0" w:type="dxa"/>
          <w:right w:w="0" w:type="dxa"/>
        </w:tblCellMar>
        <w:tblLook w:val="04A0" w:firstRow="1" w:lastRow="0" w:firstColumn="1" w:lastColumn="0" w:noHBand="0" w:noVBand="1"/>
      </w:tblPr>
      <w:tblGrid>
        <w:gridCol w:w="4110"/>
        <w:gridCol w:w="4110"/>
      </w:tblGrid>
      <w:tr w:rsidR="008D6111" w:rsidRPr="007A5D71" w:rsidTr="00CD35BB">
        <w:tc>
          <w:tcPr>
            <w:tcW w:w="4110" w:type="dxa"/>
            <w:tcBorders>
              <w:top w:val="single" w:sz="4" w:space="0" w:color="auto"/>
              <w:bottom w:val="single" w:sz="12" w:space="0" w:color="auto"/>
            </w:tcBorders>
            <w:shd w:val="clear" w:color="auto" w:fill="auto"/>
            <w:vAlign w:val="center"/>
            <w:hideMark/>
          </w:tcPr>
          <w:p w:rsidR="008D6111" w:rsidRPr="004E7D79" w:rsidRDefault="008D6111" w:rsidP="004E7D79">
            <w:pPr>
              <w:keepNext/>
              <w:keepLines/>
              <w:autoSpaceDE w:val="0"/>
              <w:autoSpaceDN w:val="0"/>
              <w:adjustRightInd w:val="0"/>
              <w:spacing w:before="40" w:after="40"/>
              <w:ind w:left="284"/>
              <w:rPr>
                <w:sz w:val="18"/>
                <w:szCs w:val="18"/>
                <w:lang w:eastAsia="en-AU"/>
              </w:rPr>
            </w:pPr>
            <w:r w:rsidRPr="004E7D79">
              <w:rPr>
                <w:b/>
                <w:sz w:val="18"/>
              </w:rPr>
              <w:t>2019</w:t>
            </w:r>
          </w:p>
        </w:tc>
        <w:tc>
          <w:tcPr>
            <w:tcW w:w="4110" w:type="dxa"/>
            <w:tcBorders>
              <w:top w:val="single" w:sz="4" w:space="0" w:color="auto"/>
              <w:bottom w:val="single" w:sz="12" w:space="0" w:color="auto"/>
            </w:tcBorders>
            <w:shd w:val="clear" w:color="auto" w:fill="auto"/>
            <w:vAlign w:val="center"/>
            <w:hideMark/>
          </w:tcPr>
          <w:p w:rsidR="008D6111" w:rsidRPr="004E7D79" w:rsidRDefault="008D6111" w:rsidP="004E7D79">
            <w:pPr>
              <w:pStyle w:val="Normalpool"/>
              <w:keepNext/>
              <w:keepLines/>
              <w:spacing w:before="40" w:after="40"/>
              <w:ind w:left="284"/>
              <w:rPr>
                <w:sz w:val="18"/>
                <w:szCs w:val="18"/>
                <w:lang w:eastAsia="en-AU"/>
              </w:rPr>
            </w:pPr>
            <w:r w:rsidRPr="004E7D79">
              <w:rPr>
                <w:sz w:val="18"/>
                <w:szCs w:val="18"/>
                <w:lang w:eastAsia="en-AU"/>
              </w:rPr>
              <w:t> </w:t>
            </w:r>
          </w:p>
        </w:tc>
      </w:tr>
      <w:tr w:rsidR="008D6111" w:rsidRPr="007A5D71" w:rsidTr="00CD35BB">
        <w:tc>
          <w:tcPr>
            <w:tcW w:w="4110" w:type="dxa"/>
            <w:tcBorders>
              <w:top w:val="single" w:sz="12" w:space="0" w:color="auto"/>
              <w:bottom w:val="single" w:sz="4" w:space="0" w:color="auto"/>
            </w:tcBorders>
            <w:shd w:val="clear" w:color="auto" w:fill="auto"/>
            <w:vAlign w:val="center"/>
            <w:hideMark/>
          </w:tcPr>
          <w:p w:rsidR="008D6111" w:rsidRPr="004E7D79" w:rsidRDefault="008D6111" w:rsidP="004E7D79">
            <w:pPr>
              <w:pStyle w:val="Normalpool"/>
              <w:keepNext/>
              <w:keepLines/>
              <w:spacing w:before="40" w:after="40"/>
              <w:ind w:left="284"/>
              <w:rPr>
                <w:sz w:val="18"/>
                <w:szCs w:val="18"/>
                <w:lang w:eastAsia="en-AU"/>
              </w:rPr>
            </w:pPr>
            <w:r w:rsidRPr="004E7D79">
              <w:rPr>
                <w:sz w:val="18"/>
                <w:szCs w:val="18"/>
                <w:lang w:eastAsia="en-AU"/>
              </w:rPr>
              <w:t>Australia</w:t>
            </w:r>
          </w:p>
        </w:tc>
        <w:tc>
          <w:tcPr>
            <w:tcW w:w="4110" w:type="dxa"/>
            <w:tcBorders>
              <w:top w:val="single" w:sz="12" w:space="0" w:color="auto"/>
              <w:bottom w:val="single" w:sz="4" w:space="0" w:color="auto"/>
            </w:tcBorders>
            <w:shd w:val="clear" w:color="auto" w:fill="auto"/>
            <w:vAlign w:val="center"/>
            <w:hideMark/>
          </w:tcPr>
          <w:p w:rsidR="008D6111" w:rsidRPr="006618E6" w:rsidRDefault="008D6111" w:rsidP="00CD35BB">
            <w:pPr>
              <w:pStyle w:val="Normalpool"/>
              <w:keepNext/>
              <w:keepLines/>
              <w:spacing w:before="40" w:after="40"/>
              <w:ind w:left="284"/>
              <w:jc w:val="center"/>
              <w:rPr>
                <w:sz w:val="18"/>
                <w:szCs w:val="18"/>
                <w:lang w:eastAsia="en-AU"/>
              </w:rPr>
            </w:pPr>
            <w:r w:rsidRPr="006618E6">
              <w:rPr>
                <w:sz w:val="18"/>
                <w:szCs w:val="18"/>
                <w:lang w:eastAsia="en-AU"/>
              </w:rPr>
              <w:t>28.98</w:t>
            </w:r>
          </w:p>
        </w:tc>
      </w:tr>
      <w:tr w:rsidR="00CE710D" w:rsidRPr="007A5D71" w:rsidTr="00CE710D">
        <w:tc>
          <w:tcPr>
            <w:tcW w:w="8220" w:type="dxa"/>
            <w:gridSpan w:val="2"/>
            <w:tcBorders>
              <w:top w:val="single" w:sz="4" w:space="0" w:color="auto"/>
              <w:bottom w:val="single" w:sz="4" w:space="0" w:color="auto"/>
            </w:tcBorders>
            <w:shd w:val="clear" w:color="auto" w:fill="auto"/>
            <w:vAlign w:val="center"/>
            <w:hideMark/>
          </w:tcPr>
          <w:p w:rsidR="00CE710D" w:rsidRPr="006618E6" w:rsidRDefault="00CE710D" w:rsidP="00CD35BB">
            <w:pPr>
              <w:keepNext/>
              <w:keepLines/>
              <w:autoSpaceDE w:val="0"/>
              <w:autoSpaceDN w:val="0"/>
              <w:adjustRightInd w:val="0"/>
              <w:spacing w:before="40" w:after="40"/>
              <w:ind w:left="284"/>
              <w:rPr>
                <w:sz w:val="18"/>
                <w:szCs w:val="18"/>
                <w:lang w:eastAsia="en-AU"/>
              </w:rPr>
            </w:pPr>
            <w:r w:rsidRPr="006618E6">
              <w:rPr>
                <w:b/>
                <w:sz w:val="18"/>
              </w:rPr>
              <w:t>2018</w:t>
            </w:r>
          </w:p>
        </w:tc>
      </w:tr>
      <w:tr w:rsidR="008D6111" w:rsidRPr="007A5D71" w:rsidTr="00CD35BB">
        <w:tc>
          <w:tcPr>
            <w:tcW w:w="4110" w:type="dxa"/>
            <w:tcBorders>
              <w:top w:val="single" w:sz="4" w:space="0" w:color="auto"/>
            </w:tcBorders>
            <w:shd w:val="clear" w:color="auto" w:fill="auto"/>
            <w:vAlign w:val="center"/>
            <w:hideMark/>
          </w:tcPr>
          <w:p w:rsidR="008D6111" w:rsidRPr="004E7D79" w:rsidRDefault="008D6111" w:rsidP="004E7D79">
            <w:pPr>
              <w:pStyle w:val="Normalpool"/>
              <w:keepNext/>
              <w:keepLines/>
              <w:spacing w:before="40" w:after="40"/>
              <w:ind w:left="284"/>
              <w:rPr>
                <w:sz w:val="18"/>
                <w:szCs w:val="18"/>
                <w:lang w:eastAsia="en-AU"/>
              </w:rPr>
            </w:pPr>
            <w:r w:rsidRPr="004E7D79">
              <w:rPr>
                <w:sz w:val="18"/>
                <w:szCs w:val="18"/>
                <w:lang w:eastAsia="en-AU"/>
              </w:rPr>
              <w:t>Argentina</w:t>
            </w:r>
          </w:p>
        </w:tc>
        <w:tc>
          <w:tcPr>
            <w:tcW w:w="4110" w:type="dxa"/>
            <w:tcBorders>
              <w:top w:val="single" w:sz="4" w:space="0" w:color="auto"/>
            </w:tcBorders>
            <w:shd w:val="clear" w:color="auto" w:fill="auto"/>
            <w:vAlign w:val="center"/>
            <w:hideMark/>
          </w:tcPr>
          <w:p w:rsidR="008D6111" w:rsidRPr="006618E6" w:rsidRDefault="008D6111" w:rsidP="00CD35BB">
            <w:pPr>
              <w:pStyle w:val="Normalpool"/>
              <w:keepNext/>
              <w:keepLines/>
              <w:spacing w:before="40" w:after="40"/>
              <w:ind w:left="284" w:hanging="4"/>
              <w:jc w:val="center"/>
              <w:rPr>
                <w:bCs/>
                <w:sz w:val="18"/>
                <w:szCs w:val="18"/>
                <w:lang w:eastAsia="en-AU"/>
              </w:rPr>
            </w:pPr>
            <w:r w:rsidRPr="006618E6">
              <w:rPr>
                <w:sz w:val="18"/>
                <w:szCs w:val="18"/>
                <w:lang w:eastAsia="en-AU"/>
              </w:rPr>
              <w:t>76.7</w:t>
            </w:r>
          </w:p>
        </w:tc>
      </w:tr>
      <w:tr w:rsidR="008D6111" w:rsidRPr="007A5D71" w:rsidTr="00CD35BB">
        <w:tc>
          <w:tcPr>
            <w:tcW w:w="4110" w:type="dxa"/>
            <w:shd w:val="clear" w:color="auto" w:fill="auto"/>
            <w:vAlign w:val="center"/>
            <w:hideMark/>
          </w:tcPr>
          <w:p w:rsidR="008D6111" w:rsidRPr="004E7D79" w:rsidRDefault="008D6111" w:rsidP="004E7D79">
            <w:pPr>
              <w:pStyle w:val="Normalpool"/>
              <w:keepNext/>
              <w:keepLines/>
              <w:spacing w:before="40" w:after="40"/>
              <w:ind w:left="284"/>
              <w:rPr>
                <w:sz w:val="18"/>
                <w:szCs w:val="18"/>
                <w:lang w:eastAsia="en-AU"/>
              </w:rPr>
            </w:pPr>
            <w:r w:rsidRPr="004E7D79">
              <w:rPr>
                <w:sz w:val="18"/>
                <w:szCs w:val="18"/>
                <w:lang w:eastAsia="en-AU"/>
              </w:rPr>
              <w:t>Canada</w:t>
            </w:r>
          </w:p>
        </w:tc>
        <w:tc>
          <w:tcPr>
            <w:tcW w:w="4110" w:type="dxa"/>
            <w:shd w:val="clear" w:color="auto" w:fill="auto"/>
            <w:vAlign w:val="center"/>
            <w:hideMark/>
          </w:tcPr>
          <w:p w:rsidR="008D6111" w:rsidRPr="006618E6" w:rsidRDefault="008D6111" w:rsidP="00CD35BB">
            <w:pPr>
              <w:pStyle w:val="Normalpool"/>
              <w:keepNext/>
              <w:keepLines/>
              <w:spacing w:before="40" w:after="40"/>
              <w:ind w:left="510"/>
              <w:jc w:val="center"/>
              <w:rPr>
                <w:sz w:val="18"/>
                <w:szCs w:val="18"/>
                <w:lang w:eastAsia="en-AU"/>
              </w:rPr>
            </w:pPr>
            <w:r w:rsidRPr="006618E6">
              <w:rPr>
                <w:sz w:val="18"/>
                <w:szCs w:val="18"/>
                <w:lang w:eastAsia="en-AU"/>
              </w:rPr>
              <w:t>5.261</w:t>
            </w:r>
          </w:p>
        </w:tc>
      </w:tr>
      <w:tr w:rsidR="008D6111" w:rsidRPr="007A5D71" w:rsidTr="00CD35BB">
        <w:tc>
          <w:tcPr>
            <w:tcW w:w="4110" w:type="dxa"/>
            <w:shd w:val="clear" w:color="auto" w:fill="auto"/>
            <w:vAlign w:val="center"/>
            <w:hideMark/>
          </w:tcPr>
          <w:p w:rsidR="008D6111" w:rsidRPr="004E7D79" w:rsidRDefault="008D6111" w:rsidP="004E7D79">
            <w:pPr>
              <w:pStyle w:val="Normalpool"/>
              <w:keepNext/>
              <w:keepLines/>
              <w:spacing w:before="40" w:after="40"/>
              <w:ind w:left="284"/>
              <w:rPr>
                <w:sz w:val="18"/>
                <w:szCs w:val="18"/>
                <w:lang w:eastAsia="en-AU"/>
              </w:rPr>
            </w:pPr>
            <w:r w:rsidRPr="004E7D79">
              <w:rPr>
                <w:sz w:val="18"/>
                <w:szCs w:val="18"/>
                <w:lang w:eastAsia="en-AU"/>
              </w:rPr>
              <w:t>China</w:t>
            </w:r>
          </w:p>
        </w:tc>
        <w:tc>
          <w:tcPr>
            <w:tcW w:w="4110" w:type="dxa"/>
            <w:shd w:val="clear" w:color="auto" w:fill="auto"/>
            <w:vAlign w:val="center"/>
            <w:hideMark/>
          </w:tcPr>
          <w:p w:rsidR="008D6111" w:rsidRPr="006618E6" w:rsidRDefault="008D6111" w:rsidP="00CD35BB">
            <w:pPr>
              <w:pStyle w:val="Normalpool"/>
              <w:keepNext/>
              <w:keepLines/>
              <w:spacing w:before="40" w:after="40"/>
              <w:ind w:left="284"/>
              <w:jc w:val="center"/>
              <w:rPr>
                <w:sz w:val="18"/>
                <w:szCs w:val="18"/>
                <w:lang w:eastAsia="en-AU"/>
              </w:rPr>
            </w:pPr>
            <w:r w:rsidRPr="006618E6">
              <w:rPr>
                <w:sz w:val="18"/>
                <w:szCs w:val="18"/>
                <w:lang w:eastAsia="en-AU"/>
              </w:rPr>
              <w:t>87.24</w:t>
            </w:r>
          </w:p>
        </w:tc>
      </w:tr>
      <w:tr w:rsidR="008D6111" w:rsidRPr="007A5D71" w:rsidTr="00CD35BB">
        <w:tc>
          <w:tcPr>
            <w:tcW w:w="4110" w:type="dxa"/>
            <w:tcBorders>
              <w:bottom w:val="single" w:sz="12" w:space="0" w:color="auto"/>
            </w:tcBorders>
            <w:shd w:val="clear" w:color="auto" w:fill="auto"/>
            <w:vAlign w:val="center"/>
            <w:hideMark/>
          </w:tcPr>
          <w:p w:rsidR="008D6111" w:rsidRPr="004E7D79" w:rsidRDefault="008D6111" w:rsidP="004E7D79">
            <w:pPr>
              <w:pStyle w:val="Normalpool"/>
              <w:keepNext/>
              <w:keepLines/>
              <w:spacing w:before="40" w:after="40"/>
              <w:ind w:left="284"/>
              <w:rPr>
                <w:sz w:val="18"/>
                <w:szCs w:val="18"/>
                <w:lang w:eastAsia="en-AU"/>
              </w:rPr>
            </w:pPr>
            <w:r w:rsidRPr="004E7D79">
              <w:rPr>
                <w:sz w:val="18"/>
                <w:szCs w:val="18"/>
                <w:lang w:eastAsia="en-AU"/>
              </w:rPr>
              <w:t>South Africa</w:t>
            </w:r>
          </w:p>
        </w:tc>
        <w:tc>
          <w:tcPr>
            <w:tcW w:w="4110" w:type="dxa"/>
            <w:tcBorders>
              <w:bottom w:val="single" w:sz="12" w:space="0" w:color="auto"/>
            </w:tcBorders>
            <w:shd w:val="clear" w:color="auto" w:fill="auto"/>
            <w:vAlign w:val="center"/>
            <w:hideMark/>
          </w:tcPr>
          <w:p w:rsidR="008D6111" w:rsidRPr="006618E6" w:rsidRDefault="008D6111" w:rsidP="00CD35BB">
            <w:pPr>
              <w:pStyle w:val="Normalpool"/>
              <w:keepNext/>
              <w:keepLines/>
              <w:spacing w:before="40" w:after="40"/>
              <w:ind w:left="284"/>
              <w:jc w:val="center"/>
              <w:rPr>
                <w:sz w:val="18"/>
                <w:szCs w:val="18"/>
                <w:lang w:eastAsia="en-AU"/>
              </w:rPr>
            </w:pPr>
            <w:r w:rsidRPr="006618E6">
              <w:rPr>
                <w:sz w:val="18"/>
                <w:szCs w:val="18"/>
                <w:lang w:eastAsia="en-AU"/>
              </w:rPr>
              <w:t>45.65</w:t>
            </w:r>
          </w:p>
        </w:tc>
      </w:tr>
    </w:tbl>
    <w:p w:rsidR="009634A6" w:rsidRDefault="00240352" w:rsidP="00715700">
      <w:pPr>
        <w:pStyle w:val="CH1"/>
        <w:tabs>
          <w:tab w:val="left" w:pos="624"/>
          <w:tab w:val="left" w:pos="1871"/>
          <w:tab w:val="left" w:pos="2495"/>
          <w:tab w:val="left" w:pos="3119"/>
          <w:tab w:val="left" w:pos="4082"/>
        </w:tabs>
        <w:spacing w:before="20" w:after="0"/>
        <w:ind w:left="1253" w:right="0" w:hanging="1253"/>
        <w:rPr>
          <w:b w:val="0"/>
          <w:sz w:val="18"/>
          <w:szCs w:val="18"/>
        </w:rPr>
      </w:pPr>
      <w:r>
        <w:rPr>
          <w:sz w:val="24"/>
          <w:szCs w:val="24"/>
        </w:rPr>
        <w:tab/>
      </w:r>
      <w:r>
        <w:rPr>
          <w:sz w:val="24"/>
          <w:szCs w:val="24"/>
        </w:rPr>
        <w:tab/>
      </w:r>
      <w:r>
        <w:rPr>
          <w:sz w:val="24"/>
          <w:szCs w:val="24"/>
        </w:rPr>
        <w:tab/>
      </w:r>
      <w:r>
        <w:rPr>
          <w:sz w:val="24"/>
          <w:szCs w:val="24"/>
        </w:rPr>
        <w:tab/>
      </w:r>
      <w:proofErr w:type="gramStart"/>
      <w:r w:rsidRPr="00715700">
        <w:rPr>
          <w:b w:val="0"/>
          <w:sz w:val="18"/>
          <w:szCs w:val="18"/>
          <w:vertAlign w:val="superscript"/>
        </w:rPr>
        <w:t>a</w:t>
      </w:r>
      <w:proofErr w:type="gramEnd"/>
      <w:r w:rsidRPr="00715700">
        <w:rPr>
          <w:b w:val="0"/>
          <w:sz w:val="18"/>
          <w:szCs w:val="18"/>
        </w:rPr>
        <w:t xml:space="preserve"> Minus available stocks.</w:t>
      </w:r>
    </w:p>
    <w:p w:rsidR="009634A6" w:rsidRDefault="009634A6" w:rsidP="009634A6">
      <w:pPr>
        <w:pStyle w:val="CH1"/>
        <w:tabs>
          <w:tab w:val="left" w:pos="624"/>
          <w:tab w:val="left" w:pos="1871"/>
          <w:tab w:val="left" w:pos="2495"/>
          <w:tab w:val="left" w:pos="3119"/>
          <w:tab w:val="left" w:pos="4082"/>
        </w:tabs>
        <w:spacing w:before="20"/>
        <w:ind w:left="1253" w:right="0" w:hanging="1253"/>
        <w:rPr>
          <w:b w:val="0"/>
          <w:sz w:val="18"/>
          <w:szCs w:val="18"/>
        </w:rPr>
      </w:pPr>
      <w:r>
        <w:rPr>
          <w:sz w:val="24"/>
          <w:szCs w:val="24"/>
        </w:rPr>
        <w:tab/>
      </w:r>
      <w:r>
        <w:rPr>
          <w:sz w:val="24"/>
          <w:szCs w:val="24"/>
        </w:rPr>
        <w:tab/>
      </w:r>
      <w:r>
        <w:rPr>
          <w:sz w:val="24"/>
          <w:szCs w:val="24"/>
        </w:rPr>
        <w:tab/>
      </w:r>
      <w:proofErr w:type="gramStart"/>
      <w:r>
        <w:rPr>
          <w:b w:val="0"/>
          <w:sz w:val="18"/>
          <w:szCs w:val="18"/>
          <w:vertAlign w:val="superscript"/>
        </w:rPr>
        <w:t>b</w:t>
      </w:r>
      <w:proofErr w:type="gramEnd"/>
      <w:r w:rsidRPr="007E4333">
        <w:rPr>
          <w:b w:val="0"/>
          <w:sz w:val="18"/>
          <w:szCs w:val="18"/>
        </w:rPr>
        <w:t xml:space="preserve"> </w:t>
      </w:r>
      <w:r>
        <w:rPr>
          <w:b w:val="0"/>
          <w:sz w:val="18"/>
          <w:szCs w:val="18"/>
        </w:rPr>
        <w:t>T</w:t>
      </w:r>
      <w:r w:rsidRPr="00715700">
        <w:rPr>
          <w:b w:val="0"/>
          <w:sz w:val="18"/>
          <w:szCs w:val="18"/>
          <w:lang w:val="en"/>
        </w:rPr>
        <w:t>onnes = metric tons</w:t>
      </w:r>
      <w:r w:rsidRPr="009634A6">
        <w:rPr>
          <w:b w:val="0"/>
          <w:sz w:val="18"/>
          <w:szCs w:val="18"/>
        </w:rPr>
        <w:t>.</w:t>
      </w:r>
      <w:r>
        <w:rPr>
          <w:b w:val="0"/>
          <w:sz w:val="18"/>
          <w:szCs w:val="18"/>
        </w:rPr>
        <w:t xml:space="preserve"> </w:t>
      </w:r>
    </w:p>
    <w:p w:rsidR="009634A6" w:rsidRDefault="00240352" w:rsidP="00715700">
      <w:pPr>
        <w:pStyle w:val="CH1"/>
        <w:tabs>
          <w:tab w:val="left" w:pos="624"/>
          <w:tab w:val="left" w:pos="1871"/>
          <w:tab w:val="left" w:pos="2495"/>
          <w:tab w:val="left" w:pos="3119"/>
          <w:tab w:val="left" w:pos="4082"/>
        </w:tabs>
        <w:spacing w:before="20"/>
        <w:ind w:left="1253" w:right="0" w:hanging="1253"/>
        <w:rPr>
          <w:b w:val="0"/>
          <w:sz w:val="18"/>
          <w:szCs w:val="18"/>
        </w:rPr>
      </w:pPr>
      <w:r>
        <w:rPr>
          <w:b w:val="0"/>
          <w:sz w:val="18"/>
          <w:szCs w:val="18"/>
        </w:rPr>
        <w:t xml:space="preserve"> </w:t>
      </w:r>
    </w:p>
    <w:p w:rsidR="008D6111" w:rsidRPr="00AB02F5" w:rsidRDefault="008D6111" w:rsidP="00715700">
      <w:pPr>
        <w:pStyle w:val="CH1"/>
        <w:tabs>
          <w:tab w:val="left" w:pos="624"/>
          <w:tab w:val="left" w:pos="1871"/>
          <w:tab w:val="left" w:pos="2495"/>
          <w:tab w:val="left" w:pos="3119"/>
          <w:tab w:val="left" w:pos="4082"/>
        </w:tabs>
        <w:spacing w:before="20"/>
        <w:ind w:left="1253" w:right="0" w:hanging="1253"/>
        <w:rPr>
          <w:sz w:val="24"/>
          <w:szCs w:val="24"/>
        </w:rPr>
      </w:pPr>
      <w:r>
        <w:rPr>
          <w:sz w:val="24"/>
          <w:szCs w:val="24"/>
        </w:rPr>
        <w:tab/>
      </w:r>
      <w:r>
        <w:rPr>
          <w:sz w:val="24"/>
          <w:szCs w:val="24"/>
        </w:rPr>
        <w:tab/>
      </w:r>
      <w:r>
        <w:rPr>
          <w:sz w:val="24"/>
          <w:szCs w:val="24"/>
        </w:rPr>
        <w:tab/>
        <w:t xml:space="preserve">Decision XXIX/7: </w:t>
      </w:r>
      <w:r w:rsidRPr="00AB02F5">
        <w:rPr>
          <w:sz w:val="24"/>
          <w:szCs w:val="24"/>
        </w:rPr>
        <w:t>Use of controlled substances as process agents</w:t>
      </w:r>
    </w:p>
    <w:p w:rsidR="008D6111" w:rsidRPr="00AB02F5" w:rsidRDefault="008D6111" w:rsidP="004E7D79">
      <w:pPr>
        <w:pStyle w:val="Normalpool"/>
        <w:tabs>
          <w:tab w:val="clear" w:pos="1253"/>
          <w:tab w:val="clear" w:pos="1814"/>
          <w:tab w:val="clear" w:pos="2376"/>
          <w:tab w:val="clear" w:pos="2952"/>
          <w:tab w:val="clear" w:pos="3514"/>
          <w:tab w:val="left" w:pos="624"/>
        </w:tabs>
        <w:spacing w:after="120"/>
        <w:ind w:left="1247" w:firstLine="624"/>
      </w:pPr>
      <w:r w:rsidRPr="00AB02F5">
        <w:rPr>
          <w:i/>
        </w:rPr>
        <w:t xml:space="preserve">Taking note with appreciation </w:t>
      </w:r>
      <w:r w:rsidRPr="00AB02F5">
        <w:t>of the 2017 progress report of the Technology and Economic Assessment Panel, especially insofar as it pertains to process agents,</w:t>
      </w:r>
    </w:p>
    <w:p w:rsidR="008D6111" w:rsidRPr="00AB02F5" w:rsidRDefault="008D6111" w:rsidP="004E7D79">
      <w:pPr>
        <w:pStyle w:val="Normalpool"/>
        <w:tabs>
          <w:tab w:val="clear" w:pos="1253"/>
          <w:tab w:val="clear" w:pos="1814"/>
          <w:tab w:val="clear" w:pos="2376"/>
          <w:tab w:val="clear" w:pos="2952"/>
          <w:tab w:val="clear" w:pos="3514"/>
          <w:tab w:val="left" w:pos="624"/>
        </w:tabs>
        <w:spacing w:after="120"/>
        <w:ind w:left="1247" w:firstLine="624"/>
      </w:pPr>
      <w:r w:rsidRPr="00AB02F5">
        <w:rPr>
          <w:i/>
        </w:rPr>
        <w:t xml:space="preserve">Recalling </w:t>
      </w:r>
      <w:r w:rsidRPr="00AB02F5">
        <w:t>that table A of decision X/14 on process agents has been updated through decisions XV/6, XVII/7, XIX/15, XXI/3, XXII/8 and XXIII/7,</w:t>
      </w:r>
    </w:p>
    <w:p w:rsidR="008D6111" w:rsidRPr="00AB02F5" w:rsidRDefault="008D6111" w:rsidP="004E7D79">
      <w:pPr>
        <w:pStyle w:val="Normalpool"/>
        <w:tabs>
          <w:tab w:val="clear" w:pos="1253"/>
          <w:tab w:val="clear" w:pos="1814"/>
          <w:tab w:val="clear" w:pos="2376"/>
          <w:tab w:val="clear" w:pos="2952"/>
          <w:tab w:val="clear" w:pos="3514"/>
          <w:tab w:val="left" w:pos="624"/>
        </w:tabs>
        <w:spacing w:after="120"/>
        <w:ind w:left="1247" w:firstLine="624"/>
      </w:pPr>
      <w:r w:rsidRPr="00AB02F5">
        <w:rPr>
          <w:i/>
        </w:rPr>
        <w:t xml:space="preserve">Noting </w:t>
      </w:r>
      <w:r w:rsidRPr="00AB02F5">
        <w:t>that the Panel, in its 2017 progress report, takes account of the information provided by parties in accordance with decision XXI/3,</w:t>
      </w:r>
    </w:p>
    <w:p w:rsidR="008D6111" w:rsidRPr="00AB02F5" w:rsidRDefault="008D6111" w:rsidP="004E7D79">
      <w:pPr>
        <w:pStyle w:val="Normalpool"/>
        <w:tabs>
          <w:tab w:val="clear" w:pos="1253"/>
          <w:tab w:val="clear" w:pos="1814"/>
          <w:tab w:val="clear" w:pos="2376"/>
          <w:tab w:val="clear" w:pos="2952"/>
          <w:tab w:val="clear" w:pos="3514"/>
          <w:tab w:val="left" w:pos="624"/>
        </w:tabs>
        <w:spacing w:after="120"/>
        <w:ind w:left="1247" w:firstLine="624"/>
      </w:pPr>
      <w:r w:rsidRPr="00AB02F5">
        <w:rPr>
          <w:i/>
        </w:rPr>
        <w:t>Noting also</w:t>
      </w:r>
      <w:r w:rsidRPr="00AB02F5">
        <w:t xml:space="preserve"> that, in its 2017 progress report, the Panel recommends the removal of three processes from table A of decision X/14, as updated through decision XXIII/7,</w:t>
      </w:r>
    </w:p>
    <w:p w:rsidR="008D6111" w:rsidRPr="00AB02F5" w:rsidRDefault="008D6111" w:rsidP="004E7D79">
      <w:pPr>
        <w:pStyle w:val="Normalpool"/>
        <w:tabs>
          <w:tab w:val="clear" w:pos="1253"/>
          <w:tab w:val="clear" w:pos="1814"/>
          <w:tab w:val="clear" w:pos="2376"/>
          <w:tab w:val="clear" w:pos="2952"/>
          <w:tab w:val="clear" w:pos="3514"/>
          <w:tab w:val="left" w:pos="624"/>
        </w:tabs>
        <w:spacing w:after="120"/>
        <w:ind w:left="1247" w:firstLine="624"/>
      </w:pPr>
      <w:r>
        <w:tab/>
        <w:t>1.</w:t>
      </w:r>
      <w:r>
        <w:tab/>
      </w:r>
      <w:r w:rsidRPr="00AB02F5">
        <w:t>To update table A of decision X/14 as set out in the annex to the present decision;</w:t>
      </w:r>
    </w:p>
    <w:p w:rsidR="008D6111" w:rsidRPr="00AB02F5" w:rsidRDefault="008D6111" w:rsidP="004E7D79">
      <w:pPr>
        <w:pStyle w:val="Normalpool"/>
        <w:tabs>
          <w:tab w:val="clear" w:pos="1253"/>
          <w:tab w:val="clear" w:pos="1814"/>
          <w:tab w:val="clear" w:pos="2376"/>
          <w:tab w:val="clear" w:pos="2952"/>
          <w:tab w:val="clear" w:pos="3514"/>
          <w:tab w:val="left" w:pos="624"/>
        </w:tabs>
        <w:spacing w:after="120"/>
        <w:ind w:left="1247" w:firstLine="624"/>
      </w:pPr>
      <w:r>
        <w:tab/>
        <w:t>2.</w:t>
      </w:r>
      <w:r>
        <w:tab/>
      </w:r>
      <w:r w:rsidRPr="00AB02F5">
        <w:t>To urge parties to update their information on the use of controlled substances as process agents and to provide the Secretariat, by 31 December 2017, with information on the implementation and development of emissions reduction techniques;</w:t>
      </w:r>
    </w:p>
    <w:p w:rsidR="008D6111" w:rsidRPr="00AB02F5" w:rsidRDefault="008D6111" w:rsidP="004E7D79">
      <w:pPr>
        <w:pStyle w:val="Normalpool"/>
        <w:tabs>
          <w:tab w:val="clear" w:pos="1253"/>
          <w:tab w:val="clear" w:pos="1814"/>
          <w:tab w:val="clear" w:pos="2376"/>
          <w:tab w:val="clear" w:pos="2952"/>
          <w:tab w:val="clear" w:pos="3514"/>
          <w:tab w:val="left" w:pos="624"/>
        </w:tabs>
        <w:spacing w:after="120"/>
        <w:ind w:left="1247" w:firstLine="624"/>
      </w:pPr>
      <w:r w:rsidRPr="00AB02F5">
        <w:t>3.</w:t>
      </w:r>
      <w:r w:rsidRPr="00AB02F5">
        <w:tab/>
        <w:t>To request the Technology and Economic Assessment Panel to report to the Open</w:t>
      </w:r>
      <w:r w:rsidR="00F917A7">
        <w:noBreakHyphen/>
      </w:r>
      <w:r w:rsidRPr="00AB02F5">
        <w:t>ended Working Group of the Parties to the Montreal Protocol on Substances that Deplete the Ozone Layer at its forty-first meeting on the industrial application of any alternative technologies employed by parties in the processes listed in table A, as updated in the annex to the present decision</w:t>
      </w:r>
      <w:r w:rsidR="00A42678">
        <w:t>;</w:t>
      </w:r>
    </w:p>
    <w:p w:rsidR="008D6111" w:rsidRPr="004E7D79" w:rsidRDefault="0023538F">
      <w:pPr>
        <w:pStyle w:val="CH1"/>
        <w:spacing w:before="120"/>
        <w:rPr>
          <w:sz w:val="24"/>
          <w:szCs w:val="24"/>
          <w:lang w:eastAsia="en-AU"/>
        </w:rPr>
      </w:pPr>
      <w:r>
        <w:rPr>
          <w:sz w:val="24"/>
          <w:szCs w:val="24"/>
          <w:lang w:eastAsia="en-AU"/>
        </w:rPr>
        <w:lastRenderedPageBreak/>
        <w:tab/>
      </w:r>
      <w:r>
        <w:rPr>
          <w:sz w:val="24"/>
          <w:szCs w:val="24"/>
          <w:lang w:eastAsia="en-AU"/>
        </w:rPr>
        <w:tab/>
      </w:r>
      <w:r w:rsidR="008D6111" w:rsidRPr="004E7D79">
        <w:rPr>
          <w:sz w:val="24"/>
          <w:szCs w:val="24"/>
          <w:lang w:eastAsia="en-AU"/>
        </w:rPr>
        <w:t>Annex to decision XXIX/</w:t>
      </w:r>
      <w:r w:rsidR="00F65FC9" w:rsidRPr="004E7D79">
        <w:rPr>
          <w:sz w:val="24"/>
          <w:szCs w:val="24"/>
          <w:lang w:eastAsia="en-AU"/>
        </w:rPr>
        <w:t>7</w:t>
      </w:r>
    </w:p>
    <w:p w:rsidR="0023538F" w:rsidRPr="004E7D79" w:rsidRDefault="008D6111">
      <w:pPr>
        <w:pStyle w:val="Titletable"/>
        <w:spacing w:before="120"/>
        <w:rPr>
          <w:b w:val="0"/>
          <w:lang w:eastAsia="en-AU"/>
        </w:rPr>
      </w:pPr>
      <w:r w:rsidRPr="002C0063">
        <w:rPr>
          <w:b w:val="0"/>
          <w:lang w:eastAsia="en-AU"/>
        </w:rPr>
        <w:t>Table A</w:t>
      </w:r>
      <w:r w:rsidRPr="004E7D79">
        <w:rPr>
          <w:b w:val="0"/>
          <w:lang w:eastAsia="en-AU"/>
        </w:rPr>
        <w:t xml:space="preserve"> </w:t>
      </w:r>
    </w:p>
    <w:p w:rsidR="008D6111" w:rsidRPr="00FB18B9" w:rsidRDefault="008D6111">
      <w:pPr>
        <w:pStyle w:val="Titletable"/>
        <w:outlineLvl w:val="0"/>
        <w:rPr>
          <w:lang w:eastAsia="en-AU"/>
        </w:rPr>
      </w:pPr>
      <w:r w:rsidRPr="002C0063">
        <w:rPr>
          <w:lang w:eastAsia="en-AU"/>
        </w:rPr>
        <w:t>List of uses of controlled sub</w:t>
      </w:r>
      <w:r w:rsidRPr="00FB18B9">
        <w:rPr>
          <w:lang w:eastAsia="en-AU"/>
        </w:rPr>
        <w:t>stances as process agents</w:t>
      </w:r>
    </w:p>
    <w:tbl>
      <w:tblPr>
        <w:tblW w:w="8221" w:type="dxa"/>
        <w:tblInd w:w="1385" w:type="dxa"/>
        <w:tblLook w:val="04A0" w:firstRow="1" w:lastRow="0" w:firstColumn="1" w:lastColumn="0" w:noHBand="0" w:noVBand="1"/>
      </w:tblPr>
      <w:tblGrid>
        <w:gridCol w:w="708"/>
        <w:gridCol w:w="3261"/>
        <w:gridCol w:w="1843"/>
        <w:gridCol w:w="2409"/>
      </w:tblGrid>
      <w:tr w:rsidR="008D6111" w:rsidRPr="00AB02F5" w:rsidTr="004E7D79">
        <w:tc>
          <w:tcPr>
            <w:tcW w:w="708" w:type="dxa"/>
            <w:tcBorders>
              <w:top w:val="single" w:sz="4" w:space="0" w:color="auto"/>
              <w:left w:val="nil"/>
              <w:bottom w:val="single" w:sz="12" w:space="0" w:color="auto"/>
              <w:right w:val="nil"/>
            </w:tcBorders>
            <w:hideMark/>
          </w:tcPr>
          <w:p w:rsidR="008D6111" w:rsidRPr="00AB02F5" w:rsidRDefault="008D6111" w:rsidP="00CD35BB">
            <w:pPr>
              <w:keepNext/>
              <w:keepLines/>
              <w:spacing w:before="40" w:after="40"/>
              <w:rPr>
                <w:b/>
                <w:i/>
                <w:sz w:val="18"/>
                <w:szCs w:val="18"/>
              </w:rPr>
            </w:pPr>
            <w:r w:rsidRPr="00AB02F5">
              <w:rPr>
                <w:i/>
                <w:sz w:val="18"/>
                <w:szCs w:val="18"/>
              </w:rPr>
              <w:t>No.</w:t>
            </w:r>
          </w:p>
        </w:tc>
        <w:tc>
          <w:tcPr>
            <w:tcW w:w="3261" w:type="dxa"/>
            <w:tcBorders>
              <w:top w:val="single" w:sz="4" w:space="0" w:color="auto"/>
              <w:left w:val="nil"/>
              <w:bottom w:val="single" w:sz="12" w:space="0" w:color="auto"/>
              <w:right w:val="nil"/>
            </w:tcBorders>
            <w:hideMark/>
          </w:tcPr>
          <w:p w:rsidR="008D6111" w:rsidRPr="00AB02F5" w:rsidRDefault="008D6111" w:rsidP="00CD35BB">
            <w:pPr>
              <w:keepNext/>
              <w:keepLines/>
              <w:spacing w:before="40" w:after="40"/>
              <w:rPr>
                <w:b/>
                <w:i/>
                <w:sz w:val="18"/>
                <w:szCs w:val="18"/>
              </w:rPr>
            </w:pPr>
            <w:r w:rsidRPr="00AB02F5">
              <w:rPr>
                <w:i/>
                <w:sz w:val="18"/>
                <w:szCs w:val="18"/>
              </w:rPr>
              <w:t>Process agent application</w:t>
            </w:r>
          </w:p>
        </w:tc>
        <w:tc>
          <w:tcPr>
            <w:tcW w:w="1843" w:type="dxa"/>
            <w:tcBorders>
              <w:top w:val="single" w:sz="4" w:space="0" w:color="auto"/>
              <w:left w:val="nil"/>
              <w:bottom w:val="single" w:sz="12" w:space="0" w:color="auto"/>
              <w:right w:val="nil"/>
            </w:tcBorders>
            <w:hideMark/>
          </w:tcPr>
          <w:p w:rsidR="008D6111" w:rsidRPr="00AB02F5" w:rsidRDefault="008D6111" w:rsidP="00CD35BB">
            <w:pPr>
              <w:keepNext/>
              <w:keepLines/>
              <w:spacing w:before="40" w:after="40"/>
              <w:rPr>
                <w:b/>
                <w:i/>
                <w:sz w:val="18"/>
                <w:szCs w:val="18"/>
              </w:rPr>
            </w:pPr>
            <w:r w:rsidRPr="00AB02F5">
              <w:rPr>
                <w:i/>
                <w:sz w:val="18"/>
                <w:szCs w:val="18"/>
              </w:rPr>
              <w:t>Substance</w:t>
            </w:r>
          </w:p>
        </w:tc>
        <w:tc>
          <w:tcPr>
            <w:tcW w:w="2409" w:type="dxa"/>
            <w:tcBorders>
              <w:top w:val="single" w:sz="4" w:space="0" w:color="auto"/>
              <w:left w:val="nil"/>
              <w:bottom w:val="single" w:sz="12" w:space="0" w:color="auto"/>
              <w:right w:val="nil"/>
            </w:tcBorders>
            <w:hideMark/>
          </w:tcPr>
          <w:p w:rsidR="008D6111" w:rsidRPr="00AB02F5" w:rsidRDefault="008D6111" w:rsidP="00CD35BB">
            <w:pPr>
              <w:keepNext/>
              <w:keepLines/>
              <w:spacing w:before="40" w:after="40"/>
              <w:rPr>
                <w:b/>
                <w:i/>
                <w:sz w:val="18"/>
                <w:szCs w:val="18"/>
              </w:rPr>
            </w:pPr>
            <w:r w:rsidRPr="00AB02F5">
              <w:rPr>
                <w:i/>
                <w:sz w:val="18"/>
                <w:szCs w:val="18"/>
              </w:rPr>
              <w:t>Permitted parties</w:t>
            </w:r>
          </w:p>
        </w:tc>
      </w:tr>
      <w:tr w:rsidR="008D6111" w:rsidRPr="00AB02F5" w:rsidTr="004E7D79">
        <w:tc>
          <w:tcPr>
            <w:tcW w:w="708" w:type="dxa"/>
            <w:tcBorders>
              <w:top w:val="single" w:sz="12" w:space="0" w:color="auto"/>
              <w:left w:val="nil"/>
              <w:bottom w:val="nil"/>
              <w:right w:val="nil"/>
            </w:tcBorders>
            <w:hideMark/>
          </w:tcPr>
          <w:p w:rsidR="008D6111" w:rsidRPr="00AB02F5" w:rsidRDefault="008D6111" w:rsidP="00CD35BB">
            <w:pPr>
              <w:keepNext/>
              <w:keepLines/>
              <w:spacing w:before="40" w:after="40"/>
              <w:rPr>
                <w:sz w:val="18"/>
                <w:szCs w:val="18"/>
              </w:rPr>
            </w:pPr>
            <w:r w:rsidRPr="00AB02F5">
              <w:rPr>
                <w:sz w:val="18"/>
                <w:szCs w:val="18"/>
              </w:rPr>
              <w:t>1</w:t>
            </w:r>
          </w:p>
        </w:tc>
        <w:tc>
          <w:tcPr>
            <w:tcW w:w="3261" w:type="dxa"/>
            <w:tcBorders>
              <w:top w:val="single" w:sz="12" w:space="0" w:color="auto"/>
              <w:left w:val="nil"/>
              <w:bottom w:val="nil"/>
              <w:right w:val="nil"/>
            </w:tcBorders>
            <w:hideMark/>
          </w:tcPr>
          <w:p w:rsidR="008D6111" w:rsidRPr="00AB02F5" w:rsidRDefault="008D6111" w:rsidP="00CD35BB">
            <w:pPr>
              <w:keepNext/>
              <w:keepLines/>
              <w:spacing w:before="40" w:after="40"/>
              <w:rPr>
                <w:sz w:val="18"/>
                <w:szCs w:val="18"/>
              </w:rPr>
            </w:pPr>
            <w:r w:rsidRPr="00AB02F5">
              <w:rPr>
                <w:sz w:val="18"/>
                <w:szCs w:val="18"/>
              </w:rPr>
              <w:t xml:space="preserve">Elimination of NCl3 in chlor-alkali production </w:t>
            </w:r>
          </w:p>
        </w:tc>
        <w:tc>
          <w:tcPr>
            <w:tcW w:w="1843" w:type="dxa"/>
            <w:tcBorders>
              <w:top w:val="single" w:sz="12" w:space="0" w:color="auto"/>
              <w:left w:val="nil"/>
              <w:bottom w:val="nil"/>
              <w:right w:val="nil"/>
            </w:tcBorders>
            <w:hideMark/>
          </w:tcPr>
          <w:p w:rsidR="008D6111" w:rsidRPr="00AB02F5" w:rsidRDefault="008D6111" w:rsidP="00CD35BB">
            <w:pPr>
              <w:keepNext/>
              <w:keepLines/>
              <w:spacing w:before="40" w:after="40"/>
              <w:rPr>
                <w:sz w:val="18"/>
                <w:szCs w:val="18"/>
              </w:rPr>
            </w:pPr>
            <w:r w:rsidRPr="00AB02F5">
              <w:rPr>
                <w:sz w:val="18"/>
                <w:szCs w:val="18"/>
              </w:rPr>
              <w:t>CTC</w:t>
            </w:r>
          </w:p>
        </w:tc>
        <w:tc>
          <w:tcPr>
            <w:tcW w:w="2409" w:type="dxa"/>
            <w:tcBorders>
              <w:top w:val="single" w:sz="12" w:space="0" w:color="auto"/>
              <w:left w:val="nil"/>
              <w:bottom w:val="nil"/>
              <w:right w:val="nil"/>
            </w:tcBorders>
            <w:hideMark/>
          </w:tcPr>
          <w:p w:rsidR="008D6111" w:rsidRPr="00AB02F5" w:rsidRDefault="008D6111" w:rsidP="00CD35BB">
            <w:pPr>
              <w:keepNext/>
              <w:keepLines/>
              <w:spacing w:before="40" w:after="40"/>
              <w:rPr>
                <w:sz w:val="18"/>
                <w:szCs w:val="18"/>
              </w:rPr>
            </w:pPr>
            <w:r w:rsidRPr="00AB02F5">
              <w:rPr>
                <w:sz w:val="18"/>
                <w:szCs w:val="18"/>
              </w:rPr>
              <w:t>European Union, Israel, United States of America</w:t>
            </w:r>
          </w:p>
        </w:tc>
      </w:tr>
      <w:tr w:rsidR="008D6111" w:rsidRPr="00AB02F5" w:rsidTr="004E7D79">
        <w:tc>
          <w:tcPr>
            <w:tcW w:w="708" w:type="dxa"/>
            <w:hideMark/>
          </w:tcPr>
          <w:p w:rsidR="008D6111" w:rsidRPr="00AB02F5" w:rsidRDefault="008D6111" w:rsidP="00CD35BB">
            <w:pPr>
              <w:keepNext/>
              <w:keepLines/>
              <w:spacing w:before="40" w:after="40"/>
              <w:rPr>
                <w:sz w:val="18"/>
                <w:szCs w:val="18"/>
              </w:rPr>
            </w:pPr>
            <w:r w:rsidRPr="00AB02F5">
              <w:rPr>
                <w:sz w:val="18"/>
                <w:szCs w:val="18"/>
              </w:rPr>
              <w:t>2</w:t>
            </w:r>
          </w:p>
        </w:tc>
        <w:tc>
          <w:tcPr>
            <w:tcW w:w="3261" w:type="dxa"/>
            <w:hideMark/>
          </w:tcPr>
          <w:p w:rsidR="008D6111" w:rsidRPr="00AB02F5" w:rsidRDefault="008D6111" w:rsidP="00CD35BB">
            <w:pPr>
              <w:keepNext/>
              <w:keepLines/>
              <w:spacing w:before="40" w:after="40"/>
              <w:rPr>
                <w:sz w:val="18"/>
                <w:szCs w:val="18"/>
              </w:rPr>
            </w:pPr>
            <w:r w:rsidRPr="00AB02F5">
              <w:rPr>
                <w:sz w:val="18"/>
                <w:szCs w:val="18"/>
              </w:rPr>
              <w:t>Recovery of chlorine by tail gas absorption from chlor-alkali production</w:t>
            </w:r>
          </w:p>
        </w:tc>
        <w:tc>
          <w:tcPr>
            <w:tcW w:w="1843" w:type="dxa"/>
            <w:hideMark/>
          </w:tcPr>
          <w:p w:rsidR="008D6111" w:rsidRPr="00AB02F5" w:rsidRDefault="008D6111" w:rsidP="00CD35BB">
            <w:pPr>
              <w:keepNext/>
              <w:keepLines/>
              <w:spacing w:before="40" w:after="40"/>
              <w:rPr>
                <w:sz w:val="18"/>
                <w:szCs w:val="18"/>
              </w:rPr>
            </w:pPr>
            <w:r w:rsidRPr="00AB02F5">
              <w:rPr>
                <w:sz w:val="18"/>
                <w:szCs w:val="18"/>
              </w:rPr>
              <w:t>CTC</w:t>
            </w:r>
          </w:p>
        </w:tc>
        <w:tc>
          <w:tcPr>
            <w:tcW w:w="2409" w:type="dxa"/>
            <w:hideMark/>
          </w:tcPr>
          <w:p w:rsidR="008D6111" w:rsidRPr="00AB02F5" w:rsidRDefault="008D6111" w:rsidP="00CD35BB">
            <w:pPr>
              <w:keepNext/>
              <w:keepLines/>
              <w:spacing w:before="40" w:after="40"/>
              <w:rPr>
                <w:sz w:val="18"/>
                <w:szCs w:val="18"/>
              </w:rPr>
            </w:pPr>
            <w:r w:rsidRPr="00AB02F5">
              <w:rPr>
                <w:sz w:val="18"/>
                <w:szCs w:val="18"/>
              </w:rPr>
              <w:t>European Union, United States of America</w:t>
            </w:r>
          </w:p>
        </w:tc>
      </w:tr>
      <w:tr w:rsidR="008D6111" w:rsidRPr="00AB02F5" w:rsidTr="004E7D79">
        <w:tc>
          <w:tcPr>
            <w:tcW w:w="708" w:type="dxa"/>
            <w:hideMark/>
          </w:tcPr>
          <w:p w:rsidR="008D6111" w:rsidRPr="00AB02F5" w:rsidRDefault="008D6111" w:rsidP="008D6111">
            <w:pPr>
              <w:spacing w:before="40" w:after="40"/>
              <w:rPr>
                <w:sz w:val="18"/>
                <w:szCs w:val="18"/>
              </w:rPr>
            </w:pPr>
            <w:r w:rsidRPr="00AB02F5">
              <w:rPr>
                <w:sz w:val="18"/>
                <w:szCs w:val="18"/>
              </w:rPr>
              <w:t>3</w:t>
            </w:r>
          </w:p>
        </w:tc>
        <w:tc>
          <w:tcPr>
            <w:tcW w:w="3261" w:type="dxa"/>
            <w:hideMark/>
          </w:tcPr>
          <w:p w:rsidR="008D6111" w:rsidRPr="00AB02F5" w:rsidRDefault="008D6111" w:rsidP="008D6111">
            <w:pPr>
              <w:spacing w:before="40" w:after="40"/>
              <w:rPr>
                <w:sz w:val="18"/>
                <w:szCs w:val="18"/>
              </w:rPr>
            </w:pPr>
            <w:r w:rsidRPr="00AB02F5">
              <w:rPr>
                <w:sz w:val="18"/>
                <w:szCs w:val="18"/>
              </w:rPr>
              <w:t>Production of chlorinated rubber</w:t>
            </w:r>
          </w:p>
        </w:tc>
        <w:tc>
          <w:tcPr>
            <w:tcW w:w="1843" w:type="dxa"/>
            <w:hideMark/>
          </w:tcPr>
          <w:p w:rsidR="008D6111" w:rsidRPr="00AB02F5" w:rsidRDefault="008D6111" w:rsidP="008D6111">
            <w:pPr>
              <w:spacing w:before="40" w:after="40"/>
              <w:rPr>
                <w:sz w:val="18"/>
                <w:szCs w:val="18"/>
              </w:rPr>
            </w:pPr>
            <w:r w:rsidRPr="00AB02F5">
              <w:rPr>
                <w:sz w:val="18"/>
                <w:szCs w:val="18"/>
              </w:rPr>
              <w:t>CTC</w:t>
            </w:r>
          </w:p>
        </w:tc>
        <w:tc>
          <w:tcPr>
            <w:tcW w:w="2409" w:type="dxa"/>
            <w:hideMark/>
          </w:tcPr>
          <w:p w:rsidR="008D6111" w:rsidRPr="00AB02F5" w:rsidRDefault="008D6111" w:rsidP="008D6111">
            <w:pPr>
              <w:spacing w:before="40" w:after="40"/>
              <w:rPr>
                <w:sz w:val="18"/>
                <w:szCs w:val="18"/>
              </w:rPr>
            </w:pPr>
            <w:r w:rsidRPr="00AB02F5">
              <w:rPr>
                <w:sz w:val="18"/>
                <w:szCs w:val="18"/>
              </w:rPr>
              <w:t>European Union</w:t>
            </w:r>
          </w:p>
        </w:tc>
      </w:tr>
      <w:tr w:rsidR="008D6111" w:rsidRPr="00AB02F5" w:rsidTr="004E7D79">
        <w:tc>
          <w:tcPr>
            <w:tcW w:w="708" w:type="dxa"/>
            <w:hideMark/>
          </w:tcPr>
          <w:p w:rsidR="008D6111" w:rsidRPr="00AB02F5" w:rsidRDefault="008D6111" w:rsidP="008D6111">
            <w:pPr>
              <w:spacing w:before="40" w:after="40"/>
              <w:rPr>
                <w:sz w:val="18"/>
                <w:szCs w:val="18"/>
              </w:rPr>
            </w:pPr>
            <w:r w:rsidRPr="00AB02F5">
              <w:rPr>
                <w:sz w:val="18"/>
                <w:szCs w:val="18"/>
              </w:rPr>
              <w:t>4</w:t>
            </w:r>
          </w:p>
        </w:tc>
        <w:tc>
          <w:tcPr>
            <w:tcW w:w="3261" w:type="dxa"/>
            <w:hideMark/>
          </w:tcPr>
          <w:p w:rsidR="008D6111" w:rsidRPr="00AB02F5" w:rsidRDefault="008D6111" w:rsidP="008D6111">
            <w:pPr>
              <w:spacing w:before="40" w:after="40"/>
              <w:rPr>
                <w:sz w:val="18"/>
                <w:szCs w:val="18"/>
              </w:rPr>
            </w:pPr>
            <w:r w:rsidRPr="00AB02F5">
              <w:rPr>
                <w:sz w:val="18"/>
                <w:szCs w:val="18"/>
              </w:rPr>
              <w:t>Production of chlorosulfonated polyolefin (CSM)</w:t>
            </w:r>
          </w:p>
        </w:tc>
        <w:tc>
          <w:tcPr>
            <w:tcW w:w="1843" w:type="dxa"/>
            <w:hideMark/>
          </w:tcPr>
          <w:p w:rsidR="008D6111" w:rsidRPr="00AB02F5" w:rsidRDefault="008D6111" w:rsidP="008D6111">
            <w:pPr>
              <w:spacing w:before="40" w:after="40"/>
              <w:rPr>
                <w:sz w:val="18"/>
                <w:szCs w:val="18"/>
              </w:rPr>
            </w:pPr>
            <w:r w:rsidRPr="00AB02F5">
              <w:rPr>
                <w:sz w:val="18"/>
                <w:szCs w:val="18"/>
              </w:rPr>
              <w:t>CTC</w:t>
            </w:r>
          </w:p>
        </w:tc>
        <w:tc>
          <w:tcPr>
            <w:tcW w:w="2409" w:type="dxa"/>
            <w:hideMark/>
          </w:tcPr>
          <w:p w:rsidR="008D6111" w:rsidRPr="00AB02F5" w:rsidRDefault="008D6111" w:rsidP="008D6111">
            <w:pPr>
              <w:spacing w:before="40" w:after="40"/>
              <w:rPr>
                <w:sz w:val="18"/>
                <w:szCs w:val="18"/>
              </w:rPr>
            </w:pPr>
            <w:r w:rsidRPr="00AB02F5">
              <w:rPr>
                <w:sz w:val="18"/>
                <w:szCs w:val="18"/>
              </w:rPr>
              <w:t>China</w:t>
            </w:r>
          </w:p>
        </w:tc>
      </w:tr>
      <w:tr w:rsidR="008D6111" w:rsidRPr="00AB02F5" w:rsidTr="004E7D79">
        <w:tc>
          <w:tcPr>
            <w:tcW w:w="708" w:type="dxa"/>
            <w:hideMark/>
          </w:tcPr>
          <w:p w:rsidR="008D6111" w:rsidRPr="00AB02F5" w:rsidRDefault="008D6111" w:rsidP="008D6111">
            <w:pPr>
              <w:spacing w:before="40" w:after="40"/>
              <w:rPr>
                <w:sz w:val="18"/>
                <w:szCs w:val="18"/>
              </w:rPr>
            </w:pPr>
            <w:r w:rsidRPr="00AB02F5">
              <w:rPr>
                <w:sz w:val="18"/>
                <w:szCs w:val="18"/>
              </w:rPr>
              <w:t>5</w:t>
            </w:r>
          </w:p>
        </w:tc>
        <w:tc>
          <w:tcPr>
            <w:tcW w:w="3261" w:type="dxa"/>
            <w:hideMark/>
          </w:tcPr>
          <w:p w:rsidR="008D6111" w:rsidRPr="00AB02F5" w:rsidRDefault="008D6111" w:rsidP="008D6111">
            <w:pPr>
              <w:spacing w:before="40" w:after="40"/>
              <w:rPr>
                <w:sz w:val="18"/>
                <w:szCs w:val="18"/>
              </w:rPr>
            </w:pPr>
            <w:r w:rsidRPr="00AB02F5">
              <w:rPr>
                <w:sz w:val="18"/>
                <w:szCs w:val="18"/>
              </w:rPr>
              <w:t>Production of aramid polymer (PPTA)</w:t>
            </w:r>
          </w:p>
        </w:tc>
        <w:tc>
          <w:tcPr>
            <w:tcW w:w="1843" w:type="dxa"/>
            <w:hideMark/>
          </w:tcPr>
          <w:p w:rsidR="008D6111" w:rsidRPr="00AB02F5" w:rsidRDefault="008D6111" w:rsidP="008D6111">
            <w:pPr>
              <w:spacing w:before="40" w:after="40"/>
              <w:rPr>
                <w:sz w:val="18"/>
                <w:szCs w:val="18"/>
              </w:rPr>
            </w:pPr>
            <w:r w:rsidRPr="00AB02F5">
              <w:rPr>
                <w:sz w:val="18"/>
                <w:szCs w:val="18"/>
              </w:rPr>
              <w:t>CTC</w:t>
            </w:r>
          </w:p>
        </w:tc>
        <w:tc>
          <w:tcPr>
            <w:tcW w:w="2409" w:type="dxa"/>
            <w:hideMark/>
          </w:tcPr>
          <w:p w:rsidR="008D6111" w:rsidRPr="00AB02F5" w:rsidRDefault="008D6111" w:rsidP="008D6111">
            <w:pPr>
              <w:spacing w:before="40" w:after="40"/>
              <w:rPr>
                <w:sz w:val="18"/>
                <w:szCs w:val="18"/>
              </w:rPr>
            </w:pPr>
            <w:r w:rsidRPr="00AB02F5">
              <w:rPr>
                <w:sz w:val="18"/>
                <w:szCs w:val="18"/>
              </w:rPr>
              <w:t>European Union</w:t>
            </w:r>
          </w:p>
        </w:tc>
      </w:tr>
      <w:tr w:rsidR="008D6111" w:rsidRPr="00AB02F5" w:rsidTr="004E7D79">
        <w:tc>
          <w:tcPr>
            <w:tcW w:w="708" w:type="dxa"/>
            <w:hideMark/>
          </w:tcPr>
          <w:p w:rsidR="008D6111" w:rsidRPr="00AB02F5" w:rsidRDefault="008D6111" w:rsidP="008D6111">
            <w:pPr>
              <w:spacing w:before="40" w:after="40"/>
              <w:rPr>
                <w:sz w:val="18"/>
                <w:szCs w:val="18"/>
              </w:rPr>
            </w:pPr>
            <w:r w:rsidRPr="00AB02F5">
              <w:rPr>
                <w:sz w:val="18"/>
                <w:szCs w:val="18"/>
              </w:rPr>
              <w:t>6</w:t>
            </w:r>
          </w:p>
        </w:tc>
        <w:tc>
          <w:tcPr>
            <w:tcW w:w="3261" w:type="dxa"/>
            <w:hideMark/>
          </w:tcPr>
          <w:p w:rsidR="008D6111" w:rsidRPr="00AB02F5" w:rsidRDefault="008D6111" w:rsidP="008D6111">
            <w:pPr>
              <w:spacing w:before="40" w:after="40"/>
              <w:rPr>
                <w:sz w:val="18"/>
                <w:szCs w:val="18"/>
              </w:rPr>
            </w:pPr>
            <w:r w:rsidRPr="00AB02F5">
              <w:rPr>
                <w:sz w:val="18"/>
                <w:szCs w:val="18"/>
              </w:rPr>
              <w:t xml:space="preserve">Production of synthetic fibre sheet </w:t>
            </w:r>
          </w:p>
        </w:tc>
        <w:tc>
          <w:tcPr>
            <w:tcW w:w="1843" w:type="dxa"/>
            <w:hideMark/>
          </w:tcPr>
          <w:p w:rsidR="008D6111" w:rsidRPr="00AB02F5" w:rsidRDefault="008D6111" w:rsidP="008D6111">
            <w:pPr>
              <w:spacing w:before="40" w:after="40"/>
              <w:rPr>
                <w:sz w:val="18"/>
                <w:szCs w:val="18"/>
              </w:rPr>
            </w:pPr>
            <w:r w:rsidRPr="00AB02F5">
              <w:rPr>
                <w:sz w:val="18"/>
                <w:szCs w:val="18"/>
              </w:rPr>
              <w:t>CFC-11</w:t>
            </w:r>
          </w:p>
        </w:tc>
        <w:tc>
          <w:tcPr>
            <w:tcW w:w="2409" w:type="dxa"/>
            <w:hideMark/>
          </w:tcPr>
          <w:p w:rsidR="008D6111" w:rsidRPr="00AB02F5" w:rsidRDefault="008D6111" w:rsidP="008D6111">
            <w:pPr>
              <w:spacing w:before="40" w:after="40"/>
              <w:rPr>
                <w:sz w:val="18"/>
                <w:szCs w:val="18"/>
              </w:rPr>
            </w:pPr>
            <w:r w:rsidRPr="00AB02F5">
              <w:rPr>
                <w:sz w:val="18"/>
                <w:szCs w:val="18"/>
              </w:rPr>
              <w:t>United States of America</w:t>
            </w:r>
          </w:p>
        </w:tc>
      </w:tr>
      <w:tr w:rsidR="008D6111" w:rsidRPr="00AB02F5" w:rsidTr="004E7D79">
        <w:tc>
          <w:tcPr>
            <w:tcW w:w="708" w:type="dxa"/>
            <w:hideMark/>
          </w:tcPr>
          <w:p w:rsidR="008D6111" w:rsidRPr="00AB02F5" w:rsidRDefault="008D6111" w:rsidP="008D6111">
            <w:pPr>
              <w:spacing w:before="40" w:after="40"/>
              <w:rPr>
                <w:sz w:val="18"/>
                <w:szCs w:val="18"/>
              </w:rPr>
            </w:pPr>
            <w:r w:rsidRPr="00AB02F5">
              <w:rPr>
                <w:sz w:val="18"/>
                <w:szCs w:val="18"/>
              </w:rPr>
              <w:t>7</w:t>
            </w:r>
          </w:p>
        </w:tc>
        <w:tc>
          <w:tcPr>
            <w:tcW w:w="3261" w:type="dxa"/>
            <w:hideMark/>
          </w:tcPr>
          <w:p w:rsidR="008D6111" w:rsidRPr="00AB02F5" w:rsidRDefault="008D6111" w:rsidP="008D6111">
            <w:pPr>
              <w:spacing w:before="40" w:after="40"/>
              <w:rPr>
                <w:sz w:val="18"/>
                <w:szCs w:val="18"/>
              </w:rPr>
            </w:pPr>
            <w:r w:rsidRPr="00AB02F5">
              <w:rPr>
                <w:sz w:val="18"/>
                <w:szCs w:val="18"/>
              </w:rPr>
              <w:t>Photochemical synthesis of perfluoropolyetherpolyperoxide precursors of Z</w:t>
            </w:r>
            <w:r w:rsidRPr="00AB02F5">
              <w:rPr>
                <w:sz w:val="18"/>
                <w:szCs w:val="18"/>
              </w:rPr>
              <w:noBreakHyphen/>
              <w:t>perfluoropolyethers and difunctional derivatives</w:t>
            </w:r>
          </w:p>
        </w:tc>
        <w:tc>
          <w:tcPr>
            <w:tcW w:w="1843" w:type="dxa"/>
            <w:hideMark/>
          </w:tcPr>
          <w:p w:rsidR="008D6111" w:rsidRPr="00AB02F5" w:rsidRDefault="008D6111" w:rsidP="008D6111">
            <w:pPr>
              <w:spacing w:before="40" w:after="40"/>
              <w:rPr>
                <w:sz w:val="18"/>
                <w:szCs w:val="18"/>
              </w:rPr>
            </w:pPr>
            <w:r w:rsidRPr="00AB02F5">
              <w:rPr>
                <w:sz w:val="18"/>
                <w:szCs w:val="18"/>
              </w:rPr>
              <w:t>CFC-12</w:t>
            </w:r>
          </w:p>
        </w:tc>
        <w:tc>
          <w:tcPr>
            <w:tcW w:w="2409" w:type="dxa"/>
            <w:hideMark/>
          </w:tcPr>
          <w:p w:rsidR="008D6111" w:rsidRPr="00AB02F5" w:rsidRDefault="008D6111" w:rsidP="008D6111">
            <w:pPr>
              <w:spacing w:before="40" w:after="40"/>
              <w:rPr>
                <w:sz w:val="18"/>
                <w:szCs w:val="18"/>
              </w:rPr>
            </w:pPr>
            <w:r w:rsidRPr="00AB02F5">
              <w:rPr>
                <w:sz w:val="18"/>
                <w:szCs w:val="18"/>
              </w:rPr>
              <w:t>European Union</w:t>
            </w:r>
          </w:p>
        </w:tc>
      </w:tr>
      <w:tr w:rsidR="008D6111" w:rsidRPr="00AB02F5" w:rsidTr="004E7D79">
        <w:tc>
          <w:tcPr>
            <w:tcW w:w="708" w:type="dxa"/>
            <w:hideMark/>
          </w:tcPr>
          <w:p w:rsidR="008D6111" w:rsidRPr="00AB02F5" w:rsidRDefault="008D6111" w:rsidP="008D6111">
            <w:pPr>
              <w:spacing w:before="40" w:after="40"/>
              <w:rPr>
                <w:sz w:val="18"/>
                <w:szCs w:val="18"/>
              </w:rPr>
            </w:pPr>
            <w:r w:rsidRPr="00AB02F5">
              <w:rPr>
                <w:sz w:val="18"/>
                <w:szCs w:val="18"/>
              </w:rPr>
              <w:t>8</w:t>
            </w:r>
          </w:p>
        </w:tc>
        <w:tc>
          <w:tcPr>
            <w:tcW w:w="3261" w:type="dxa"/>
            <w:hideMark/>
          </w:tcPr>
          <w:p w:rsidR="008D6111" w:rsidRPr="00AB02F5" w:rsidRDefault="008D6111" w:rsidP="008D6111">
            <w:pPr>
              <w:spacing w:before="40" w:after="40"/>
              <w:rPr>
                <w:sz w:val="18"/>
                <w:szCs w:val="18"/>
              </w:rPr>
            </w:pPr>
            <w:r w:rsidRPr="00AB02F5">
              <w:rPr>
                <w:sz w:val="18"/>
                <w:szCs w:val="18"/>
              </w:rPr>
              <w:t>Preparation of perfluoropolyether diols with high functionality</w:t>
            </w:r>
          </w:p>
        </w:tc>
        <w:tc>
          <w:tcPr>
            <w:tcW w:w="1843" w:type="dxa"/>
            <w:hideMark/>
          </w:tcPr>
          <w:p w:rsidR="008D6111" w:rsidRPr="00AB02F5" w:rsidRDefault="008D6111" w:rsidP="008D6111">
            <w:pPr>
              <w:spacing w:before="40" w:after="40"/>
              <w:rPr>
                <w:sz w:val="18"/>
                <w:szCs w:val="18"/>
              </w:rPr>
            </w:pPr>
            <w:r w:rsidRPr="00AB02F5">
              <w:rPr>
                <w:sz w:val="18"/>
                <w:szCs w:val="18"/>
              </w:rPr>
              <w:t>CFC-113</w:t>
            </w:r>
          </w:p>
        </w:tc>
        <w:tc>
          <w:tcPr>
            <w:tcW w:w="2409" w:type="dxa"/>
            <w:hideMark/>
          </w:tcPr>
          <w:p w:rsidR="008D6111" w:rsidRPr="00AB02F5" w:rsidRDefault="008D6111" w:rsidP="008D6111">
            <w:pPr>
              <w:spacing w:before="40" w:after="40"/>
              <w:rPr>
                <w:sz w:val="18"/>
                <w:szCs w:val="18"/>
              </w:rPr>
            </w:pPr>
            <w:r w:rsidRPr="00AB02F5">
              <w:rPr>
                <w:sz w:val="18"/>
                <w:szCs w:val="18"/>
              </w:rPr>
              <w:t>European Union</w:t>
            </w:r>
          </w:p>
        </w:tc>
      </w:tr>
      <w:tr w:rsidR="008D6111" w:rsidRPr="00AB02F5" w:rsidTr="004E7D79">
        <w:tc>
          <w:tcPr>
            <w:tcW w:w="708" w:type="dxa"/>
            <w:hideMark/>
          </w:tcPr>
          <w:p w:rsidR="008D6111" w:rsidRPr="00AB02F5" w:rsidRDefault="008D6111" w:rsidP="008D6111">
            <w:pPr>
              <w:spacing w:before="40" w:after="40"/>
              <w:rPr>
                <w:sz w:val="18"/>
                <w:szCs w:val="18"/>
              </w:rPr>
            </w:pPr>
            <w:r w:rsidRPr="00AB02F5">
              <w:rPr>
                <w:sz w:val="18"/>
                <w:szCs w:val="18"/>
              </w:rPr>
              <w:t>9</w:t>
            </w:r>
          </w:p>
        </w:tc>
        <w:tc>
          <w:tcPr>
            <w:tcW w:w="3261" w:type="dxa"/>
            <w:hideMark/>
          </w:tcPr>
          <w:p w:rsidR="008D6111" w:rsidRPr="00AB02F5" w:rsidRDefault="008D6111" w:rsidP="008D6111">
            <w:pPr>
              <w:spacing w:before="40" w:after="40"/>
              <w:rPr>
                <w:sz w:val="18"/>
                <w:szCs w:val="18"/>
              </w:rPr>
            </w:pPr>
            <w:r w:rsidRPr="00AB02F5">
              <w:rPr>
                <w:sz w:val="18"/>
                <w:szCs w:val="18"/>
              </w:rPr>
              <w:t>Production of cyclodime</w:t>
            </w:r>
          </w:p>
        </w:tc>
        <w:tc>
          <w:tcPr>
            <w:tcW w:w="1843" w:type="dxa"/>
            <w:hideMark/>
          </w:tcPr>
          <w:p w:rsidR="008D6111" w:rsidRPr="00AB02F5" w:rsidRDefault="008D6111" w:rsidP="008D6111">
            <w:pPr>
              <w:spacing w:before="40" w:after="40"/>
              <w:rPr>
                <w:sz w:val="18"/>
                <w:szCs w:val="18"/>
              </w:rPr>
            </w:pPr>
            <w:r w:rsidRPr="00AB02F5">
              <w:rPr>
                <w:sz w:val="18"/>
                <w:szCs w:val="18"/>
              </w:rPr>
              <w:t>CTC</w:t>
            </w:r>
          </w:p>
        </w:tc>
        <w:tc>
          <w:tcPr>
            <w:tcW w:w="2409" w:type="dxa"/>
            <w:hideMark/>
          </w:tcPr>
          <w:p w:rsidR="008D6111" w:rsidRPr="00AB02F5" w:rsidRDefault="008D6111" w:rsidP="008D6111">
            <w:pPr>
              <w:spacing w:before="40" w:after="40"/>
              <w:rPr>
                <w:sz w:val="18"/>
                <w:szCs w:val="18"/>
              </w:rPr>
            </w:pPr>
            <w:r w:rsidRPr="00AB02F5">
              <w:rPr>
                <w:sz w:val="18"/>
                <w:szCs w:val="18"/>
              </w:rPr>
              <w:t>European Union</w:t>
            </w:r>
          </w:p>
        </w:tc>
      </w:tr>
      <w:tr w:rsidR="008D6111" w:rsidRPr="00AB02F5" w:rsidTr="004E7D79">
        <w:tc>
          <w:tcPr>
            <w:tcW w:w="708" w:type="dxa"/>
            <w:hideMark/>
          </w:tcPr>
          <w:p w:rsidR="008D6111" w:rsidRPr="00AB02F5" w:rsidRDefault="008D6111" w:rsidP="008D6111">
            <w:pPr>
              <w:spacing w:before="40" w:after="40"/>
              <w:rPr>
                <w:sz w:val="18"/>
                <w:szCs w:val="18"/>
              </w:rPr>
            </w:pPr>
            <w:r w:rsidRPr="00AB02F5">
              <w:rPr>
                <w:sz w:val="18"/>
                <w:szCs w:val="18"/>
              </w:rPr>
              <w:t>10</w:t>
            </w:r>
          </w:p>
        </w:tc>
        <w:tc>
          <w:tcPr>
            <w:tcW w:w="3261" w:type="dxa"/>
            <w:hideMark/>
          </w:tcPr>
          <w:p w:rsidR="008D6111" w:rsidRPr="00AB02F5" w:rsidRDefault="008D6111" w:rsidP="008D6111">
            <w:pPr>
              <w:spacing w:before="40" w:after="40"/>
              <w:rPr>
                <w:sz w:val="18"/>
                <w:szCs w:val="18"/>
              </w:rPr>
            </w:pPr>
            <w:r w:rsidRPr="00AB02F5">
              <w:rPr>
                <w:sz w:val="18"/>
                <w:szCs w:val="18"/>
              </w:rPr>
              <w:t>Bromination of a styrenic polymer</w:t>
            </w:r>
          </w:p>
        </w:tc>
        <w:tc>
          <w:tcPr>
            <w:tcW w:w="1843" w:type="dxa"/>
            <w:hideMark/>
          </w:tcPr>
          <w:p w:rsidR="008D6111" w:rsidRPr="00AB02F5" w:rsidRDefault="008D6111" w:rsidP="008D6111">
            <w:pPr>
              <w:spacing w:before="40" w:after="40"/>
              <w:rPr>
                <w:sz w:val="18"/>
                <w:szCs w:val="18"/>
              </w:rPr>
            </w:pPr>
            <w:r w:rsidRPr="00AB02F5">
              <w:rPr>
                <w:sz w:val="18"/>
                <w:szCs w:val="18"/>
              </w:rPr>
              <w:t>BCM</w:t>
            </w:r>
          </w:p>
        </w:tc>
        <w:tc>
          <w:tcPr>
            <w:tcW w:w="2409" w:type="dxa"/>
            <w:hideMark/>
          </w:tcPr>
          <w:p w:rsidR="008D6111" w:rsidRPr="00AB02F5" w:rsidRDefault="008D6111" w:rsidP="008D6111">
            <w:pPr>
              <w:spacing w:before="40" w:after="40"/>
              <w:rPr>
                <w:sz w:val="18"/>
                <w:szCs w:val="18"/>
              </w:rPr>
            </w:pPr>
            <w:r w:rsidRPr="00AB02F5">
              <w:rPr>
                <w:sz w:val="18"/>
                <w:szCs w:val="18"/>
              </w:rPr>
              <w:t>United States of America</w:t>
            </w:r>
          </w:p>
        </w:tc>
      </w:tr>
      <w:tr w:rsidR="008D6111" w:rsidRPr="00AB02F5" w:rsidTr="004E7D79">
        <w:tc>
          <w:tcPr>
            <w:tcW w:w="708" w:type="dxa"/>
            <w:tcBorders>
              <w:top w:val="nil"/>
              <w:left w:val="nil"/>
              <w:bottom w:val="single" w:sz="12" w:space="0" w:color="auto"/>
              <w:right w:val="nil"/>
            </w:tcBorders>
            <w:hideMark/>
          </w:tcPr>
          <w:p w:rsidR="008D6111" w:rsidRPr="00AB02F5" w:rsidRDefault="008D6111" w:rsidP="008D6111">
            <w:pPr>
              <w:spacing w:before="40" w:after="40"/>
              <w:rPr>
                <w:sz w:val="18"/>
                <w:szCs w:val="18"/>
              </w:rPr>
            </w:pPr>
            <w:r w:rsidRPr="00AB02F5">
              <w:rPr>
                <w:sz w:val="18"/>
                <w:szCs w:val="18"/>
              </w:rPr>
              <w:t>11</w:t>
            </w:r>
          </w:p>
        </w:tc>
        <w:tc>
          <w:tcPr>
            <w:tcW w:w="3261" w:type="dxa"/>
            <w:tcBorders>
              <w:top w:val="nil"/>
              <w:left w:val="nil"/>
              <w:bottom w:val="single" w:sz="12" w:space="0" w:color="auto"/>
              <w:right w:val="nil"/>
            </w:tcBorders>
            <w:hideMark/>
          </w:tcPr>
          <w:p w:rsidR="008D6111" w:rsidRPr="00AB02F5" w:rsidRDefault="008D6111" w:rsidP="008D6111">
            <w:pPr>
              <w:spacing w:before="40" w:after="40"/>
              <w:rPr>
                <w:sz w:val="18"/>
                <w:szCs w:val="18"/>
              </w:rPr>
            </w:pPr>
            <w:r w:rsidRPr="00AB02F5">
              <w:rPr>
                <w:sz w:val="18"/>
                <w:szCs w:val="18"/>
              </w:rPr>
              <w:t>Production of high modulus polyethylene fibre</w:t>
            </w:r>
          </w:p>
        </w:tc>
        <w:tc>
          <w:tcPr>
            <w:tcW w:w="1843" w:type="dxa"/>
            <w:tcBorders>
              <w:top w:val="nil"/>
              <w:left w:val="nil"/>
              <w:bottom w:val="single" w:sz="12" w:space="0" w:color="auto"/>
              <w:right w:val="nil"/>
            </w:tcBorders>
            <w:hideMark/>
          </w:tcPr>
          <w:p w:rsidR="008D6111" w:rsidRPr="00AB02F5" w:rsidRDefault="008D6111" w:rsidP="008D6111">
            <w:pPr>
              <w:spacing w:before="40" w:after="40"/>
              <w:rPr>
                <w:sz w:val="18"/>
                <w:szCs w:val="18"/>
              </w:rPr>
            </w:pPr>
            <w:r w:rsidRPr="00AB02F5">
              <w:rPr>
                <w:sz w:val="18"/>
                <w:szCs w:val="18"/>
              </w:rPr>
              <w:t>CFC-113</w:t>
            </w:r>
          </w:p>
        </w:tc>
        <w:tc>
          <w:tcPr>
            <w:tcW w:w="2409" w:type="dxa"/>
            <w:tcBorders>
              <w:top w:val="nil"/>
              <w:left w:val="nil"/>
              <w:bottom w:val="single" w:sz="12" w:space="0" w:color="auto"/>
              <w:right w:val="nil"/>
            </w:tcBorders>
            <w:hideMark/>
          </w:tcPr>
          <w:p w:rsidR="008D6111" w:rsidRPr="00AB02F5" w:rsidRDefault="008D6111" w:rsidP="008D6111">
            <w:pPr>
              <w:spacing w:before="40" w:after="40"/>
              <w:rPr>
                <w:sz w:val="18"/>
                <w:szCs w:val="18"/>
              </w:rPr>
            </w:pPr>
            <w:r w:rsidRPr="00AB02F5">
              <w:rPr>
                <w:sz w:val="18"/>
                <w:szCs w:val="18"/>
              </w:rPr>
              <w:t>United States of America</w:t>
            </w:r>
          </w:p>
        </w:tc>
      </w:tr>
    </w:tbl>
    <w:p w:rsidR="008D6111" w:rsidRPr="000025B5" w:rsidRDefault="008D6111" w:rsidP="00F65FC9">
      <w:pPr>
        <w:pStyle w:val="CH1"/>
        <w:tabs>
          <w:tab w:val="left" w:pos="624"/>
          <w:tab w:val="left" w:pos="1871"/>
          <w:tab w:val="left" w:pos="2495"/>
          <w:tab w:val="left" w:pos="3119"/>
          <w:tab w:val="left" w:pos="4082"/>
        </w:tabs>
        <w:ind w:right="0"/>
        <w:rPr>
          <w:sz w:val="24"/>
          <w:szCs w:val="24"/>
        </w:rPr>
      </w:pPr>
      <w:r>
        <w:rPr>
          <w:sz w:val="24"/>
          <w:szCs w:val="24"/>
        </w:rPr>
        <w:tab/>
      </w:r>
      <w:r>
        <w:rPr>
          <w:sz w:val="24"/>
          <w:szCs w:val="24"/>
        </w:rPr>
        <w:tab/>
      </w:r>
      <w:r>
        <w:rPr>
          <w:sz w:val="24"/>
          <w:szCs w:val="24"/>
        </w:rPr>
        <w:tab/>
        <w:t xml:space="preserve">Decision XXIX/8: </w:t>
      </w:r>
      <w:r w:rsidRPr="000025B5">
        <w:rPr>
          <w:sz w:val="24"/>
          <w:szCs w:val="24"/>
        </w:rPr>
        <w:t>Future availability of halons and their alternatives</w:t>
      </w:r>
    </w:p>
    <w:p w:rsidR="008D6111" w:rsidRPr="00976014" w:rsidRDefault="00796478" w:rsidP="004E7D79">
      <w:pPr>
        <w:pStyle w:val="Normalpool"/>
        <w:tabs>
          <w:tab w:val="clear" w:pos="1253"/>
          <w:tab w:val="clear" w:pos="1814"/>
          <w:tab w:val="clear" w:pos="2376"/>
          <w:tab w:val="clear" w:pos="2952"/>
          <w:tab w:val="clear" w:pos="3514"/>
          <w:tab w:val="left" w:pos="624"/>
        </w:tabs>
        <w:spacing w:after="120"/>
        <w:ind w:left="1247" w:firstLine="624"/>
        <w:rPr>
          <w:lang w:val="en"/>
        </w:rPr>
      </w:pPr>
      <w:r>
        <w:rPr>
          <w:i/>
          <w:lang w:val="en"/>
        </w:rPr>
        <w:tab/>
      </w:r>
      <w:r w:rsidR="008D6111" w:rsidRPr="00976014">
        <w:rPr>
          <w:i/>
          <w:lang w:val="en"/>
        </w:rPr>
        <w:t>Recognizing</w:t>
      </w:r>
      <w:r w:rsidR="008D6111" w:rsidRPr="00976014">
        <w:rPr>
          <w:lang w:val="en"/>
        </w:rPr>
        <w:t xml:space="preserve"> that global </w:t>
      </w:r>
      <w:r w:rsidR="008D6111" w:rsidRPr="00DE4C43">
        <w:rPr>
          <w:lang w:val="en"/>
        </w:rPr>
        <w:t>production of</w:t>
      </w:r>
      <w:r w:rsidR="008D6111" w:rsidRPr="00976014">
        <w:rPr>
          <w:lang w:val="en"/>
        </w:rPr>
        <w:t xml:space="preserve"> halons for controlled uses was eliminated in 2009, but that some remaining uses, in particular for civil aviation, </w:t>
      </w:r>
      <w:r w:rsidR="008D6111">
        <w:rPr>
          <w:lang w:val="en"/>
        </w:rPr>
        <w:t xml:space="preserve">will </w:t>
      </w:r>
      <w:r w:rsidR="008D6111" w:rsidRPr="00976014">
        <w:rPr>
          <w:lang w:val="en"/>
        </w:rPr>
        <w:t>continue to rely on stocks of recovered, recycled or reclaimed halons for fire safety for the foreseeable future,</w:t>
      </w:r>
    </w:p>
    <w:p w:rsidR="008D6111" w:rsidRPr="002D2B28" w:rsidRDefault="00796478" w:rsidP="004E7D79">
      <w:pPr>
        <w:pStyle w:val="Normalpool"/>
        <w:tabs>
          <w:tab w:val="clear" w:pos="1253"/>
          <w:tab w:val="clear" w:pos="1814"/>
          <w:tab w:val="clear" w:pos="2376"/>
          <w:tab w:val="clear" w:pos="2952"/>
          <w:tab w:val="clear" w:pos="3514"/>
          <w:tab w:val="left" w:pos="624"/>
        </w:tabs>
        <w:spacing w:after="120"/>
        <w:ind w:left="1247" w:firstLine="624"/>
        <w:rPr>
          <w:lang w:val="en"/>
        </w:rPr>
      </w:pPr>
      <w:r>
        <w:rPr>
          <w:i/>
          <w:lang w:val="en"/>
        </w:rPr>
        <w:tab/>
      </w:r>
      <w:r w:rsidR="008D6111" w:rsidRPr="00976014">
        <w:rPr>
          <w:i/>
          <w:lang w:val="en"/>
        </w:rPr>
        <w:t>Noting</w:t>
      </w:r>
      <w:r w:rsidR="008D6111" w:rsidRPr="00976014">
        <w:rPr>
          <w:lang w:val="en"/>
        </w:rPr>
        <w:t xml:space="preserve"> the adoption by the Assembly of the International Civil Aviation Organization of resolutions A37-9 and A38</w:t>
      </w:r>
      <w:r w:rsidR="008D6111" w:rsidRPr="002D2B28">
        <w:rPr>
          <w:lang w:val="en"/>
        </w:rPr>
        <w:t>-9, in which the Assembly expressed an urgent need to continue to develop and implement alternatives to halons for civil aviation,</w:t>
      </w:r>
    </w:p>
    <w:p w:rsidR="008D6111" w:rsidRPr="002D2B28" w:rsidRDefault="00796478" w:rsidP="004E7D79">
      <w:pPr>
        <w:pStyle w:val="Normalpool"/>
        <w:tabs>
          <w:tab w:val="clear" w:pos="1253"/>
          <w:tab w:val="clear" w:pos="1814"/>
          <w:tab w:val="clear" w:pos="2376"/>
          <w:tab w:val="clear" w:pos="2952"/>
          <w:tab w:val="clear" w:pos="3514"/>
          <w:tab w:val="left" w:pos="624"/>
        </w:tabs>
        <w:spacing w:after="120"/>
        <w:ind w:left="1247" w:firstLine="624"/>
        <w:rPr>
          <w:lang w:val="en"/>
        </w:rPr>
      </w:pPr>
      <w:r w:rsidRPr="002D2B28">
        <w:rPr>
          <w:i/>
          <w:lang w:val="en"/>
        </w:rPr>
        <w:tab/>
      </w:r>
      <w:r w:rsidR="008D6111" w:rsidRPr="002D2B28">
        <w:rPr>
          <w:i/>
          <w:lang w:val="en"/>
        </w:rPr>
        <w:t xml:space="preserve">Taking note </w:t>
      </w:r>
      <w:r w:rsidR="008D6111" w:rsidRPr="002D2B28">
        <w:rPr>
          <w:lang w:val="en"/>
        </w:rPr>
        <w:t>of Assembly of the International Civil Aviation Organization resolution A39-13, by which the Assembly encouraged the International Civil Aviation Organization to continue collaboration with the Secretariat, through the Halons Technical Options Committee of the Technology and Economic Assessment Panel, on the topic of alternatives to halons for civil aviation,</w:t>
      </w:r>
    </w:p>
    <w:p w:rsidR="008D6111" w:rsidRPr="002D2B28" w:rsidRDefault="00796478" w:rsidP="004E7D79">
      <w:pPr>
        <w:pStyle w:val="Normalpool"/>
        <w:tabs>
          <w:tab w:val="clear" w:pos="1253"/>
          <w:tab w:val="clear" w:pos="1814"/>
          <w:tab w:val="clear" w:pos="2376"/>
          <w:tab w:val="clear" w:pos="2952"/>
          <w:tab w:val="clear" w:pos="3514"/>
          <w:tab w:val="left" w:pos="624"/>
        </w:tabs>
        <w:spacing w:after="120"/>
        <w:ind w:left="1247" w:firstLine="624"/>
        <w:rPr>
          <w:lang w:val="en"/>
        </w:rPr>
      </w:pPr>
      <w:r w:rsidRPr="002D2B28">
        <w:rPr>
          <w:i/>
          <w:lang w:val="en"/>
        </w:rPr>
        <w:tab/>
      </w:r>
      <w:r w:rsidR="008D6111" w:rsidRPr="002D2B28">
        <w:rPr>
          <w:i/>
          <w:lang w:val="en"/>
        </w:rPr>
        <w:t>Recalling</w:t>
      </w:r>
      <w:r w:rsidR="008D6111" w:rsidRPr="002D2B28">
        <w:rPr>
          <w:lang w:val="en"/>
        </w:rPr>
        <w:t xml:space="preserve"> the information provided by the Panel as requested under decision XXVI/7, </w:t>
      </w:r>
    </w:p>
    <w:p w:rsidR="008D6111" w:rsidRPr="002D2B28" w:rsidRDefault="008D6111" w:rsidP="004E7D79">
      <w:pPr>
        <w:pStyle w:val="Normalpool"/>
        <w:tabs>
          <w:tab w:val="clear" w:pos="1253"/>
          <w:tab w:val="clear" w:pos="1814"/>
          <w:tab w:val="clear" w:pos="2376"/>
          <w:tab w:val="clear" w:pos="2952"/>
          <w:tab w:val="clear" w:pos="3514"/>
          <w:tab w:val="left" w:pos="624"/>
        </w:tabs>
        <w:spacing w:after="120"/>
        <w:ind w:left="1247" w:firstLine="624"/>
        <w:rPr>
          <w:lang w:val="en"/>
        </w:rPr>
      </w:pPr>
      <w:r w:rsidRPr="002D2B28">
        <w:rPr>
          <w:i/>
          <w:lang w:val="en"/>
        </w:rPr>
        <w:tab/>
        <w:t>Taking note</w:t>
      </w:r>
      <w:r w:rsidRPr="002D2B28">
        <w:rPr>
          <w:lang w:val="en"/>
        </w:rPr>
        <w:t xml:space="preserve"> of the progress report of the Panel that was provided to the parties before the thirty</w:t>
      </w:r>
      <w:r w:rsidRPr="002D2B28">
        <w:rPr>
          <w:lang w:val="en"/>
        </w:rPr>
        <w:noBreakHyphen/>
        <w:t xml:space="preserve">ninth meeting of the Open-ended Working Group of the Parties to the Montreal Protocol </w:t>
      </w:r>
      <w:r w:rsidRPr="002D2B28">
        <w:t>on Substances that Deplete the Ozone Layer</w:t>
      </w:r>
      <w:r w:rsidRPr="002D2B28">
        <w:rPr>
          <w:lang w:val="en"/>
        </w:rPr>
        <w:t>, including the need mentioned therein for better information on existing halon inventories and emissions in civil aviation,</w:t>
      </w:r>
    </w:p>
    <w:p w:rsidR="008D6111" w:rsidRPr="002D2B28" w:rsidRDefault="008D6111" w:rsidP="004E7D79">
      <w:pPr>
        <w:pStyle w:val="Normalpool"/>
        <w:tabs>
          <w:tab w:val="clear" w:pos="1253"/>
          <w:tab w:val="clear" w:pos="1814"/>
          <w:tab w:val="clear" w:pos="2376"/>
          <w:tab w:val="clear" w:pos="2952"/>
          <w:tab w:val="clear" w:pos="3514"/>
          <w:tab w:val="left" w:pos="624"/>
        </w:tabs>
        <w:spacing w:after="120"/>
        <w:ind w:left="1247" w:firstLine="624"/>
        <w:rPr>
          <w:lang w:val="en"/>
        </w:rPr>
      </w:pPr>
      <w:r w:rsidRPr="002D2B28">
        <w:rPr>
          <w:lang w:val="en"/>
        </w:rPr>
        <w:tab/>
        <w:t>1.</w:t>
      </w:r>
      <w:r w:rsidRPr="002D2B28">
        <w:rPr>
          <w:lang w:val="en"/>
        </w:rPr>
        <w:tab/>
        <w:t>To request the Technology and Economic Assessment Panel, through its Halons Technical Options Committee:</w:t>
      </w:r>
    </w:p>
    <w:p w:rsidR="008D6111" w:rsidRPr="00976014" w:rsidRDefault="008D6111" w:rsidP="004E7D79">
      <w:pPr>
        <w:pStyle w:val="Normalpool"/>
        <w:tabs>
          <w:tab w:val="clear" w:pos="1253"/>
          <w:tab w:val="clear" w:pos="1814"/>
          <w:tab w:val="clear" w:pos="2376"/>
          <w:tab w:val="clear" w:pos="2952"/>
          <w:tab w:val="clear" w:pos="3514"/>
          <w:tab w:val="left" w:pos="624"/>
        </w:tabs>
        <w:spacing w:after="120"/>
        <w:ind w:left="1247" w:firstLine="624"/>
        <w:rPr>
          <w:lang w:val="en"/>
        </w:rPr>
      </w:pPr>
      <w:r w:rsidRPr="002D2B28">
        <w:rPr>
          <w:lang w:val="en"/>
        </w:rPr>
        <w:tab/>
        <w:t>(a)</w:t>
      </w:r>
      <w:r w:rsidRPr="002D2B28">
        <w:rPr>
          <w:lang w:val="en"/>
        </w:rPr>
        <w:tab/>
        <w:t>To continue to liaise with the International Civil Aviation Organization on the development and implementation of alternatives to halons, and their rate of adoption by civil aviation, and to report thereon in its 2018 progress</w:t>
      </w:r>
      <w:r w:rsidRPr="00976014">
        <w:rPr>
          <w:lang w:val="en"/>
        </w:rPr>
        <w:t xml:space="preserve"> report;</w:t>
      </w:r>
    </w:p>
    <w:p w:rsidR="008D6111" w:rsidRPr="00976014" w:rsidRDefault="008D6111" w:rsidP="004E7D79">
      <w:pPr>
        <w:pStyle w:val="Normalpool"/>
        <w:tabs>
          <w:tab w:val="clear" w:pos="1253"/>
          <w:tab w:val="clear" w:pos="1814"/>
          <w:tab w:val="clear" w:pos="2376"/>
          <w:tab w:val="clear" w:pos="2952"/>
          <w:tab w:val="clear" w:pos="3514"/>
          <w:tab w:val="left" w:pos="624"/>
        </w:tabs>
        <w:spacing w:after="120"/>
        <w:ind w:left="1247" w:firstLine="624"/>
        <w:rPr>
          <w:lang w:val="en"/>
        </w:rPr>
      </w:pPr>
      <w:r>
        <w:rPr>
          <w:lang w:val="en"/>
        </w:rPr>
        <w:tab/>
      </w:r>
      <w:r w:rsidRPr="00976014">
        <w:rPr>
          <w:lang w:val="en"/>
        </w:rPr>
        <w:t>(</w:t>
      </w:r>
      <w:r>
        <w:rPr>
          <w:lang w:val="en"/>
        </w:rPr>
        <w:t>b</w:t>
      </w:r>
      <w:r w:rsidRPr="00976014">
        <w:rPr>
          <w:lang w:val="en"/>
        </w:rPr>
        <w:t>)</w:t>
      </w:r>
      <w:r w:rsidRPr="00976014">
        <w:rPr>
          <w:lang w:val="en"/>
        </w:rPr>
        <w:tab/>
      </w:r>
      <w:r>
        <w:rPr>
          <w:lang w:val="en"/>
        </w:rPr>
        <w:t>T</w:t>
      </w:r>
      <w:r w:rsidRPr="00976014">
        <w:rPr>
          <w:lang w:val="en"/>
        </w:rPr>
        <w:t>o explore the possibility of forming a joint working group with the International Civil Aviation Organization to develop and the</w:t>
      </w:r>
      <w:r>
        <w:rPr>
          <w:lang w:val="en"/>
        </w:rPr>
        <w:t>reafter</w:t>
      </w:r>
      <w:r w:rsidRPr="00976014">
        <w:rPr>
          <w:lang w:val="en"/>
        </w:rPr>
        <w:t xml:space="preserve"> carry out a study to determine the current and projected future quantities of halons installed in civil aviation fire protection systems, the associated uses and releases of halons from those systems and any potential courses of action that civil aviation could take to reduce those uses and releases;</w:t>
      </w:r>
    </w:p>
    <w:p w:rsidR="008D6111" w:rsidRPr="00976014" w:rsidRDefault="008D6111" w:rsidP="004E7D79">
      <w:pPr>
        <w:pStyle w:val="Normalpool"/>
        <w:tabs>
          <w:tab w:val="clear" w:pos="1253"/>
          <w:tab w:val="clear" w:pos="1814"/>
          <w:tab w:val="clear" w:pos="2376"/>
          <w:tab w:val="clear" w:pos="2952"/>
          <w:tab w:val="clear" w:pos="3514"/>
          <w:tab w:val="left" w:pos="624"/>
        </w:tabs>
        <w:spacing w:after="120"/>
        <w:ind w:left="1247" w:firstLine="624"/>
        <w:rPr>
          <w:lang w:val="en"/>
        </w:rPr>
      </w:pPr>
      <w:r>
        <w:rPr>
          <w:lang w:val="en"/>
        </w:rPr>
        <w:tab/>
        <w:t>(c)</w:t>
      </w:r>
      <w:r>
        <w:rPr>
          <w:lang w:val="en"/>
        </w:rPr>
        <w:tab/>
      </w:r>
      <w:r w:rsidRPr="00976014">
        <w:rPr>
          <w:lang w:val="en"/>
        </w:rPr>
        <w:t>To submit a report on the work of the joint working group</w:t>
      </w:r>
      <w:r>
        <w:rPr>
          <w:lang w:val="en"/>
        </w:rPr>
        <w:t>, if</w:t>
      </w:r>
      <w:r w:rsidRPr="00976014">
        <w:rPr>
          <w:lang w:val="en"/>
        </w:rPr>
        <w:t xml:space="preserve"> </w:t>
      </w:r>
      <w:r>
        <w:rPr>
          <w:lang w:val="en"/>
        </w:rPr>
        <w:t xml:space="preserve">established </w:t>
      </w:r>
      <w:r w:rsidRPr="00976014">
        <w:rPr>
          <w:lang w:val="en"/>
        </w:rPr>
        <w:t xml:space="preserve">under paragraph </w:t>
      </w:r>
      <w:r>
        <w:rPr>
          <w:lang w:val="en"/>
        </w:rPr>
        <w:t xml:space="preserve">1 </w:t>
      </w:r>
      <w:r w:rsidRPr="00976014">
        <w:rPr>
          <w:lang w:val="en"/>
        </w:rPr>
        <w:t>(</w:t>
      </w:r>
      <w:r>
        <w:rPr>
          <w:lang w:val="en"/>
        </w:rPr>
        <w:t>b</w:t>
      </w:r>
      <w:r w:rsidRPr="00976014">
        <w:rPr>
          <w:lang w:val="en"/>
        </w:rPr>
        <w:t>)</w:t>
      </w:r>
      <w:r>
        <w:rPr>
          <w:lang w:val="en"/>
        </w:rPr>
        <w:t xml:space="preserve"> above, </w:t>
      </w:r>
      <w:r w:rsidRPr="00976014">
        <w:rPr>
          <w:lang w:val="en"/>
        </w:rPr>
        <w:t>before the Thirtieth Meeting of the Parties and the fortieth session of the Assembly of the International Civil Aviation Organization for consideration and potential further action</w:t>
      </w:r>
      <w:r>
        <w:rPr>
          <w:lang w:val="en"/>
        </w:rPr>
        <w:t>;</w:t>
      </w:r>
    </w:p>
    <w:p w:rsidR="008D6111" w:rsidRPr="00976014" w:rsidRDefault="008D6111" w:rsidP="004E7D79">
      <w:pPr>
        <w:pStyle w:val="Normalpool"/>
        <w:tabs>
          <w:tab w:val="clear" w:pos="1253"/>
          <w:tab w:val="clear" w:pos="1814"/>
          <w:tab w:val="clear" w:pos="2376"/>
          <w:tab w:val="clear" w:pos="2952"/>
          <w:tab w:val="clear" w:pos="3514"/>
          <w:tab w:val="left" w:pos="624"/>
        </w:tabs>
        <w:spacing w:after="120"/>
        <w:ind w:left="1247" w:firstLine="624"/>
      </w:pPr>
      <w:r>
        <w:rPr>
          <w:lang w:val="en" w:eastAsia="en-AU"/>
        </w:rPr>
        <w:lastRenderedPageBreak/>
        <w:tab/>
      </w:r>
      <w:r w:rsidRPr="00976014">
        <w:rPr>
          <w:lang w:val="en" w:eastAsia="en-AU"/>
        </w:rPr>
        <w:t>2.</w:t>
      </w:r>
      <w:r w:rsidRPr="00976014">
        <w:rPr>
          <w:lang w:val="en" w:eastAsia="en-AU"/>
        </w:rPr>
        <w:tab/>
      </w:r>
      <w:r w:rsidRPr="00976014">
        <w:t xml:space="preserve">To invite parties, on a voluntary basis, to reassess any national import and export restrictions other than licensing requirements with a view to facilitating the import and export of recovered, recycled or reclaimed halons and the management of stocks of such halons with the aim of enabling all parties to meet remaining needs in accordance with </w:t>
      </w:r>
      <w:r>
        <w:t>national</w:t>
      </w:r>
      <w:r w:rsidRPr="00976014">
        <w:t xml:space="preserve"> regulations even as they make the transition to alternatives </w:t>
      </w:r>
      <w:r>
        <w:t xml:space="preserve">to </w:t>
      </w:r>
      <w:r w:rsidRPr="00976014">
        <w:t>halon</w:t>
      </w:r>
      <w:r>
        <w:t>s</w:t>
      </w:r>
      <w:r w:rsidRPr="00976014">
        <w:t>;</w:t>
      </w:r>
    </w:p>
    <w:p w:rsidR="008D6111" w:rsidRPr="00976014" w:rsidRDefault="008D6111" w:rsidP="004E7D79">
      <w:pPr>
        <w:pStyle w:val="Normalpool"/>
        <w:tabs>
          <w:tab w:val="clear" w:pos="1253"/>
          <w:tab w:val="clear" w:pos="1814"/>
          <w:tab w:val="clear" w:pos="2376"/>
          <w:tab w:val="clear" w:pos="2952"/>
          <w:tab w:val="clear" w:pos="3514"/>
          <w:tab w:val="left" w:pos="624"/>
        </w:tabs>
        <w:spacing w:after="120"/>
        <w:ind w:left="1247" w:firstLine="624"/>
        <w:rPr>
          <w:lang w:val="en"/>
        </w:rPr>
      </w:pPr>
      <w:r>
        <w:rPr>
          <w:lang w:val="en" w:eastAsia="en-AU"/>
        </w:rPr>
        <w:tab/>
      </w:r>
      <w:r w:rsidRPr="00976014">
        <w:rPr>
          <w:lang w:val="en" w:eastAsia="en-AU"/>
        </w:rPr>
        <w:t>3.</w:t>
      </w:r>
      <w:r w:rsidR="0023538F">
        <w:rPr>
          <w:lang w:val="en" w:eastAsia="en-AU"/>
        </w:rPr>
        <w:tab/>
      </w:r>
      <w:r w:rsidRPr="00976014">
        <w:rPr>
          <w:lang w:val="en" w:eastAsia="en-AU"/>
        </w:rPr>
        <w:t xml:space="preserve">To encourage </w:t>
      </w:r>
      <w:r>
        <w:rPr>
          <w:lang w:val="en" w:eastAsia="en-AU"/>
        </w:rPr>
        <w:t>p</w:t>
      </w:r>
      <w:r w:rsidRPr="00976014">
        <w:rPr>
          <w:lang w:val="en" w:eastAsia="en-AU"/>
        </w:rPr>
        <w:t xml:space="preserve">arties to refrain from destroying uncontaminated recovered, recycled or reclaimed halons before they have </w:t>
      </w:r>
      <w:r w:rsidRPr="00976014">
        <w:rPr>
          <w:lang w:val="en"/>
        </w:rPr>
        <w:t>considered</w:t>
      </w:r>
      <w:r w:rsidRPr="00976014">
        <w:rPr>
          <w:lang w:val="en" w:eastAsia="en-AU"/>
        </w:rPr>
        <w:t xml:space="preserve"> their </w:t>
      </w:r>
      <w:r>
        <w:rPr>
          <w:lang w:val="en" w:eastAsia="en-AU"/>
        </w:rPr>
        <w:t xml:space="preserve">national and the </w:t>
      </w:r>
      <w:r w:rsidRPr="00976014">
        <w:rPr>
          <w:lang w:val="en" w:eastAsia="en-AU"/>
        </w:rPr>
        <w:t xml:space="preserve">global long-term future needs for halons, and to consider </w:t>
      </w:r>
      <w:r w:rsidRPr="00976014">
        <w:rPr>
          <w:lang w:val="en"/>
        </w:rPr>
        <w:t>retaining</w:t>
      </w:r>
      <w:r w:rsidRPr="00976014">
        <w:rPr>
          <w:lang w:val="en" w:eastAsia="en-AU"/>
        </w:rPr>
        <w:t xml:space="preserve"> </w:t>
      </w:r>
      <w:r w:rsidRPr="000025B5">
        <w:t>uncontaminated</w:t>
      </w:r>
      <w:r w:rsidRPr="00976014">
        <w:rPr>
          <w:lang w:val="en" w:eastAsia="en-AU"/>
        </w:rPr>
        <w:t xml:space="preserve"> recovered, recycled</w:t>
      </w:r>
      <w:r>
        <w:rPr>
          <w:lang w:val="en" w:eastAsia="en-AU"/>
        </w:rPr>
        <w:t xml:space="preserve"> or</w:t>
      </w:r>
      <w:r w:rsidRPr="00976014">
        <w:rPr>
          <w:lang w:val="en" w:eastAsia="en-AU"/>
        </w:rPr>
        <w:t xml:space="preserve"> reclaimed halons for anticipated future needs in a manner that employs best practices for storage and maintenance, in order to minimize emissions</w:t>
      </w:r>
      <w:r w:rsidR="00A42678">
        <w:rPr>
          <w:lang w:val="en" w:eastAsia="en-AU"/>
        </w:rPr>
        <w:t>;</w:t>
      </w:r>
    </w:p>
    <w:p w:rsidR="008D6111" w:rsidRPr="004E7D79" w:rsidRDefault="008D6111" w:rsidP="004E7D79">
      <w:pPr>
        <w:pStyle w:val="CH2"/>
        <w:keepNext w:val="0"/>
        <w:keepLines w:val="0"/>
        <w:spacing w:before="240"/>
        <w:outlineLvl w:val="0"/>
      </w:pPr>
      <w:r w:rsidRPr="004E7D79">
        <w:tab/>
      </w:r>
      <w:r w:rsidRPr="004E7D79">
        <w:tab/>
        <w:t>Decision XXIX/9:  Hydrochlorofluorocarbons and decision XXVII/5</w:t>
      </w:r>
    </w:p>
    <w:p w:rsidR="008D6111" w:rsidRPr="00A34F37" w:rsidRDefault="008D6111" w:rsidP="004E7D79">
      <w:pPr>
        <w:pStyle w:val="Normalpool"/>
        <w:tabs>
          <w:tab w:val="clear" w:pos="1253"/>
          <w:tab w:val="clear" w:pos="1814"/>
          <w:tab w:val="clear" w:pos="2376"/>
          <w:tab w:val="clear" w:pos="2952"/>
          <w:tab w:val="clear" w:pos="3514"/>
          <w:tab w:val="left" w:pos="624"/>
        </w:tabs>
        <w:spacing w:after="120"/>
        <w:ind w:left="1247" w:firstLine="624"/>
      </w:pPr>
      <w:r w:rsidRPr="00821A82">
        <w:rPr>
          <w:i/>
          <w:iCs/>
        </w:rPr>
        <w:t xml:space="preserve">Aware </w:t>
      </w:r>
      <w:r w:rsidRPr="00821A82">
        <w:t xml:space="preserve">that parties not </w:t>
      </w:r>
      <w:r w:rsidRPr="00D100B9">
        <w:t>operating under paragraph</w:t>
      </w:r>
      <w:r w:rsidRPr="00821A82">
        <w:t xml:space="preserve"> 1 of Article 5 of the Montreal Protocol</w:t>
      </w:r>
      <w:r>
        <w:t xml:space="preserve"> </w:t>
      </w:r>
      <w:r w:rsidRPr="00CB49C5">
        <w:t>on Substances that Deplete the Ozone Layer</w:t>
      </w:r>
      <w:r w:rsidRPr="00821A82">
        <w:t xml:space="preserve"> are taking measures to reduce and eventually eliminate the production and consumption of the ozone-depleting substances listed in Annex C, group I (</w:t>
      </w:r>
      <w:r w:rsidRPr="00A34F37">
        <w:t>hydrochlorofluorocarbons),</w:t>
      </w:r>
    </w:p>
    <w:p w:rsidR="008D6111" w:rsidRPr="00A34F37" w:rsidRDefault="008D6111" w:rsidP="004E7D79">
      <w:pPr>
        <w:pStyle w:val="Normalpool"/>
        <w:tabs>
          <w:tab w:val="clear" w:pos="1253"/>
          <w:tab w:val="clear" w:pos="1814"/>
          <w:tab w:val="clear" w:pos="2376"/>
          <w:tab w:val="clear" w:pos="2952"/>
          <w:tab w:val="clear" w:pos="3514"/>
          <w:tab w:val="left" w:pos="624"/>
        </w:tabs>
        <w:spacing w:after="120"/>
        <w:ind w:left="1247" w:firstLine="624"/>
        <w:rPr>
          <w:i/>
        </w:rPr>
      </w:pPr>
      <w:r w:rsidRPr="00A34F37">
        <w:rPr>
          <w:i/>
          <w:iCs/>
        </w:rPr>
        <w:t xml:space="preserve">Recognizing </w:t>
      </w:r>
      <w:r w:rsidRPr="00A34F37">
        <w:t>a need for continued consideration of issues related to hydrochlorofluorocarbons as indicated in paragraphs 12, 13 and 14 of decision XIX/6</w:t>
      </w:r>
      <w:r w:rsidRPr="00821A82">
        <w:t>,</w:t>
      </w:r>
      <w:r w:rsidRPr="00A34F37">
        <w:t xml:space="preserve"> and taking into </w:t>
      </w:r>
      <w:r>
        <w:t>consideration</w:t>
      </w:r>
      <w:r w:rsidRPr="00A34F37">
        <w:t xml:space="preserve"> the report of the Technology and </w:t>
      </w:r>
      <w:r w:rsidRPr="00715700">
        <w:rPr>
          <w:iCs/>
        </w:rPr>
        <w:t>Economic</w:t>
      </w:r>
      <w:r w:rsidRPr="00271F4D">
        <w:t xml:space="preserve"> </w:t>
      </w:r>
      <w:r w:rsidRPr="00A34F37">
        <w:t xml:space="preserve">Assessment Panel </w:t>
      </w:r>
      <w:r>
        <w:t xml:space="preserve">prepared </w:t>
      </w:r>
      <w:r w:rsidRPr="00A34F37">
        <w:t>in response to decisions XXVII/5 and XXVIII/8,</w:t>
      </w:r>
    </w:p>
    <w:p w:rsidR="008D6111" w:rsidRPr="00A34F37" w:rsidRDefault="008D6111" w:rsidP="004E7D79">
      <w:pPr>
        <w:pStyle w:val="Normalpool"/>
        <w:tabs>
          <w:tab w:val="clear" w:pos="1253"/>
          <w:tab w:val="clear" w:pos="1814"/>
          <w:tab w:val="clear" w:pos="2376"/>
          <w:tab w:val="clear" w:pos="2952"/>
          <w:tab w:val="clear" w:pos="3514"/>
          <w:tab w:val="left" w:pos="624"/>
        </w:tabs>
        <w:spacing w:after="120"/>
        <w:ind w:left="1247" w:firstLine="624"/>
      </w:pPr>
      <w:r w:rsidRPr="00A34F37">
        <w:rPr>
          <w:i/>
        </w:rPr>
        <w:t xml:space="preserve">Noting </w:t>
      </w:r>
      <w:r w:rsidRPr="00A34F37">
        <w:t>that the Halons Technical Options Committee considers it possible that certain aircraft rescue and firefighting applications may continue to need clean agents between 2020 and 2030,</w:t>
      </w:r>
    </w:p>
    <w:p w:rsidR="008D6111" w:rsidRPr="00A34F37" w:rsidRDefault="008D6111" w:rsidP="004E7D79">
      <w:pPr>
        <w:pStyle w:val="Normalpool"/>
        <w:tabs>
          <w:tab w:val="clear" w:pos="1253"/>
          <w:tab w:val="clear" w:pos="1814"/>
          <w:tab w:val="clear" w:pos="2376"/>
          <w:tab w:val="clear" w:pos="2952"/>
          <w:tab w:val="clear" w:pos="3514"/>
          <w:tab w:val="left" w:pos="624"/>
        </w:tabs>
        <w:spacing w:after="120"/>
        <w:ind w:left="1247" w:firstLine="624"/>
      </w:pPr>
      <w:r w:rsidRPr="00A34F37">
        <w:rPr>
          <w:i/>
        </w:rPr>
        <w:t>Noting</w:t>
      </w:r>
      <w:r>
        <w:rPr>
          <w:i/>
        </w:rPr>
        <w:t xml:space="preserve"> also</w:t>
      </w:r>
      <w:r w:rsidRPr="00A34F37">
        <w:rPr>
          <w:i/>
        </w:rPr>
        <w:t xml:space="preserve"> </w:t>
      </w:r>
      <w:r w:rsidRPr="00A34F37">
        <w:t xml:space="preserve">that the </w:t>
      </w:r>
      <w:r w:rsidRPr="00541273">
        <w:rPr>
          <w:bCs/>
        </w:rPr>
        <w:t>Medical and Chemicals Technical Options Committee</w:t>
      </w:r>
      <w:r w:rsidRPr="00541273">
        <w:t xml:space="preserve"> </w:t>
      </w:r>
      <w:r w:rsidRPr="00A34F37">
        <w:t xml:space="preserve">has identified </w:t>
      </w:r>
      <w:r>
        <w:t xml:space="preserve">certain </w:t>
      </w:r>
      <w:r w:rsidRPr="00A34F37">
        <w:t>hydrochlorofluorocarbons</w:t>
      </w:r>
      <w:r w:rsidRPr="00A34F37" w:rsidDel="00C40018">
        <w:t xml:space="preserve"> </w:t>
      </w:r>
      <w:r w:rsidRPr="00A34F37">
        <w:t xml:space="preserve">used as solvents for which there may be </w:t>
      </w:r>
      <w:r>
        <w:t xml:space="preserve">a </w:t>
      </w:r>
      <w:r w:rsidRPr="00A34F37">
        <w:t xml:space="preserve">continued need in certain precision cleaning applications and manufacturing processes, </w:t>
      </w:r>
    </w:p>
    <w:p w:rsidR="008D6111" w:rsidRDefault="008D6111" w:rsidP="004E7D79">
      <w:pPr>
        <w:pStyle w:val="Normalpool"/>
        <w:tabs>
          <w:tab w:val="clear" w:pos="1253"/>
          <w:tab w:val="clear" w:pos="1814"/>
          <w:tab w:val="clear" w:pos="2376"/>
          <w:tab w:val="clear" w:pos="2952"/>
          <w:tab w:val="clear" w:pos="3514"/>
          <w:tab w:val="left" w:pos="624"/>
        </w:tabs>
        <w:spacing w:after="120"/>
        <w:ind w:left="1247" w:firstLine="624"/>
      </w:pPr>
      <w:r w:rsidRPr="00A34F37">
        <w:rPr>
          <w:i/>
        </w:rPr>
        <w:t>Recalling</w:t>
      </w:r>
      <w:r w:rsidRPr="00A34F37">
        <w:t xml:space="preserve"> the procedure laid down in paragraph 9 of Article 2 of the Montreal Protocol for adjustments and </w:t>
      </w:r>
      <w:r w:rsidRPr="00715700">
        <w:rPr>
          <w:iCs/>
        </w:rPr>
        <w:t>reductions</w:t>
      </w:r>
      <w:r w:rsidRPr="00A34F37">
        <w:t xml:space="preserve"> in production and consumption of controlled substances,</w:t>
      </w:r>
    </w:p>
    <w:p w:rsidR="008D6111" w:rsidRPr="00AA5473" w:rsidRDefault="008D6111" w:rsidP="004E7D79">
      <w:pPr>
        <w:pStyle w:val="Normalpool"/>
        <w:numPr>
          <w:ilvl w:val="6"/>
          <w:numId w:val="21"/>
        </w:numPr>
        <w:tabs>
          <w:tab w:val="clear" w:pos="1253"/>
          <w:tab w:val="clear" w:pos="1814"/>
          <w:tab w:val="clear" w:pos="2376"/>
          <w:tab w:val="clear" w:pos="2952"/>
          <w:tab w:val="clear" w:pos="3514"/>
          <w:tab w:val="clear" w:pos="7988"/>
          <w:tab w:val="left" w:pos="624"/>
        </w:tabs>
        <w:spacing w:after="120"/>
        <w:ind w:left="1247" w:firstLine="624"/>
      </w:pPr>
      <w:r w:rsidRPr="00AA5473">
        <w:t>To request the Technology and Economic Assessment Panel, in relation to Annex C, group I</w:t>
      </w:r>
      <w:r>
        <w:t>,</w:t>
      </w:r>
      <w:r w:rsidRPr="00AA5473">
        <w:t xml:space="preserve"> substances, to assess requirements</w:t>
      </w:r>
      <w:r>
        <w:t xml:space="preserve"> for the period from 2020 to 2030 for</w:t>
      </w:r>
      <w:r w:rsidRPr="005033FB">
        <w:rPr>
          <w:lang w:eastAsia="en-GB"/>
        </w:rPr>
        <w:t xml:space="preserve"> </w:t>
      </w:r>
      <w:r w:rsidRPr="005033FB">
        <w:t xml:space="preserve">parties not operating under paragraph 1 of Article 5 </w:t>
      </w:r>
      <w:r>
        <w:t>and to provide information on the following</w:t>
      </w:r>
      <w:r w:rsidRPr="00AA5473">
        <w:t xml:space="preserve">: </w:t>
      </w:r>
    </w:p>
    <w:p w:rsidR="008D6111" w:rsidRPr="0004012F" w:rsidRDefault="008D6111" w:rsidP="004E7D79">
      <w:pPr>
        <w:pStyle w:val="Normalpool"/>
        <w:numPr>
          <w:ilvl w:val="0"/>
          <w:numId w:val="25"/>
        </w:numPr>
        <w:tabs>
          <w:tab w:val="clear" w:pos="1253"/>
          <w:tab w:val="clear" w:pos="1814"/>
          <w:tab w:val="clear" w:pos="2376"/>
          <w:tab w:val="clear" w:pos="2952"/>
          <w:tab w:val="clear" w:pos="3514"/>
          <w:tab w:val="left" w:pos="624"/>
        </w:tabs>
        <w:spacing w:after="120"/>
        <w:ind w:left="1247" w:firstLine="624"/>
      </w:pPr>
      <w:r>
        <w:t>A</w:t>
      </w:r>
      <w:r w:rsidRPr="0004012F">
        <w:t xml:space="preserve">reas </w:t>
      </w:r>
      <w:r>
        <w:t>and v</w:t>
      </w:r>
      <w:r w:rsidRPr="0004012F">
        <w:t xml:space="preserve">olumes of possible needs in fire suppression sectors that </w:t>
      </w:r>
      <w:r>
        <w:t xml:space="preserve">may </w:t>
      </w:r>
      <w:r w:rsidRPr="0004012F">
        <w:t xml:space="preserve">require </w:t>
      </w:r>
      <w:r>
        <w:t xml:space="preserve">the </w:t>
      </w:r>
      <w:r w:rsidRPr="0004012F">
        <w:t xml:space="preserve">use </w:t>
      </w:r>
      <w:r w:rsidRPr="007A1834">
        <w:t>of clean agents</w:t>
      </w:r>
      <w:r w:rsidRPr="0004012F">
        <w:t>;</w:t>
      </w:r>
    </w:p>
    <w:p w:rsidR="008D6111" w:rsidRPr="00AA5473" w:rsidRDefault="008D6111" w:rsidP="004E7D79">
      <w:pPr>
        <w:pStyle w:val="Normalpool"/>
        <w:numPr>
          <w:ilvl w:val="0"/>
          <w:numId w:val="25"/>
        </w:numPr>
        <w:tabs>
          <w:tab w:val="clear" w:pos="1253"/>
          <w:tab w:val="clear" w:pos="1814"/>
          <w:tab w:val="clear" w:pos="2376"/>
          <w:tab w:val="clear" w:pos="2952"/>
          <w:tab w:val="clear" w:pos="3514"/>
          <w:tab w:val="left" w:pos="624"/>
        </w:tabs>
        <w:spacing w:after="120"/>
        <w:ind w:left="1247" w:firstLine="624"/>
      </w:pPr>
      <w:r w:rsidRPr="00C6484C">
        <w:t>Areas and v</w:t>
      </w:r>
      <w:r w:rsidRPr="00AA5473">
        <w:t xml:space="preserve">olumes of possible needs </w:t>
      </w:r>
      <w:r w:rsidRPr="00365779">
        <w:t xml:space="preserve">for solvent </w:t>
      </w:r>
      <w:r w:rsidRPr="00AA5473">
        <w:t xml:space="preserve">applications, </w:t>
      </w:r>
      <w:r>
        <w:t>including servicing;</w:t>
      </w:r>
      <w:r w:rsidRPr="00AA5473">
        <w:t xml:space="preserve"> </w:t>
      </w:r>
    </w:p>
    <w:p w:rsidR="008D6111" w:rsidRDefault="008D6111" w:rsidP="004E7D79">
      <w:pPr>
        <w:pStyle w:val="Normalpool"/>
        <w:numPr>
          <w:ilvl w:val="0"/>
          <w:numId w:val="25"/>
        </w:numPr>
        <w:tabs>
          <w:tab w:val="clear" w:pos="1253"/>
          <w:tab w:val="clear" w:pos="1814"/>
          <w:tab w:val="clear" w:pos="2376"/>
          <w:tab w:val="clear" w:pos="2952"/>
          <w:tab w:val="clear" w:pos="3514"/>
          <w:tab w:val="left" w:pos="624"/>
        </w:tabs>
        <w:spacing w:after="120"/>
        <w:ind w:left="1247" w:firstLine="624"/>
      </w:pPr>
      <w:r w:rsidRPr="00C6484C">
        <w:t>Areas and v</w:t>
      </w:r>
      <w:r w:rsidRPr="00493153">
        <w:t>olumes of possible other niche uses</w:t>
      </w:r>
      <w:r>
        <w:t>;</w:t>
      </w:r>
    </w:p>
    <w:p w:rsidR="008D6111" w:rsidRPr="00AE3B93" w:rsidRDefault="008D6111" w:rsidP="004E7D79">
      <w:pPr>
        <w:pStyle w:val="Normalpool"/>
        <w:numPr>
          <w:ilvl w:val="0"/>
          <w:numId w:val="25"/>
        </w:numPr>
        <w:tabs>
          <w:tab w:val="clear" w:pos="1253"/>
          <w:tab w:val="clear" w:pos="1814"/>
          <w:tab w:val="clear" w:pos="2376"/>
          <w:tab w:val="clear" w:pos="2952"/>
          <w:tab w:val="clear" w:pos="3514"/>
          <w:tab w:val="left" w:pos="624"/>
        </w:tabs>
        <w:spacing w:after="120"/>
        <w:ind w:left="1247" w:firstLine="624"/>
      </w:pPr>
      <w:r>
        <w:t xml:space="preserve">Existing or emerging applications and processes for alternatives </w:t>
      </w:r>
      <w:r w:rsidRPr="00116F3D">
        <w:t>related to items</w:t>
      </w:r>
      <w:r>
        <w:t> </w:t>
      </w:r>
      <w:r w:rsidRPr="00116F3D">
        <w:t>(a) to (c) above</w:t>
      </w:r>
      <w:r>
        <w:t xml:space="preserve"> and the possibility of meeting identified needs through the use of recycled or reclaimed hydrochlorofluorocarbons;</w:t>
      </w:r>
    </w:p>
    <w:p w:rsidR="008D6111" w:rsidRDefault="008D6111" w:rsidP="004E7D79">
      <w:pPr>
        <w:pStyle w:val="Normalpool"/>
        <w:numPr>
          <w:ilvl w:val="6"/>
          <w:numId w:val="21"/>
        </w:numPr>
        <w:tabs>
          <w:tab w:val="clear" w:pos="1253"/>
          <w:tab w:val="clear" w:pos="1814"/>
          <w:tab w:val="clear" w:pos="2376"/>
          <w:tab w:val="clear" w:pos="2952"/>
          <w:tab w:val="clear" w:pos="3514"/>
          <w:tab w:val="clear" w:pos="7988"/>
          <w:tab w:val="left" w:pos="624"/>
        </w:tabs>
        <w:spacing w:after="120"/>
        <w:ind w:left="1247" w:firstLine="624"/>
      </w:pPr>
      <w:r w:rsidRPr="0004012F">
        <w:t xml:space="preserve">To invite parties and other interested entities to provide </w:t>
      </w:r>
      <w:r>
        <w:t xml:space="preserve">additional </w:t>
      </w:r>
      <w:r w:rsidRPr="0004012F">
        <w:t xml:space="preserve">information to the Secretariat by </w:t>
      </w:r>
      <w:r>
        <w:t>15 January</w:t>
      </w:r>
      <w:r w:rsidRPr="0004012F">
        <w:t xml:space="preserve"> 201</w:t>
      </w:r>
      <w:r>
        <w:t>8</w:t>
      </w:r>
      <w:r w:rsidRPr="0004012F">
        <w:t xml:space="preserve"> for inclusion in the Panel’s progress report; </w:t>
      </w:r>
    </w:p>
    <w:p w:rsidR="008D6111" w:rsidRPr="002417F7" w:rsidRDefault="008D6111" w:rsidP="004E7D79">
      <w:pPr>
        <w:pStyle w:val="Normalpool"/>
        <w:numPr>
          <w:ilvl w:val="6"/>
          <w:numId w:val="21"/>
        </w:numPr>
        <w:tabs>
          <w:tab w:val="clear" w:pos="1253"/>
          <w:tab w:val="clear" w:pos="1814"/>
          <w:tab w:val="clear" w:pos="2376"/>
          <w:tab w:val="clear" w:pos="2952"/>
          <w:tab w:val="clear" w:pos="3514"/>
          <w:tab w:val="clear" w:pos="7988"/>
          <w:tab w:val="left" w:pos="624"/>
        </w:tabs>
        <w:spacing w:after="120"/>
        <w:ind w:left="1247" w:firstLine="624"/>
      </w:pPr>
      <w:r w:rsidRPr="001D734C">
        <w:t xml:space="preserve">To request the Panel to report on the assessment referred to above by </w:t>
      </w:r>
      <w:r>
        <w:t xml:space="preserve">15 </w:t>
      </w:r>
      <w:r w:rsidRPr="001D734C">
        <w:t>March 2018</w:t>
      </w:r>
      <w:r w:rsidR="00A42678">
        <w:t>;</w:t>
      </w:r>
    </w:p>
    <w:p w:rsidR="008D6111" w:rsidRPr="000C234A" w:rsidRDefault="0023538F" w:rsidP="004E7D79">
      <w:pPr>
        <w:pStyle w:val="CH2"/>
        <w:keepNext w:val="0"/>
        <w:keepLines w:val="0"/>
        <w:spacing w:before="240"/>
        <w:outlineLvl w:val="0"/>
      </w:pPr>
      <w:r>
        <w:tab/>
      </w:r>
      <w:r>
        <w:tab/>
      </w:r>
      <w:r w:rsidR="008D6111">
        <w:t xml:space="preserve">Decision </w:t>
      </w:r>
      <w:r w:rsidR="008D6111" w:rsidRPr="000C234A">
        <w:t>XXIX/</w:t>
      </w:r>
      <w:r w:rsidR="008D6111">
        <w:t>10</w:t>
      </w:r>
      <w:r w:rsidR="008D6111" w:rsidRPr="000C234A">
        <w:t>: Issues related to energy efficiency while phasing down hydrofluorocarbons</w:t>
      </w:r>
    </w:p>
    <w:p w:rsidR="008D6111" w:rsidRPr="00533FB6" w:rsidRDefault="008D6111" w:rsidP="004E7D79">
      <w:pPr>
        <w:pStyle w:val="Normalpool"/>
        <w:tabs>
          <w:tab w:val="clear" w:pos="1253"/>
          <w:tab w:val="clear" w:pos="1814"/>
          <w:tab w:val="clear" w:pos="2376"/>
          <w:tab w:val="clear" w:pos="2952"/>
          <w:tab w:val="clear" w:pos="3514"/>
          <w:tab w:val="left" w:pos="624"/>
        </w:tabs>
        <w:spacing w:after="120"/>
        <w:ind w:left="1247" w:firstLine="624"/>
        <w:rPr>
          <w:iCs/>
        </w:rPr>
      </w:pPr>
      <w:r w:rsidRPr="006308D9">
        <w:rPr>
          <w:i/>
          <w:iCs/>
        </w:rPr>
        <w:t>Recalling</w:t>
      </w:r>
      <w:r w:rsidRPr="006308D9">
        <w:rPr>
          <w:i/>
        </w:rPr>
        <w:t xml:space="preserve"> </w:t>
      </w:r>
      <w:r w:rsidRPr="006308D9">
        <w:t xml:space="preserve">decision XXVIII/2, </w:t>
      </w:r>
      <w:r w:rsidR="009353CE">
        <w:t xml:space="preserve">in </w:t>
      </w:r>
      <w:r w:rsidRPr="005D54FA">
        <w:t>which</w:t>
      </w:r>
      <w:r w:rsidR="009353CE" w:rsidRPr="005D54FA">
        <w:t xml:space="preserve"> the Meeting</w:t>
      </w:r>
      <w:r w:rsidR="009353CE">
        <w:t xml:space="preserve"> of the Parties,</w:t>
      </w:r>
      <w:r w:rsidRPr="00533FB6">
        <w:t xml:space="preserve"> </w:t>
      </w:r>
      <w:r w:rsidRPr="00533FB6">
        <w:rPr>
          <w:iCs/>
        </w:rPr>
        <w:t>inter alia</w:t>
      </w:r>
      <w:r w:rsidR="009353CE">
        <w:rPr>
          <w:iCs/>
        </w:rPr>
        <w:t>,</w:t>
      </w:r>
      <w:r w:rsidRPr="00533FB6">
        <w:t xml:space="preserve"> </w:t>
      </w:r>
      <w:r>
        <w:t>request</w:t>
      </w:r>
      <w:r w:rsidR="009353CE">
        <w:t>ed</w:t>
      </w:r>
      <w:r>
        <w:t xml:space="preserve"> the Executive Committee to develop </w:t>
      </w:r>
      <w:r w:rsidRPr="00533FB6">
        <w:t>cost guidance associated with maintaining and/or enhancing the energy efficiency of low</w:t>
      </w:r>
      <w:r w:rsidR="009353CE">
        <w:t>-</w:t>
      </w:r>
      <w:r w:rsidRPr="00533FB6">
        <w:t>global</w:t>
      </w:r>
      <w:r w:rsidR="009353CE">
        <w:t>-</w:t>
      </w:r>
      <w:r w:rsidRPr="00533FB6">
        <w:t>warming</w:t>
      </w:r>
      <w:r w:rsidR="009353CE">
        <w:t>-</w:t>
      </w:r>
      <w:r w:rsidRPr="00533FB6">
        <w:t xml:space="preserve">potential </w:t>
      </w:r>
      <w:r w:rsidRPr="006308D9">
        <w:t>(GWP) or zero</w:t>
      </w:r>
      <w:r w:rsidRPr="00533FB6">
        <w:t>-GWP replacement technologies and equipment</w:t>
      </w:r>
      <w:r w:rsidRPr="006308D9">
        <w:t xml:space="preserve"> when phasing down hydrofluorocarbons, while taking note of the role of other institutions </w:t>
      </w:r>
      <w:r w:rsidRPr="00533FB6">
        <w:t>addressing energy efficiency, when appropriate,</w:t>
      </w:r>
    </w:p>
    <w:p w:rsidR="008D6111" w:rsidRPr="006308D9" w:rsidRDefault="008D6111" w:rsidP="004E7D79">
      <w:pPr>
        <w:pStyle w:val="Normalpool"/>
        <w:tabs>
          <w:tab w:val="clear" w:pos="1253"/>
          <w:tab w:val="clear" w:pos="1814"/>
          <w:tab w:val="clear" w:pos="2376"/>
          <w:tab w:val="clear" w:pos="2952"/>
          <w:tab w:val="clear" w:pos="3514"/>
          <w:tab w:val="left" w:pos="624"/>
        </w:tabs>
        <w:spacing w:after="120"/>
        <w:ind w:left="1247" w:firstLine="624"/>
      </w:pPr>
      <w:r w:rsidRPr="006308D9">
        <w:rPr>
          <w:i/>
          <w:iCs/>
        </w:rPr>
        <w:t xml:space="preserve">Recognizing </w:t>
      </w:r>
      <w:r w:rsidRPr="006308D9">
        <w:t>the</w:t>
      </w:r>
      <w:r w:rsidRPr="006308D9">
        <w:rPr>
          <w:iCs/>
        </w:rPr>
        <w:t xml:space="preserve"> </w:t>
      </w:r>
      <w:r>
        <w:rPr>
          <w:iCs/>
        </w:rPr>
        <w:t xml:space="preserve">importance </w:t>
      </w:r>
      <w:r w:rsidR="00A42678">
        <w:rPr>
          <w:iCs/>
        </w:rPr>
        <w:t>of</w:t>
      </w:r>
      <w:r w:rsidRPr="006308D9">
        <w:t xml:space="preserve"> maintain</w:t>
      </w:r>
      <w:r w:rsidR="00A42678">
        <w:t>ing</w:t>
      </w:r>
      <w:r w:rsidRPr="006308D9">
        <w:t xml:space="preserve"> and/or enhanc</w:t>
      </w:r>
      <w:r w:rsidR="00A42678">
        <w:t>ing</w:t>
      </w:r>
      <w:r w:rsidRPr="006308D9">
        <w:t xml:space="preserve"> energy efficiency while transitioning away from high-</w:t>
      </w:r>
      <w:r w:rsidRPr="00533FB6">
        <w:t>GWP hydrofluorocarbons to low-GWP alternatives in the refrigeration, air</w:t>
      </w:r>
      <w:r w:rsidR="009353CE">
        <w:t>-</w:t>
      </w:r>
      <w:r w:rsidRPr="00533FB6">
        <w:t>conditioning and heat pump sectors,</w:t>
      </w:r>
    </w:p>
    <w:p w:rsidR="008D6111" w:rsidRPr="006308D9" w:rsidRDefault="008D6111" w:rsidP="004E7D79">
      <w:pPr>
        <w:pStyle w:val="Normalpool"/>
        <w:tabs>
          <w:tab w:val="clear" w:pos="1253"/>
          <w:tab w:val="clear" w:pos="1814"/>
          <w:tab w:val="clear" w:pos="2376"/>
          <w:tab w:val="clear" w:pos="2952"/>
          <w:tab w:val="clear" w:pos="3514"/>
          <w:tab w:val="left" w:pos="624"/>
        </w:tabs>
        <w:spacing w:after="120"/>
        <w:ind w:left="1247" w:firstLine="624"/>
        <w:rPr>
          <w:strike/>
        </w:rPr>
      </w:pPr>
      <w:r w:rsidRPr="006308D9">
        <w:rPr>
          <w:i/>
          <w:iCs/>
        </w:rPr>
        <w:t>Noting</w:t>
      </w:r>
      <w:r w:rsidRPr="006308D9">
        <w:rPr>
          <w:i/>
        </w:rPr>
        <w:t xml:space="preserve"> </w:t>
      </w:r>
      <w:r w:rsidRPr="006308D9">
        <w:t>that the use of air</w:t>
      </w:r>
      <w:r w:rsidR="0059222C">
        <w:t xml:space="preserve"> </w:t>
      </w:r>
      <w:r w:rsidRPr="00533FB6">
        <w:t>conditioning and refrigeration is growing in countries operating under paragraph 1</w:t>
      </w:r>
      <w:r w:rsidRPr="006308D9">
        <w:t xml:space="preserve"> of Article 5,</w:t>
      </w:r>
    </w:p>
    <w:p w:rsidR="008D6111" w:rsidRPr="006308D9" w:rsidRDefault="008D6111" w:rsidP="004E7D79">
      <w:pPr>
        <w:pStyle w:val="Normalpool"/>
        <w:tabs>
          <w:tab w:val="clear" w:pos="1253"/>
          <w:tab w:val="clear" w:pos="1814"/>
          <w:tab w:val="clear" w:pos="2376"/>
          <w:tab w:val="clear" w:pos="2952"/>
          <w:tab w:val="clear" w:pos="3514"/>
          <w:tab w:val="left" w:pos="624"/>
        </w:tabs>
        <w:spacing w:after="120"/>
        <w:ind w:left="1247" w:firstLine="624"/>
      </w:pPr>
      <w:r w:rsidRPr="006308D9">
        <w:rPr>
          <w:i/>
          <w:iCs/>
        </w:rPr>
        <w:lastRenderedPageBreak/>
        <w:t>Recognizing</w:t>
      </w:r>
      <w:r w:rsidRPr="006308D9">
        <w:rPr>
          <w:i/>
        </w:rPr>
        <w:t xml:space="preserve"> </w:t>
      </w:r>
      <w:r w:rsidRPr="006308D9">
        <w:t xml:space="preserve">that </w:t>
      </w:r>
      <w:r w:rsidRPr="00533FB6">
        <w:t>maintaining and/</w:t>
      </w:r>
      <w:r w:rsidRPr="006308D9">
        <w:t>or enhancing energy efficiency</w:t>
      </w:r>
      <w:r>
        <w:t xml:space="preserve"> could </w:t>
      </w:r>
      <w:r w:rsidRPr="006308D9">
        <w:t xml:space="preserve">have </w:t>
      </w:r>
      <w:r w:rsidRPr="00533FB6">
        <w:t>significant</w:t>
      </w:r>
      <w:r>
        <w:t xml:space="preserve"> climate benefits</w:t>
      </w:r>
      <w:r w:rsidR="00513095">
        <w:t>,</w:t>
      </w:r>
    </w:p>
    <w:p w:rsidR="008D6111" w:rsidRDefault="008D6111" w:rsidP="004E7D79">
      <w:pPr>
        <w:pStyle w:val="Normalpool"/>
        <w:tabs>
          <w:tab w:val="clear" w:pos="1253"/>
          <w:tab w:val="clear" w:pos="1814"/>
          <w:tab w:val="clear" w:pos="2376"/>
          <w:tab w:val="clear" w:pos="2952"/>
          <w:tab w:val="clear" w:pos="3514"/>
          <w:tab w:val="left" w:pos="624"/>
        </w:tabs>
        <w:spacing w:after="120"/>
        <w:ind w:left="1247" w:firstLine="624"/>
        <w:rPr>
          <w:rFonts w:ascii="Times" w:eastAsia="MS Mincho" w:hAnsi="Times"/>
          <w:lang w:val="en-US"/>
        </w:rPr>
      </w:pPr>
      <w:r w:rsidRPr="000C234A">
        <w:rPr>
          <w:rFonts w:ascii="Times" w:eastAsia="MS Mincho" w:hAnsi="Times"/>
          <w:bCs/>
          <w:bdr w:val="none" w:sz="0" w:space="0" w:color="auto" w:frame="1"/>
        </w:rPr>
        <w:t>1</w:t>
      </w:r>
      <w:r w:rsidRPr="000D05AC">
        <w:rPr>
          <w:rFonts w:ascii="Times" w:eastAsia="MS Mincho" w:hAnsi="Times"/>
          <w:bCs/>
          <w:bdr w:val="none" w:sz="0" w:space="0" w:color="auto" w:frame="1"/>
        </w:rPr>
        <w:t>.</w:t>
      </w:r>
      <w:r w:rsidRPr="000D05AC">
        <w:rPr>
          <w:rFonts w:ascii="Times" w:eastAsia="MS Mincho" w:hAnsi="Times"/>
          <w:bdr w:val="none" w:sz="0" w:space="0" w:color="auto" w:frame="1"/>
        </w:rPr>
        <w:t xml:space="preserve"> </w:t>
      </w:r>
      <w:r>
        <w:rPr>
          <w:rFonts w:ascii="Times" w:eastAsia="MS Mincho" w:hAnsi="Times"/>
          <w:bdr w:val="none" w:sz="0" w:space="0" w:color="auto" w:frame="1"/>
        </w:rPr>
        <w:tab/>
      </w:r>
      <w:r w:rsidRPr="000C234A">
        <w:rPr>
          <w:rFonts w:ascii="Times" w:eastAsia="MS Mincho" w:hAnsi="Times"/>
          <w:bdr w:val="none" w:sz="0" w:space="0" w:color="auto" w:frame="1"/>
        </w:rPr>
        <w:t xml:space="preserve">To request the Technology and Economic Assessment Panel in relation to </w:t>
      </w:r>
      <w:r w:rsidRPr="00F77276">
        <w:t>maintaining</w:t>
      </w:r>
      <w:r w:rsidRPr="000C234A">
        <w:rPr>
          <w:rFonts w:ascii="Times" w:eastAsia="MS Mincho" w:hAnsi="Times"/>
          <w:bdr w:val="none" w:sz="0" w:space="0" w:color="auto" w:frame="1"/>
        </w:rPr>
        <w:t xml:space="preserve"> and/or enhancing energy efficiency in the refrigeration</w:t>
      </w:r>
      <w:r w:rsidR="00D7008A">
        <w:rPr>
          <w:rFonts w:ascii="Times" w:eastAsia="MS Mincho" w:hAnsi="Times"/>
          <w:bdr w:val="none" w:sz="0" w:space="0" w:color="auto" w:frame="1"/>
        </w:rPr>
        <w:t>,</w:t>
      </w:r>
      <w:r w:rsidRPr="000C234A">
        <w:rPr>
          <w:rFonts w:ascii="Times" w:eastAsia="MS Mincho" w:hAnsi="Times"/>
          <w:bdr w:val="none" w:sz="0" w:space="0" w:color="auto" w:frame="1"/>
        </w:rPr>
        <w:t xml:space="preserve"> air-conditioning and heat-pump</w:t>
      </w:r>
      <w:r>
        <w:rPr>
          <w:rFonts w:ascii="Times" w:eastAsia="MS Mincho" w:hAnsi="Times"/>
          <w:bdr w:val="none" w:sz="0" w:space="0" w:color="auto" w:frame="1"/>
        </w:rPr>
        <w:t xml:space="preserve"> </w:t>
      </w:r>
      <w:r w:rsidRPr="000C234A">
        <w:rPr>
          <w:rFonts w:ascii="Times" w:eastAsia="MS Mincho" w:hAnsi="Times"/>
          <w:bdr w:val="none" w:sz="0" w:space="0" w:color="auto" w:frame="1"/>
        </w:rPr>
        <w:t>sectors, including in high-ambient</w:t>
      </w:r>
      <w:r w:rsidR="00CA5761">
        <w:rPr>
          <w:rFonts w:ascii="Times" w:eastAsia="MS Mincho" w:hAnsi="Times"/>
          <w:bdr w:val="none" w:sz="0" w:space="0" w:color="auto" w:frame="1"/>
        </w:rPr>
        <w:t>-</w:t>
      </w:r>
      <w:r w:rsidRPr="000C234A">
        <w:rPr>
          <w:rFonts w:ascii="Times" w:eastAsia="MS Mincho" w:hAnsi="Times"/>
          <w:bdr w:val="none" w:sz="0" w:space="0" w:color="auto" w:frame="1"/>
        </w:rPr>
        <w:t xml:space="preserve">temperature conditions, </w:t>
      </w:r>
      <w:r w:rsidRPr="000C234A">
        <w:rPr>
          <w:rFonts w:ascii="Times" w:eastAsia="MS Mincho" w:hAnsi="Times"/>
          <w:bCs/>
          <w:bdr w:val="none" w:sz="0" w:space="0" w:color="auto" w:frame="1"/>
        </w:rPr>
        <w:t xml:space="preserve">while </w:t>
      </w:r>
      <w:r w:rsidRPr="000C234A">
        <w:rPr>
          <w:rFonts w:ascii="Times" w:eastAsia="MS Mincho" w:hAnsi="Times"/>
          <w:bdr w:val="none" w:sz="0" w:space="0" w:color="auto" w:frame="1"/>
        </w:rPr>
        <w:t>phasing down hydrofluorocarbons under the Kigali Amendment to the Montreal Protocol in parties operating under paragraph 1 of Article 5,</w:t>
      </w:r>
      <w:r w:rsidRPr="000C234A">
        <w:rPr>
          <w:rFonts w:ascii="Times" w:eastAsia="MS Mincho" w:hAnsi="Times"/>
        </w:rPr>
        <w:t xml:space="preserve"> </w:t>
      </w:r>
      <w:r w:rsidRPr="000C234A">
        <w:rPr>
          <w:rFonts w:ascii="Times" w:eastAsia="MS Mincho" w:hAnsi="Times"/>
          <w:bdr w:val="none" w:sz="0" w:space="0" w:color="auto" w:frame="1"/>
        </w:rPr>
        <w:t xml:space="preserve">to assess the following items: </w:t>
      </w:r>
    </w:p>
    <w:p w:rsidR="008D6111" w:rsidRDefault="008D6111" w:rsidP="000D05AC">
      <w:pPr>
        <w:pStyle w:val="Normalpool"/>
        <w:tabs>
          <w:tab w:val="clear" w:pos="1253"/>
          <w:tab w:val="clear" w:pos="1814"/>
          <w:tab w:val="clear" w:pos="2376"/>
          <w:tab w:val="clear" w:pos="2952"/>
          <w:tab w:val="clear" w:pos="3514"/>
          <w:tab w:val="left" w:pos="624"/>
        </w:tabs>
        <w:spacing w:after="120"/>
        <w:ind w:left="1247" w:firstLine="624"/>
        <w:rPr>
          <w:rFonts w:ascii="Times" w:hAnsi="Times"/>
          <w:bCs/>
          <w:bdr w:val="none" w:sz="0" w:space="0" w:color="auto" w:frame="1"/>
        </w:rPr>
      </w:pPr>
      <w:r>
        <w:rPr>
          <w:rFonts w:ascii="Times" w:hAnsi="Times"/>
          <w:bdr w:val="none" w:sz="0" w:space="0" w:color="auto" w:frame="1"/>
        </w:rPr>
        <w:t>(a)</w:t>
      </w:r>
      <w:r>
        <w:rPr>
          <w:rFonts w:ascii="Times" w:hAnsi="Times"/>
          <w:bdr w:val="none" w:sz="0" w:space="0" w:color="auto" w:frame="1"/>
        </w:rPr>
        <w:tab/>
      </w:r>
      <w:r w:rsidR="00EE4079" w:rsidRPr="00E05527">
        <w:rPr>
          <w:rFonts w:ascii="Times" w:hAnsi="Times"/>
          <w:bdr w:val="none" w:sz="0" w:space="0" w:color="auto" w:frame="1"/>
        </w:rPr>
        <w:t xml:space="preserve">Technology </w:t>
      </w:r>
      <w:r w:rsidRPr="00E05527">
        <w:rPr>
          <w:rFonts w:ascii="Times" w:hAnsi="Times"/>
          <w:bCs/>
          <w:bdr w:val="none" w:sz="0" w:space="0" w:color="auto" w:frame="1"/>
        </w:rPr>
        <w:t>opt</w:t>
      </w:r>
      <w:r>
        <w:rPr>
          <w:rFonts w:ascii="Times" w:hAnsi="Times"/>
          <w:bCs/>
          <w:bdr w:val="none" w:sz="0" w:space="0" w:color="auto" w:frame="1"/>
        </w:rPr>
        <w:t>ions and requirements including</w:t>
      </w:r>
      <w:r w:rsidR="00CA5761">
        <w:rPr>
          <w:rFonts w:ascii="Times" w:hAnsi="Times"/>
          <w:bCs/>
          <w:bdr w:val="none" w:sz="0" w:space="0" w:color="auto" w:frame="1"/>
        </w:rPr>
        <w:t>:</w:t>
      </w:r>
    </w:p>
    <w:p w:rsidR="008D6111" w:rsidRPr="004E7D79" w:rsidRDefault="008D6111" w:rsidP="000D05AC">
      <w:pPr>
        <w:pStyle w:val="Normalpool"/>
        <w:tabs>
          <w:tab w:val="clear" w:pos="1253"/>
          <w:tab w:val="clear" w:pos="1814"/>
          <w:tab w:val="clear" w:pos="2376"/>
          <w:tab w:val="clear" w:pos="2952"/>
          <w:tab w:val="clear" w:pos="3514"/>
          <w:tab w:val="left" w:pos="624"/>
        </w:tabs>
        <w:spacing w:after="120"/>
        <w:ind w:left="3119" w:hanging="624"/>
        <w:rPr>
          <w:iCs/>
        </w:rPr>
      </w:pPr>
      <w:r w:rsidRPr="004E7D79">
        <w:rPr>
          <w:iCs/>
        </w:rPr>
        <w:t>(</w:t>
      </w:r>
      <w:proofErr w:type="gramStart"/>
      <w:r w:rsidRPr="004E7D79">
        <w:rPr>
          <w:iCs/>
        </w:rPr>
        <w:t>i</w:t>
      </w:r>
      <w:proofErr w:type="gramEnd"/>
      <w:r w:rsidRPr="004E7D79">
        <w:rPr>
          <w:iCs/>
        </w:rPr>
        <w:t>)</w:t>
      </w:r>
      <w:r w:rsidRPr="004E7D79">
        <w:rPr>
          <w:iCs/>
        </w:rPr>
        <w:tab/>
      </w:r>
      <w:r w:rsidR="00EE4079" w:rsidRPr="004E7D79">
        <w:rPr>
          <w:iCs/>
        </w:rPr>
        <w:t xml:space="preserve">Challenges </w:t>
      </w:r>
      <w:r w:rsidR="00CA5761">
        <w:rPr>
          <w:iCs/>
        </w:rPr>
        <w:t>to</w:t>
      </w:r>
      <w:r w:rsidRPr="004E7D79">
        <w:rPr>
          <w:iCs/>
        </w:rPr>
        <w:t xml:space="preserve"> their uptake; </w:t>
      </w:r>
    </w:p>
    <w:p w:rsidR="008D6111" w:rsidRPr="004E7D79" w:rsidRDefault="008D6111" w:rsidP="000D05AC">
      <w:pPr>
        <w:pStyle w:val="Normalpool"/>
        <w:tabs>
          <w:tab w:val="clear" w:pos="1253"/>
          <w:tab w:val="clear" w:pos="1814"/>
          <w:tab w:val="clear" w:pos="2376"/>
          <w:tab w:val="clear" w:pos="2952"/>
          <w:tab w:val="clear" w:pos="3514"/>
          <w:tab w:val="left" w:pos="624"/>
        </w:tabs>
        <w:spacing w:after="120"/>
        <w:ind w:left="3119" w:hanging="624"/>
        <w:rPr>
          <w:iCs/>
        </w:rPr>
      </w:pPr>
      <w:r w:rsidRPr="004E7D79">
        <w:rPr>
          <w:iCs/>
        </w:rPr>
        <w:t>(ii)</w:t>
      </w:r>
      <w:r w:rsidRPr="004E7D79">
        <w:rPr>
          <w:iCs/>
        </w:rPr>
        <w:tab/>
      </w:r>
      <w:r w:rsidR="00EE4079" w:rsidRPr="004E7D79">
        <w:rPr>
          <w:iCs/>
        </w:rPr>
        <w:t xml:space="preserve">Their </w:t>
      </w:r>
      <w:r w:rsidRPr="004E7D79">
        <w:rPr>
          <w:iCs/>
        </w:rPr>
        <w:t>long-term sustaina</w:t>
      </w:r>
      <w:r w:rsidR="000D05AC">
        <w:rPr>
          <w:iCs/>
        </w:rPr>
        <w:t xml:space="preserve">ble performance and viability; </w:t>
      </w:r>
    </w:p>
    <w:p w:rsidR="008D6111" w:rsidRPr="004E7D79" w:rsidRDefault="008D6111" w:rsidP="000D05AC">
      <w:pPr>
        <w:pStyle w:val="Normalpool"/>
        <w:tabs>
          <w:tab w:val="clear" w:pos="1253"/>
          <w:tab w:val="clear" w:pos="1814"/>
          <w:tab w:val="clear" w:pos="2376"/>
          <w:tab w:val="clear" w:pos="2952"/>
          <w:tab w:val="clear" w:pos="3514"/>
          <w:tab w:val="left" w:pos="624"/>
        </w:tabs>
        <w:spacing w:after="120"/>
        <w:ind w:left="3119" w:hanging="624"/>
        <w:rPr>
          <w:iCs/>
        </w:rPr>
      </w:pPr>
      <w:r w:rsidRPr="004E7D79">
        <w:rPr>
          <w:iCs/>
        </w:rPr>
        <w:t>(iii)</w:t>
      </w:r>
      <w:r w:rsidRPr="004E7D79">
        <w:rPr>
          <w:iCs/>
        </w:rPr>
        <w:tab/>
      </w:r>
      <w:r w:rsidR="00EE4079" w:rsidRPr="004E7D79">
        <w:rPr>
          <w:iCs/>
        </w:rPr>
        <w:t xml:space="preserve">Their </w:t>
      </w:r>
      <w:r w:rsidRPr="004E7D79">
        <w:rPr>
          <w:iCs/>
        </w:rPr>
        <w:t xml:space="preserve">environmental benefits in terms of </w:t>
      </w:r>
      <w:r w:rsidR="00CA5761">
        <w:rPr>
          <w:iCs/>
        </w:rPr>
        <w:t>carbon dioxide equivalents</w:t>
      </w:r>
      <w:r w:rsidRPr="004E7D79">
        <w:rPr>
          <w:iCs/>
        </w:rPr>
        <w:t>;</w:t>
      </w:r>
    </w:p>
    <w:p w:rsidR="008D6111" w:rsidRPr="000E339A" w:rsidRDefault="008D6111" w:rsidP="004E7D79">
      <w:pPr>
        <w:pStyle w:val="Normalpool"/>
        <w:tabs>
          <w:tab w:val="clear" w:pos="1253"/>
          <w:tab w:val="clear" w:pos="1814"/>
          <w:tab w:val="clear" w:pos="2376"/>
          <w:tab w:val="clear" w:pos="2952"/>
          <w:tab w:val="clear" w:pos="3514"/>
          <w:tab w:val="left" w:pos="624"/>
        </w:tabs>
        <w:spacing w:after="120"/>
        <w:ind w:left="1247" w:firstLine="624"/>
        <w:rPr>
          <w:rFonts w:ascii="Times" w:hAnsi="Times"/>
          <w:bCs/>
          <w:bdr w:val="none" w:sz="0" w:space="0" w:color="auto" w:frame="1"/>
        </w:rPr>
      </w:pPr>
      <w:r>
        <w:rPr>
          <w:rFonts w:ascii="Times" w:hAnsi="Times"/>
          <w:bCs/>
          <w:bdr w:val="none" w:sz="0" w:space="0" w:color="auto" w:frame="1"/>
        </w:rPr>
        <w:t>(b)</w:t>
      </w:r>
      <w:r>
        <w:rPr>
          <w:rFonts w:ascii="Times" w:hAnsi="Times"/>
          <w:bCs/>
          <w:bdr w:val="none" w:sz="0" w:space="0" w:color="auto" w:frame="1"/>
        </w:rPr>
        <w:tab/>
      </w:r>
      <w:r w:rsidR="00EE4079" w:rsidRPr="000E339A">
        <w:rPr>
          <w:rFonts w:ascii="Times" w:hAnsi="Times"/>
          <w:bCs/>
          <w:bdr w:val="none" w:sz="0" w:space="0" w:color="auto" w:frame="1"/>
        </w:rPr>
        <w:t>Capacity</w:t>
      </w:r>
      <w:r w:rsidR="00EE4079">
        <w:rPr>
          <w:rFonts w:ascii="Times" w:hAnsi="Times"/>
          <w:bCs/>
          <w:bdr w:val="none" w:sz="0" w:space="0" w:color="auto" w:frame="1"/>
        </w:rPr>
        <w:t>-</w:t>
      </w:r>
      <w:r w:rsidRPr="000E339A">
        <w:rPr>
          <w:rFonts w:ascii="Times" w:hAnsi="Times"/>
          <w:bCs/>
          <w:bdr w:val="none" w:sz="0" w:space="0" w:color="auto" w:frame="1"/>
        </w:rPr>
        <w:t xml:space="preserve">building and servicing sector requirements in the refrigeration and </w:t>
      </w:r>
      <w:r w:rsidR="000D05AC">
        <w:rPr>
          <w:rFonts w:ascii="Times" w:hAnsi="Times"/>
          <w:bCs/>
          <w:bdr w:val="none" w:sz="0" w:space="0" w:color="auto" w:frame="1"/>
        </w:rPr>
        <w:br/>
      </w:r>
      <w:r w:rsidRPr="000E339A">
        <w:rPr>
          <w:rFonts w:ascii="Times" w:hAnsi="Times"/>
          <w:bCs/>
          <w:bdr w:val="none" w:sz="0" w:space="0" w:color="auto" w:frame="1"/>
        </w:rPr>
        <w:t>air-conditioning and heat-pump sectors;</w:t>
      </w:r>
    </w:p>
    <w:p w:rsidR="008D6111" w:rsidRPr="000E339A" w:rsidRDefault="000D05AC" w:rsidP="004E7D79">
      <w:pPr>
        <w:pStyle w:val="Normalpool"/>
        <w:tabs>
          <w:tab w:val="clear" w:pos="1253"/>
          <w:tab w:val="clear" w:pos="1814"/>
          <w:tab w:val="clear" w:pos="2376"/>
          <w:tab w:val="clear" w:pos="2952"/>
          <w:tab w:val="clear" w:pos="3514"/>
          <w:tab w:val="left" w:pos="624"/>
        </w:tabs>
        <w:spacing w:after="120"/>
        <w:ind w:left="1247" w:firstLine="624"/>
        <w:rPr>
          <w:rFonts w:ascii="Times" w:hAnsi="Times"/>
          <w:bCs/>
          <w:bdr w:val="none" w:sz="0" w:space="0" w:color="auto" w:frame="1"/>
        </w:rPr>
      </w:pPr>
      <w:r>
        <w:rPr>
          <w:rFonts w:ascii="Times" w:hAnsi="Times"/>
          <w:bCs/>
          <w:bdr w:val="none" w:sz="0" w:space="0" w:color="auto" w:frame="1"/>
        </w:rPr>
        <w:t>(c)</w:t>
      </w:r>
      <w:r w:rsidR="008D6111">
        <w:rPr>
          <w:rFonts w:ascii="Times" w:hAnsi="Times"/>
          <w:bCs/>
          <w:bdr w:val="none" w:sz="0" w:space="0" w:color="auto" w:frame="1"/>
        </w:rPr>
        <w:tab/>
      </w:r>
      <w:r w:rsidR="00EE4079" w:rsidRPr="00E05527">
        <w:rPr>
          <w:rFonts w:ascii="Times" w:hAnsi="Times"/>
          <w:bCs/>
          <w:bdr w:val="none" w:sz="0" w:space="0" w:color="auto" w:frame="1"/>
        </w:rPr>
        <w:t xml:space="preserve">Related </w:t>
      </w:r>
      <w:r w:rsidR="008D6111" w:rsidRPr="00E05527">
        <w:rPr>
          <w:rFonts w:ascii="Times" w:hAnsi="Times"/>
          <w:bCs/>
          <w:bdr w:val="none" w:sz="0" w:space="0" w:color="auto" w:frame="1"/>
        </w:rPr>
        <w:t>costs including capital and operating costs</w:t>
      </w:r>
      <w:r w:rsidR="00EE4079">
        <w:rPr>
          <w:rFonts w:ascii="Times" w:hAnsi="Times"/>
          <w:bCs/>
          <w:bdr w:val="none" w:sz="0" w:space="0" w:color="auto" w:frame="1"/>
        </w:rPr>
        <w:t>;</w:t>
      </w:r>
    </w:p>
    <w:p w:rsidR="008D6111" w:rsidRDefault="000D05AC" w:rsidP="004E7D79">
      <w:pPr>
        <w:pStyle w:val="Normalpool"/>
        <w:tabs>
          <w:tab w:val="clear" w:pos="1253"/>
          <w:tab w:val="clear" w:pos="1814"/>
          <w:tab w:val="clear" w:pos="2376"/>
          <w:tab w:val="clear" w:pos="2952"/>
          <w:tab w:val="clear" w:pos="3514"/>
          <w:tab w:val="left" w:pos="624"/>
        </w:tabs>
        <w:spacing w:after="120"/>
        <w:ind w:left="1247" w:firstLine="624"/>
      </w:pPr>
      <w:r>
        <w:t>2.</w:t>
      </w:r>
      <w:r w:rsidR="008D6111">
        <w:tab/>
      </w:r>
      <w:r w:rsidR="00EE4079">
        <w:t>Also to</w:t>
      </w:r>
      <w:r w:rsidR="008D6111">
        <w:t xml:space="preserve"> request the </w:t>
      </w:r>
      <w:r w:rsidR="008D6111" w:rsidRPr="00A50935">
        <w:t>Technology a</w:t>
      </w:r>
      <w:r w:rsidR="008D6111">
        <w:t xml:space="preserve">nd Economic Assessment Panel to provide an overview of the activities and funding provided by other relevant institutions, as well as definitions, criteria and methodologies used in addressing energy efficiency in the </w:t>
      </w:r>
      <w:r w:rsidR="00CA5761" w:rsidRPr="000C234A">
        <w:rPr>
          <w:rFonts w:ascii="Times" w:eastAsia="MS Mincho" w:hAnsi="Times"/>
          <w:bdr w:val="none" w:sz="0" w:space="0" w:color="auto" w:frame="1"/>
        </w:rPr>
        <w:t>refrigeration</w:t>
      </w:r>
      <w:r w:rsidR="00D7008A">
        <w:rPr>
          <w:rFonts w:ascii="Times" w:eastAsia="MS Mincho" w:hAnsi="Times"/>
          <w:bdr w:val="none" w:sz="0" w:space="0" w:color="auto" w:frame="1"/>
        </w:rPr>
        <w:t xml:space="preserve">, </w:t>
      </w:r>
      <w:r w:rsidR="00CA5761" w:rsidRPr="000C234A">
        <w:rPr>
          <w:rFonts w:ascii="Times" w:eastAsia="MS Mincho" w:hAnsi="Times"/>
          <w:bdr w:val="none" w:sz="0" w:space="0" w:color="auto" w:frame="1"/>
        </w:rPr>
        <w:t>air-conditioning and heat-pump</w:t>
      </w:r>
      <w:r w:rsidR="00CA5761" w:rsidDel="00CA5761">
        <w:t xml:space="preserve"> </w:t>
      </w:r>
      <w:r w:rsidR="008D6111">
        <w:t xml:space="preserve">sectors in relation to maintaining and/or enhancing energy efficiency in the </w:t>
      </w:r>
      <w:r w:rsidR="00CA5761" w:rsidRPr="000C234A">
        <w:rPr>
          <w:rFonts w:ascii="Times" w:eastAsia="MS Mincho" w:hAnsi="Times"/>
          <w:bdr w:val="none" w:sz="0" w:space="0" w:color="auto" w:frame="1"/>
        </w:rPr>
        <w:t>refrigeration</w:t>
      </w:r>
      <w:r w:rsidR="00D7008A">
        <w:rPr>
          <w:rFonts w:ascii="Times" w:eastAsia="MS Mincho" w:hAnsi="Times"/>
          <w:bdr w:val="none" w:sz="0" w:space="0" w:color="auto" w:frame="1"/>
        </w:rPr>
        <w:t>,</w:t>
      </w:r>
      <w:r w:rsidR="00CA5761" w:rsidRPr="000C234A">
        <w:rPr>
          <w:rFonts w:ascii="Times" w:eastAsia="MS Mincho" w:hAnsi="Times"/>
          <w:bdr w:val="none" w:sz="0" w:space="0" w:color="auto" w:frame="1"/>
        </w:rPr>
        <w:t xml:space="preserve"> air-conditioning and heat-pump</w:t>
      </w:r>
      <w:r w:rsidR="00CA5761" w:rsidDel="00CA5761">
        <w:t xml:space="preserve"> </w:t>
      </w:r>
      <w:r w:rsidR="008D6111">
        <w:t>sectors while phasing down hydrofluorocarbons under the Kigali Amendment to the Montreal Protocol, as well as those related to low-</w:t>
      </w:r>
      <w:r w:rsidR="00CA5761">
        <w:t>GWP</w:t>
      </w:r>
      <w:r w:rsidR="008D6111">
        <w:t xml:space="preserve"> and zero-GWP </w:t>
      </w:r>
      <w:r w:rsidR="00CA5761">
        <w:t xml:space="preserve">hydrofluorocarbon </w:t>
      </w:r>
      <w:r w:rsidR="008D6111">
        <w:t>alternatives including on different financing modalities;</w:t>
      </w:r>
    </w:p>
    <w:p w:rsidR="008D6111" w:rsidRPr="00533FB6" w:rsidRDefault="008D6111" w:rsidP="004E7D79">
      <w:pPr>
        <w:pStyle w:val="Normalpool"/>
        <w:tabs>
          <w:tab w:val="clear" w:pos="1253"/>
          <w:tab w:val="clear" w:pos="1814"/>
          <w:tab w:val="clear" w:pos="2376"/>
          <w:tab w:val="clear" w:pos="2952"/>
          <w:tab w:val="clear" w:pos="3514"/>
          <w:tab w:val="left" w:pos="624"/>
        </w:tabs>
        <w:spacing w:after="120"/>
        <w:ind w:left="1247" w:firstLine="624"/>
      </w:pPr>
      <w:r w:rsidRPr="006308D9">
        <w:t>3.</w:t>
      </w:r>
      <w:r w:rsidRPr="006308D9">
        <w:tab/>
      </w:r>
      <w:r w:rsidRPr="00533FB6">
        <w:t xml:space="preserve">To request the Technology and Economic Assessment Panel to </w:t>
      </w:r>
      <w:r>
        <w:t xml:space="preserve">prepare a final report for consideration by the Open-ended Working Group at its fortieth meeting, and thereafter an updated final report to be submitted to the Thirtieth Meeting of the Parties to the </w:t>
      </w:r>
      <w:r w:rsidR="00CA5761">
        <w:t xml:space="preserve">Montreal </w:t>
      </w:r>
      <w:r>
        <w:t xml:space="preserve">Protocol on Substances that Deplete the Ozone Layer taking into consideration the outcome of the workshop </w:t>
      </w:r>
      <w:r w:rsidR="00CA5761">
        <w:t>described in</w:t>
      </w:r>
      <w:r>
        <w:t xml:space="preserve"> paragraph 4 below</w:t>
      </w:r>
      <w:r w:rsidRPr="00533FB6">
        <w:t>;</w:t>
      </w:r>
    </w:p>
    <w:p w:rsidR="00796478" w:rsidRDefault="008D6111" w:rsidP="004E7D79">
      <w:pPr>
        <w:pStyle w:val="Normalpool"/>
        <w:tabs>
          <w:tab w:val="clear" w:pos="1253"/>
          <w:tab w:val="clear" w:pos="1814"/>
          <w:tab w:val="clear" w:pos="2376"/>
          <w:tab w:val="clear" w:pos="2952"/>
          <w:tab w:val="clear" w:pos="3514"/>
          <w:tab w:val="left" w:pos="624"/>
        </w:tabs>
        <w:spacing w:after="120"/>
        <w:ind w:left="1247" w:firstLine="624"/>
      </w:pPr>
      <w:r>
        <w:t>4.</w:t>
      </w:r>
      <w:r w:rsidRPr="006308D9">
        <w:tab/>
      </w:r>
      <w:r w:rsidRPr="00533FB6">
        <w:t xml:space="preserve">To request the Secretariat to organize a workshop on energy efficiency opportunities </w:t>
      </w:r>
      <w:r>
        <w:t xml:space="preserve">while </w:t>
      </w:r>
      <w:r w:rsidRPr="00533FB6">
        <w:t>phasing</w:t>
      </w:r>
      <w:r w:rsidR="00CA5761">
        <w:t xml:space="preserve"> </w:t>
      </w:r>
      <w:r w:rsidRPr="00533FB6">
        <w:t>down hydrofluorocarbons at the fortieth meeting of the Open-ended Working Group</w:t>
      </w:r>
      <w:r w:rsidR="00CA5761">
        <w:t>;</w:t>
      </w:r>
    </w:p>
    <w:p w:rsidR="00FB6DBD" w:rsidRPr="004E7D79" w:rsidRDefault="00FB6DBD" w:rsidP="004E7D79">
      <w:pPr>
        <w:pStyle w:val="CH2"/>
        <w:keepNext w:val="0"/>
        <w:keepLines w:val="0"/>
        <w:spacing w:before="240"/>
        <w:outlineLvl w:val="0"/>
      </w:pPr>
      <w:r w:rsidRPr="004E7D79">
        <w:tab/>
      </w:r>
      <w:r w:rsidR="0023538F">
        <w:tab/>
      </w:r>
      <w:r w:rsidRPr="004E7D79">
        <w:t>Decision XXIX/11: Safety standards</w:t>
      </w:r>
    </w:p>
    <w:p w:rsidR="00FB6DBD" w:rsidRPr="007B01F6" w:rsidRDefault="00FB6DBD" w:rsidP="004E7D79">
      <w:pPr>
        <w:pStyle w:val="Normalpool"/>
        <w:tabs>
          <w:tab w:val="clear" w:pos="1253"/>
          <w:tab w:val="clear" w:pos="1814"/>
          <w:tab w:val="clear" w:pos="2376"/>
          <w:tab w:val="clear" w:pos="2952"/>
          <w:tab w:val="clear" w:pos="3514"/>
          <w:tab w:val="left" w:pos="624"/>
        </w:tabs>
        <w:spacing w:after="120"/>
        <w:ind w:left="1247" w:firstLine="624"/>
        <w:rPr>
          <w:lang w:eastAsia="zh-CN"/>
        </w:rPr>
      </w:pPr>
      <w:r w:rsidRPr="00CF3E12">
        <w:rPr>
          <w:i/>
          <w:lang w:eastAsia="zh-CN"/>
        </w:rPr>
        <w:t xml:space="preserve">Recalling </w:t>
      </w:r>
      <w:r w:rsidRPr="007B01F6">
        <w:rPr>
          <w:lang w:eastAsia="zh-CN"/>
        </w:rPr>
        <w:t xml:space="preserve">decision XXVIII/4 on the </w:t>
      </w:r>
      <w:r w:rsidRPr="00057E67">
        <w:rPr>
          <w:lang w:eastAsia="zh-CN"/>
        </w:rPr>
        <w:t>establishment of regular</w:t>
      </w:r>
      <w:r w:rsidRPr="007B01F6">
        <w:rPr>
          <w:lang w:eastAsia="zh-CN"/>
        </w:rPr>
        <w:t xml:space="preserve"> consultations on safety standards</w:t>
      </w:r>
      <w:r w:rsidR="00BF65E4">
        <w:rPr>
          <w:lang w:eastAsia="zh-CN"/>
        </w:rPr>
        <w:t>,</w:t>
      </w:r>
    </w:p>
    <w:p w:rsidR="00FB6DBD" w:rsidRPr="00CF3E12" w:rsidRDefault="00244B65" w:rsidP="004E7D79">
      <w:pPr>
        <w:pStyle w:val="Normalpool"/>
        <w:tabs>
          <w:tab w:val="clear" w:pos="1253"/>
          <w:tab w:val="clear" w:pos="1814"/>
          <w:tab w:val="clear" w:pos="2376"/>
          <w:tab w:val="clear" w:pos="2952"/>
          <w:tab w:val="clear" w:pos="3514"/>
          <w:tab w:val="left" w:pos="624"/>
        </w:tabs>
        <w:spacing w:after="120"/>
        <w:ind w:left="1247" w:firstLine="624"/>
        <w:rPr>
          <w:lang w:eastAsia="zh-CN"/>
        </w:rPr>
      </w:pPr>
      <w:r>
        <w:rPr>
          <w:i/>
          <w:lang w:eastAsia="zh-CN"/>
        </w:rPr>
        <w:t>C</w:t>
      </w:r>
      <w:r w:rsidRPr="007B01F6">
        <w:rPr>
          <w:i/>
          <w:lang w:eastAsia="zh-CN"/>
        </w:rPr>
        <w:t>ogni</w:t>
      </w:r>
      <w:r>
        <w:rPr>
          <w:i/>
          <w:lang w:eastAsia="zh-CN"/>
        </w:rPr>
        <w:t>z</w:t>
      </w:r>
      <w:r w:rsidRPr="007B01F6">
        <w:rPr>
          <w:i/>
          <w:lang w:eastAsia="zh-CN"/>
        </w:rPr>
        <w:t xml:space="preserve">ant </w:t>
      </w:r>
      <w:r w:rsidR="00FB6DBD" w:rsidRPr="007B01F6">
        <w:rPr>
          <w:lang w:eastAsia="zh-CN"/>
        </w:rPr>
        <w:t xml:space="preserve">of the importance of ensuring </w:t>
      </w:r>
      <w:r w:rsidR="00FB6DBD" w:rsidRPr="007B01F6">
        <w:rPr>
          <w:rFonts w:eastAsia="SimSun"/>
        </w:rPr>
        <w:t>safe market introduction</w:t>
      </w:r>
      <w:r w:rsidR="00FB6DBD" w:rsidRPr="00A902F2">
        <w:rPr>
          <w:lang w:eastAsia="zh-CN"/>
        </w:rPr>
        <w:t>, manufacturing, operation, maintenance and handling of zero</w:t>
      </w:r>
      <w:r w:rsidR="00DC1AF9">
        <w:rPr>
          <w:lang w:eastAsia="zh-CN"/>
        </w:rPr>
        <w:t xml:space="preserve"> global-warming-potential (</w:t>
      </w:r>
      <w:r w:rsidR="00FB6DBD" w:rsidRPr="00A902F2">
        <w:rPr>
          <w:lang w:eastAsia="zh-CN"/>
        </w:rPr>
        <w:t>GWP</w:t>
      </w:r>
      <w:r w:rsidR="00DC1AF9">
        <w:rPr>
          <w:lang w:eastAsia="zh-CN"/>
        </w:rPr>
        <w:t>)</w:t>
      </w:r>
      <w:r w:rsidR="00FB6DBD" w:rsidRPr="00A902F2">
        <w:rPr>
          <w:lang w:eastAsia="zh-CN"/>
        </w:rPr>
        <w:t xml:space="preserve"> and low-GWP refrigerants that are alternatives to hydrochlo</w:t>
      </w:r>
      <w:r w:rsidR="00FB6DBD" w:rsidRPr="00CF3E12">
        <w:rPr>
          <w:lang w:eastAsia="zh-CN"/>
        </w:rPr>
        <w:t>rofluorocarbons and hydrofluorocarbons</w:t>
      </w:r>
      <w:r w:rsidR="00BF65E4">
        <w:rPr>
          <w:lang w:eastAsia="zh-CN"/>
        </w:rPr>
        <w:t>,</w:t>
      </w:r>
    </w:p>
    <w:p w:rsidR="00FB6DBD" w:rsidRPr="00CF3E12" w:rsidRDefault="00FB6DBD" w:rsidP="004E7D79">
      <w:pPr>
        <w:pStyle w:val="Normalpool"/>
        <w:tabs>
          <w:tab w:val="clear" w:pos="1253"/>
          <w:tab w:val="clear" w:pos="1814"/>
          <w:tab w:val="clear" w:pos="2376"/>
          <w:tab w:val="clear" w:pos="2952"/>
          <w:tab w:val="clear" w:pos="3514"/>
          <w:tab w:val="left" w:pos="624"/>
        </w:tabs>
        <w:spacing w:after="120"/>
        <w:ind w:left="1247" w:firstLine="624"/>
        <w:rPr>
          <w:lang w:eastAsia="zh-CN"/>
        </w:rPr>
      </w:pPr>
      <w:r w:rsidRPr="00CF3E12">
        <w:rPr>
          <w:i/>
          <w:lang w:eastAsia="zh-CN"/>
        </w:rPr>
        <w:t>Recogni</w:t>
      </w:r>
      <w:r w:rsidR="00244B65">
        <w:rPr>
          <w:i/>
          <w:lang w:eastAsia="zh-CN"/>
        </w:rPr>
        <w:t>z</w:t>
      </w:r>
      <w:r w:rsidRPr="00CF3E12">
        <w:rPr>
          <w:i/>
          <w:lang w:eastAsia="zh-CN"/>
        </w:rPr>
        <w:t xml:space="preserve">ing </w:t>
      </w:r>
      <w:r w:rsidRPr="00CF3E12">
        <w:rPr>
          <w:lang w:eastAsia="zh-CN"/>
        </w:rPr>
        <w:t>that safety standards must maintain or enhance the current level of protection of workers, users and property</w:t>
      </w:r>
      <w:r w:rsidR="00BF65E4">
        <w:rPr>
          <w:lang w:eastAsia="zh-CN"/>
        </w:rPr>
        <w:t>,</w:t>
      </w:r>
    </w:p>
    <w:p w:rsidR="00FB6DBD" w:rsidRPr="00CF3E12" w:rsidRDefault="00FB6DBD" w:rsidP="004E7D79">
      <w:pPr>
        <w:pStyle w:val="Normalpool"/>
        <w:tabs>
          <w:tab w:val="clear" w:pos="1253"/>
          <w:tab w:val="clear" w:pos="1814"/>
          <w:tab w:val="clear" w:pos="2376"/>
          <w:tab w:val="clear" w:pos="2952"/>
          <w:tab w:val="clear" w:pos="3514"/>
          <w:tab w:val="left" w:pos="624"/>
        </w:tabs>
        <w:spacing w:after="120"/>
        <w:ind w:left="1247" w:firstLine="624"/>
        <w:rPr>
          <w:lang w:eastAsia="zh-CN"/>
        </w:rPr>
      </w:pPr>
      <w:r w:rsidRPr="00CF3E12">
        <w:rPr>
          <w:i/>
          <w:lang w:eastAsia="zh-CN"/>
        </w:rPr>
        <w:t>Taking note with appreciation</w:t>
      </w:r>
      <w:r w:rsidRPr="00CF3E12">
        <w:rPr>
          <w:lang w:eastAsia="zh-CN"/>
        </w:rPr>
        <w:t xml:space="preserve"> of the </w:t>
      </w:r>
      <w:r w:rsidR="00E9062E">
        <w:rPr>
          <w:lang w:eastAsia="zh-CN"/>
        </w:rPr>
        <w:t xml:space="preserve">report </w:t>
      </w:r>
      <w:r w:rsidR="00E9062E" w:rsidRPr="00CF3E12">
        <w:rPr>
          <w:lang w:eastAsia="zh-CN"/>
        </w:rPr>
        <w:t>on safety standards for flammable low</w:t>
      </w:r>
      <w:r w:rsidR="00DC1AF9">
        <w:rPr>
          <w:lang w:eastAsia="zh-CN"/>
        </w:rPr>
        <w:t>-</w:t>
      </w:r>
      <w:r w:rsidR="00E9062E" w:rsidRPr="00CF3E12">
        <w:rPr>
          <w:lang w:eastAsia="zh-CN"/>
        </w:rPr>
        <w:t>GWP refrigerants</w:t>
      </w:r>
      <w:r w:rsidR="00E9062E">
        <w:rPr>
          <w:lang w:eastAsia="zh-CN"/>
        </w:rPr>
        <w:t xml:space="preserve"> of the </w:t>
      </w:r>
      <w:r w:rsidRPr="00CF3E12">
        <w:rPr>
          <w:lang w:eastAsia="zh-CN"/>
        </w:rPr>
        <w:t>Technology and Economic Assessment Panel</w:t>
      </w:r>
      <w:r w:rsidR="00E9062E">
        <w:rPr>
          <w:lang w:eastAsia="zh-CN"/>
        </w:rPr>
        <w:t>’</w:t>
      </w:r>
      <w:r w:rsidRPr="00CF3E12">
        <w:rPr>
          <w:lang w:eastAsia="zh-CN"/>
        </w:rPr>
        <w:t>s</w:t>
      </w:r>
      <w:r w:rsidR="00E9062E">
        <w:rPr>
          <w:lang w:eastAsia="zh-CN"/>
        </w:rPr>
        <w:t xml:space="preserve"> task force on d</w:t>
      </w:r>
      <w:r w:rsidRPr="00CF3E12">
        <w:rPr>
          <w:lang w:eastAsia="zh-CN"/>
        </w:rPr>
        <w:t>ecision XXVIII/4 and the outcomes of the workshop on safety standards relevant to the safe use of low-</w:t>
      </w:r>
      <w:r w:rsidR="009353CE">
        <w:rPr>
          <w:lang w:eastAsia="zh-CN"/>
        </w:rPr>
        <w:t>GWP</w:t>
      </w:r>
      <w:r w:rsidRPr="00CF3E12">
        <w:rPr>
          <w:lang w:eastAsia="zh-CN"/>
        </w:rPr>
        <w:t xml:space="preserve"> alternatives held in Bangkok on 10 July 2017</w:t>
      </w:r>
      <w:r w:rsidR="00BF65E4">
        <w:rPr>
          <w:lang w:eastAsia="zh-CN"/>
        </w:rPr>
        <w:t>,</w:t>
      </w:r>
    </w:p>
    <w:p w:rsidR="004133DC" w:rsidRPr="002D2B28" w:rsidRDefault="00F65FC9">
      <w:pPr>
        <w:pStyle w:val="Normalpool"/>
        <w:tabs>
          <w:tab w:val="clear" w:pos="1253"/>
          <w:tab w:val="clear" w:pos="1814"/>
          <w:tab w:val="clear" w:pos="2376"/>
          <w:tab w:val="clear" w:pos="2952"/>
          <w:tab w:val="clear" w:pos="3514"/>
          <w:tab w:val="left" w:pos="624"/>
        </w:tabs>
        <w:spacing w:after="120"/>
        <w:ind w:left="1247" w:firstLine="624"/>
      </w:pPr>
      <w:r w:rsidRPr="00CE710D">
        <w:t>1.</w:t>
      </w:r>
      <w:r w:rsidRPr="00CE710D">
        <w:tab/>
      </w:r>
      <w:r w:rsidR="00FB6DBD" w:rsidRPr="00CE710D">
        <w:t xml:space="preserve">To request the </w:t>
      </w:r>
      <w:r w:rsidR="00FB6DBD" w:rsidRPr="0000555B">
        <w:t>Secretariat to hold</w:t>
      </w:r>
      <w:r w:rsidR="00FB6DBD" w:rsidRPr="00CE710D">
        <w:t xml:space="preserve"> regular consultations with </w:t>
      </w:r>
      <w:r w:rsidR="00563C5D" w:rsidRPr="00CE710D">
        <w:t xml:space="preserve">the </w:t>
      </w:r>
      <w:r w:rsidR="00FB6DBD" w:rsidRPr="00CE710D">
        <w:t>relevant standard</w:t>
      </w:r>
      <w:r w:rsidR="00910D2C" w:rsidRPr="00CE710D">
        <w:t>s bodies</w:t>
      </w:r>
      <w:r w:rsidR="00FB6DBD" w:rsidRPr="00CE710D">
        <w:t xml:space="preserve"> referred to in paragraph 7 of</w:t>
      </w:r>
      <w:r w:rsidR="00FB6DBD" w:rsidRPr="004E7D79">
        <w:t xml:space="preserve"> decision XXVIII/4 </w:t>
      </w:r>
      <w:r w:rsidR="00E53986">
        <w:t>with a</w:t>
      </w:r>
      <w:r w:rsidR="00FB6DBD" w:rsidRPr="004E7D79">
        <w:t xml:space="preserve"> view </w:t>
      </w:r>
      <w:r w:rsidR="00E53986">
        <w:t>to</w:t>
      </w:r>
      <w:r w:rsidR="00E53986" w:rsidRPr="004E7D79">
        <w:t xml:space="preserve"> </w:t>
      </w:r>
      <w:r w:rsidR="00FB6DBD" w:rsidRPr="004E7D79">
        <w:t>providing, with regard to standards for flammable low-</w:t>
      </w:r>
      <w:r w:rsidR="0095720A">
        <w:t>GWP</w:t>
      </w:r>
      <w:r w:rsidR="00FB6DBD" w:rsidRPr="004E7D79">
        <w:t xml:space="preserve"> refrigerants, a tabular overview of relevant safety standards, drawing on the 2017 </w:t>
      </w:r>
      <w:r w:rsidR="008A2FE3">
        <w:t>report of the t</w:t>
      </w:r>
      <w:r w:rsidR="00FB6DBD" w:rsidRPr="004E7D79">
        <w:t xml:space="preserve">ask </w:t>
      </w:r>
      <w:r w:rsidR="008A2FE3">
        <w:t>f</w:t>
      </w:r>
      <w:r w:rsidR="00FB6DBD" w:rsidRPr="004E7D79">
        <w:t xml:space="preserve">orce </w:t>
      </w:r>
      <w:r w:rsidR="008A2FE3">
        <w:t>on decision XXVIII/4</w:t>
      </w:r>
      <w:r w:rsidR="008A2FE3" w:rsidRPr="004E7D79">
        <w:t xml:space="preserve"> </w:t>
      </w:r>
      <w:r w:rsidR="00FB6DBD" w:rsidRPr="004E7D79">
        <w:t>and the outcome of the consultations</w:t>
      </w:r>
      <w:r w:rsidR="00E95F44">
        <w:t>.</w:t>
      </w:r>
      <w:r w:rsidR="00FB6DBD" w:rsidRPr="004E7D79">
        <w:t xml:space="preserve"> </w:t>
      </w:r>
      <w:r w:rsidR="00F91C42">
        <w:t xml:space="preserve">The tabular overview should also include </w:t>
      </w:r>
      <w:r w:rsidR="00FB6DBD" w:rsidRPr="004E7D79">
        <w:t xml:space="preserve">any relevant information submitted on a voluntary basis to </w:t>
      </w:r>
      <w:r w:rsidR="00FB6DBD" w:rsidRPr="002D2B28">
        <w:t xml:space="preserve">the </w:t>
      </w:r>
      <w:r w:rsidR="0015712B" w:rsidRPr="002D2B28">
        <w:t>S</w:t>
      </w:r>
      <w:r w:rsidR="00FB6DBD" w:rsidRPr="002D2B28">
        <w:t>ecretariat by parties or by national and regional standard</w:t>
      </w:r>
      <w:r w:rsidR="008A2FE3" w:rsidRPr="002D2B28">
        <w:t>s bodies</w:t>
      </w:r>
      <w:r w:rsidR="00E95F44" w:rsidRPr="002D2B28">
        <w:t>;</w:t>
      </w:r>
    </w:p>
    <w:p w:rsidR="00FB6DBD" w:rsidRPr="002D2B28" w:rsidRDefault="000D05AC">
      <w:pPr>
        <w:pStyle w:val="Normalpool"/>
        <w:tabs>
          <w:tab w:val="clear" w:pos="1253"/>
          <w:tab w:val="clear" w:pos="1814"/>
          <w:tab w:val="clear" w:pos="2376"/>
          <w:tab w:val="clear" w:pos="2952"/>
          <w:tab w:val="clear" w:pos="3514"/>
          <w:tab w:val="left" w:pos="624"/>
        </w:tabs>
        <w:spacing w:after="120"/>
        <w:ind w:left="1247" w:firstLine="624"/>
      </w:pPr>
      <w:r>
        <w:t>2.</w:t>
      </w:r>
      <w:r w:rsidR="00E95F44" w:rsidRPr="002D2B28">
        <w:tab/>
      </w:r>
      <w:r w:rsidR="00F91C42" w:rsidRPr="002D2B28">
        <w:t>T</w:t>
      </w:r>
      <w:r w:rsidR="004133DC" w:rsidRPr="002D2B28">
        <w:t>hat t</w:t>
      </w:r>
      <w:r w:rsidR="00F91C42" w:rsidRPr="002D2B28">
        <w:t>he overview shall provide</w:t>
      </w:r>
      <w:r w:rsidR="004133DC" w:rsidRPr="002D2B28">
        <w:t xml:space="preserve"> </w:t>
      </w:r>
      <w:r w:rsidR="00FB6DBD" w:rsidRPr="002D2B28">
        <w:t>concise information on</w:t>
      </w:r>
      <w:r w:rsidR="008A2FE3" w:rsidRPr="002D2B28">
        <w:t xml:space="preserve"> the</w:t>
      </w:r>
      <w:r w:rsidR="00FB6DBD" w:rsidRPr="002D2B28">
        <w:t>:</w:t>
      </w:r>
    </w:p>
    <w:p w:rsidR="00FB6DBD" w:rsidRPr="004E7D79" w:rsidRDefault="00FB6DBD" w:rsidP="004E7D79">
      <w:pPr>
        <w:pStyle w:val="Normalpool"/>
        <w:numPr>
          <w:ilvl w:val="0"/>
          <w:numId w:val="26"/>
        </w:numPr>
        <w:tabs>
          <w:tab w:val="clear" w:pos="1253"/>
          <w:tab w:val="clear" w:pos="1814"/>
          <w:tab w:val="clear" w:pos="2376"/>
          <w:tab w:val="clear" w:pos="2952"/>
          <w:tab w:val="clear" w:pos="3514"/>
          <w:tab w:val="left" w:pos="624"/>
        </w:tabs>
        <w:spacing w:after="120"/>
        <w:ind w:left="1247" w:firstLine="624"/>
        <w:rPr>
          <w:iCs/>
        </w:rPr>
      </w:pPr>
      <w:r w:rsidRPr="002D2B28">
        <w:rPr>
          <w:iCs/>
        </w:rPr>
        <w:t xml:space="preserve">Scope </w:t>
      </w:r>
      <w:r w:rsidR="008A2FE3" w:rsidRPr="002D2B28">
        <w:rPr>
          <w:iCs/>
        </w:rPr>
        <w:t>of</w:t>
      </w:r>
      <w:r w:rsidRPr="004E7D79">
        <w:rPr>
          <w:iCs/>
        </w:rPr>
        <w:t xml:space="preserve"> activities, appliances or products covered;</w:t>
      </w:r>
    </w:p>
    <w:p w:rsidR="00FB6DBD" w:rsidRPr="004E7D79" w:rsidRDefault="00FB6DBD" w:rsidP="004E7D79">
      <w:pPr>
        <w:pStyle w:val="Normalpool"/>
        <w:numPr>
          <w:ilvl w:val="0"/>
          <w:numId w:val="26"/>
        </w:numPr>
        <w:tabs>
          <w:tab w:val="clear" w:pos="1253"/>
          <w:tab w:val="clear" w:pos="1814"/>
          <w:tab w:val="clear" w:pos="2376"/>
          <w:tab w:val="clear" w:pos="2952"/>
          <w:tab w:val="clear" w:pos="3514"/>
          <w:tab w:val="left" w:pos="624"/>
        </w:tabs>
        <w:spacing w:after="120"/>
        <w:ind w:left="1247" w:firstLine="624"/>
        <w:rPr>
          <w:iCs/>
        </w:rPr>
      </w:pPr>
      <w:r w:rsidRPr="004E7D79">
        <w:rPr>
          <w:iCs/>
        </w:rPr>
        <w:t>Content</w:t>
      </w:r>
      <w:r w:rsidR="008A2FE3">
        <w:rPr>
          <w:iCs/>
        </w:rPr>
        <w:t xml:space="preserve">, namely the </w:t>
      </w:r>
      <w:r w:rsidRPr="004E7D79">
        <w:rPr>
          <w:iCs/>
        </w:rPr>
        <w:t xml:space="preserve">safety </w:t>
      </w:r>
      <w:r w:rsidR="008A2FE3">
        <w:rPr>
          <w:iCs/>
        </w:rPr>
        <w:t xml:space="preserve">and </w:t>
      </w:r>
      <w:r w:rsidRPr="004E7D79">
        <w:rPr>
          <w:iCs/>
        </w:rPr>
        <w:t>relevant technical aspects addressed;</w:t>
      </w:r>
    </w:p>
    <w:p w:rsidR="00FB6DBD" w:rsidRPr="004E7D79" w:rsidRDefault="00FB6DBD" w:rsidP="004E7D79">
      <w:pPr>
        <w:pStyle w:val="Normalpool"/>
        <w:numPr>
          <w:ilvl w:val="0"/>
          <w:numId w:val="26"/>
        </w:numPr>
        <w:tabs>
          <w:tab w:val="clear" w:pos="1253"/>
          <w:tab w:val="clear" w:pos="1814"/>
          <w:tab w:val="clear" w:pos="2376"/>
          <w:tab w:val="clear" w:pos="2952"/>
          <w:tab w:val="clear" w:pos="3514"/>
          <w:tab w:val="left" w:pos="624"/>
        </w:tabs>
        <w:spacing w:after="120"/>
        <w:ind w:left="1247" w:firstLine="624"/>
        <w:rPr>
          <w:iCs/>
        </w:rPr>
      </w:pPr>
      <w:r w:rsidRPr="004E7D79">
        <w:rPr>
          <w:iCs/>
        </w:rPr>
        <w:t>Responsible standard</w:t>
      </w:r>
      <w:r w:rsidR="008A2FE3">
        <w:rPr>
          <w:iCs/>
        </w:rPr>
        <w:t>s body</w:t>
      </w:r>
      <w:r w:rsidRPr="004E7D79">
        <w:rPr>
          <w:iCs/>
        </w:rPr>
        <w:t xml:space="preserve"> and its subsidiary body in charge of the standard, including hyperlinks to publicly accessible contact details as well as to information on content and review process;</w:t>
      </w:r>
    </w:p>
    <w:p w:rsidR="00FB6DBD" w:rsidRPr="004E7D79" w:rsidRDefault="00FB6DBD" w:rsidP="004E7D79">
      <w:pPr>
        <w:pStyle w:val="Normalpool"/>
        <w:numPr>
          <w:ilvl w:val="0"/>
          <w:numId w:val="26"/>
        </w:numPr>
        <w:tabs>
          <w:tab w:val="clear" w:pos="1253"/>
          <w:tab w:val="clear" w:pos="1814"/>
          <w:tab w:val="clear" w:pos="2376"/>
          <w:tab w:val="clear" w:pos="2952"/>
          <w:tab w:val="clear" w:pos="3514"/>
          <w:tab w:val="left" w:pos="624"/>
        </w:tabs>
        <w:spacing w:after="120"/>
        <w:ind w:left="1247" w:firstLine="624"/>
        <w:rPr>
          <w:iCs/>
        </w:rPr>
      </w:pPr>
      <w:r w:rsidRPr="004E7D79">
        <w:rPr>
          <w:iCs/>
        </w:rPr>
        <w:lastRenderedPageBreak/>
        <w:t xml:space="preserve">Status of </w:t>
      </w:r>
      <w:r w:rsidR="008A2FE3">
        <w:rPr>
          <w:iCs/>
        </w:rPr>
        <w:t xml:space="preserve">the </w:t>
      </w:r>
      <w:r w:rsidRPr="004E7D79">
        <w:rPr>
          <w:iCs/>
        </w:rPr>
        <w:t>review (process and content under review);</w:t>
      </w:r>
    </w:p>
    <w:p w:rsidR="00FB6DBD" w:rsidRPr="004E7D79" w:rsidRDefault="00F91C42" w:rsidP="004E7D79">
      <w:pPr>
        <w:pStyle w:val="Normalpool"/>
        <w:tabs>
          <w:tab w:val="clear" w:pos="1253"/>
          <w:tab w:val="clear" w:pos="1814"/>
          <w:tab w:val="clear" w:pos="2376"/>
          <w:tab w:val="clear" w:pos="2952"/>
          <w:tab w:val="clear" w:pos="3514"/>
          <w:tab w:val="left" w:pos="624"/>
        </w:tabs>
        <w:spacing w:after="120"/>
        <w:ind w:left="1247" w:firstLine="624"/>
      </w:pPr>
      <w:r>
        <w:t>3</w:t>
      </w:r>
      <w:r w:rsidR="00FB6DBD" w:rsidRPr="004E7D79">
        <w:t>.</w:t>
      </w:r>
      <w:r w:rsidR="00FB6DBD" w:rsidRPr="004E7D79">
        <w:tab/>
        <w:t>To invite parties to update information submitted pursuant to decision XXVIII/4 by 1</w:t>
      </w:r>
      <w:r w:rsidR="00435E3D">
        <w:t> </w:t>
      </w:r>
      <w:r w:rsidR="00FB6DBD" w:rsidRPr="004E7D79">
        <w:t>January 2020;</w:t>
      </w:r>
    </w:p>
    <w:p w:rsidR="00FB6DBD" w:rsidRPr="00CF3E12" w:rsidRDefault="00F91C42" w:rsidP="004E7D79">
      <w:pPr>
        <w:pStyle w:val="Normalpool"/>
        <w:tabs>
          <w:tab w:val="clear" w:pos="1253"/>
          <w:tab w:val="clear" w:pos="1814"/>
          <w:tab w:val="clear" w:pos="2376"/>
          <w:tab w:val="clear" w:pos="2952"/>
          <w:tab w:val="clear" w:pos="3514"/>
          <w:tab w:val="left" w:pos="624"/>
        </w:tabs>
        <w:spacing w:after="120"/>
        <w:ind w:left="1247" w:firstLine="624"/>
      </w:pPr>
      <w:r>
        <w:t>4</w:t>
      </w:r>
      <w:r w:rsidR="00FB6DBD" w:rsidRPr="004E7D79">
        <w:t>.</w:t>
      </w:r>
      <w:r w:rsidR="00FB6DBD" w:rsidRPr="004E7D79">
        <w:tab/>
        <w:t>To request the Secretariat to make the information referred to in paragraph</w:t>
      </w:r>
      <w:r>
        <w:t>s</w:t>
      </w:r>
      <w:r w:rsidR="00FB6DBD" w:rsidRPr="004E7D79">
        <w:t xml:space="preserve"> 1 </w:t>
      </w:r>
      <w:r>
        <w:t xml:space="preserve">and 2 </w:t>
      </w:r>
      <w:r w:rsidR="008A2FE3">
        <w:t>of the present decision</w:t>
      </w:r>
      <w:r w:rsidR="00FB6DBD" w:rsidRPr="004E7D79">
        <w:t xml:space="preserve"> accessible on its website </w:t>
      </w:r>
      <w:r w:rsidR="00FB6DBD" w:rsidRPr="002D2B28">
        <w:t xml:space="preserve">and to ensure an update of the </w:t>
      </w:r>
      <w:r w:rsidR="008A2FE3" w:rsidRPr="002D2B28">
        <w:t xml:space="preserve">tabular </w:t>
      </w:r>
      <w:r w:rsidR="00FB6DBD" w:rsidRPr="002D2B28">
        <w:t>overview at least prior to each meeting of the parties</w:t>
      </w:r>
      <w:r w:rsidR="0095720A" w:rsidRPr="002D2B28">
        <w:t xml:space="preserve"> up until </w:t>
      </w:r>
      <w:r w:rsidR="00FB6DBD" w:rsidRPr="002D2B28">
        <w:t xml:space="preserve">the Thirty-Fourth </w:t>
      </w:r>
      <w:r w:rsidR="00EE4079" w:rsidRPr="002D2B28">
        <w:t>M</w:t>
      </w:r>
      <w:r w:rsidR="00FB6DBD" w:rsidRPr="002D2B28">
        <w:t xml:space="preserve">eeting of the </w:t>
      </w:r>
      <w:r w:rsidR="00EE4079" w:rsidRPr="002D2B28">
        <w:t>P</w:t>
      </w:r>
      <w:r w:rsidR="00FB6DBD" w:rsidRPr="002D2B28">
        <w:t>arties, when parties should consider whether to renew th</w:t>
      </w:r>
      <w:r w:rsidR="0095720A" w:rsidRPr="002D2B28">
        <w:t>at</w:t>
      </w:r>
      <w:r w:rsidR="00FB6DBD" w:rsidRPr="002D2B28">
        <w:t xml:space="preserve"> request to the Secretariat</w:t>
      </w:r>
      <w:r w:rsidR="00EE4079" w:rsidRPr="000B3A99">
        <w:t>;</w:t>
      </w:r>
    </w:p>
    <w:p w:rsidR="00FB6DBD" w:rsidRPr="007B01F6" w:rsidRDefault="00FB6DBD" w:rsidP="004E7D79">
      <w:pPr>
        <w:pStyle w:val="CH2"/>
        <w:keepNext w:val="0"/>
        <w:keepLines w:val="0"/>
        <w:spacing w:before="240"/>
        <w:outlineLvl w:val="0"/>
      </w:pPr>
      <w:r>
        <w:tab/>
      </w:r>
      <w:r>
        <w:tab/>
        <w:t xml:space="preserve">Decision </w:t>
      </w:r>
      <w:r w:rsidRPr="00CF3E12">
        <w:t>XXIX/</w:t>
      </w:r>
      <w:r>
        <w:t>12</w:t>
      </w:r>
      <w:r w:rsidRPr="00CF3E12">
        <w:t xml:space="preserve">: Consideration of hydrofluorocarbons not listed as controlled substances in </w:t>
      </w:r>
      <w:r w:rsidR="003D4EB4">
        <w:t>A</w:t>
      </w:r>
      <w:r w:rsidRPr="00CF3E12">
        <w:t>nnex F to the Protocol</w:t>
      </w:r>
    </w:p>
    <w:p w:rsidR="00FB6DBD" w:rsidRPr="00302001"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302001">
        <w:rPr>
          <w:i/>
        </w:rPr>
        <w:t xml:space="preserve">Recalling </w:t>
      </w:r>
      <w:r w:rsidRPr="00302001">
        <w:t xml:space="preserve">decision XXVIII/1, by which the Meeting of </w:t>
      </w:r>
      <w:r w:rsidRPr="00625A96">
        <w:t>the Parties</w:t>
      </w:r>
      <w:r w:rsidRPr="00302001">
        <w:t xml:space="preserve"> adopted the amendment to the Montreal Protocol on phasing down hydrofluorocarbons listed in Annex F to the Protocol,</w:t>
      </w:r>
    </w:p>
    <w:p w:rsidR="00FB6DBD" w:rsidRPr="00302001"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302001">
        <w:rPr>
          <w:i/>
        </w:rPr>
        <w:t>Acknowledging</w:t>
      </w:r>
      <w:r w:rsidRPr="00302001">
        <w:t xml:space="preserve"> that the substances listed in Annex F to the Protocol include those hydrofluorocarbons that are at present commercially in use, </w:t>
      </w:r>
    </w:p>
    <w:p w:rsidR="00FB6DBD"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302001">
        <w:rPr>
          <w:i/>
        </w:rPr>
        <w:t>Noting</w:t>
      </w:r>
      <w:r w:rsidRPr="00302001">
        <w:t>, however,</w:t>
      </w:r>
      <w:r w:rsidRPr="00302001">
        <w:rPr>
          <w:i/>
        </w:rPr>
        <w:t xml:space="preserve"> </w:t>
      </w:r>
      <w:r w:rsidRPr="00302001">
        <w:t>that ther</w:t>
      </w:r>
      <w:r>
        <w:t>e are other hydrofluorocarbons</w:t>
      </w:r>
      <w:r w:rsidRPr="00302001">
        <w:t xml:space="preserve"> not listed in Annex F to the Protocol, which at present have minimal or no known production or consumption, which have global warming potential </w:t>
      </w:r>
      <w:r>
        <w:t>no less than the lowest global warming potential of the hydrofluorocarbons listed in Annex F</w:t>
      </w:r>
      <w:r w:rsidRPr="00302001">
        <w:t xml:space="preserve">, </w:t>
      </w:r>
    </w:p>
    <w:p w:rsidR="00FB6DBD"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B82F12">
        <w:t>To request the</w:t>
      </w:r>
      <w:r>
        <w:t xml:space="preserve"> </w:t>
      </w:r>
      <w:r w:rsidR="0095720A">
        <w:t>a</w:t>
      </w:r>
      <w:r w:rsidRPr="00B82F12">
        <w:t xml:space="preserve">ssessment </w:t>
      </w:r>
      <w:r w:rsidR="0095720A">
        <w:t>p</w:t>
      </w:r>
      <w:r w:rsidRPr="00B82F12">
        <w:t>anels under the Montreal Protocol to provide in their quadrennial report</w:t>
      </w:r>
      <w:r>
        <w:t>s</w:t>
      </w:r>
      <w:r w:rsidRPr="00B82F12">
        <w:t xml:space="preserve"> to be presented to the </w:t>
      </w:r>
      <w:r w:rsidR="0095720A">
        <w:t xml:space="preserve">Thirty-Fifth </w:t>
      </w:r>
      <w:r w:rsidRPr="00B82F12">
        <w:t xml:space="preserve">Meeting </w:t>
      </w:r>
      <w:r>
        <w:t>of</w:t>
      </w:r>
      <w:r w:rsidRPr="00B82F12">
        <w:t xml:space="preserve"> the Parties</w:t>
      </w:r>
      <w:r w:rsidR="0095720A">
        <w:t>,</w:t>
      </w:r>
      <w:r w:rsidRPr="00B82F12">
        <w:t xml:space="preserve"> in 2023</w:t>
      </w:r>
      <w:r>
        <w:t>,</w:t>
      </w:r>
      <w:r w:rsidRPr="00B82F12">
        <w:t xml:space="preserve"> and</w:t>
      </w:r>
      <w:r>
        <w:t xml:space="preserve"> every four years thereafter,</w:t>
      </w:r>
      <w:r w:rsidRPr="00B82F12">
        <w:t xml:space="preserve"> information on the consumption and production of hydrofluorocarbons not listed in Annex F of the Protocol</w:t>
      </w:r>
      <w:r w:rsidRPr="001F6864">
        <w:t xml:space="preserve"> which have global </w:t>
      </w:r>
      <w:r w:rsidRPr="0070659A">
        <w:t>warming potential no less than the lowest global warming potential of the hydrofluorocarbons listed in Annex F, noting that this is for information purposes only, given that the substances referred to in th</w:t>
      </w:r>
      <w:r w:rsidR="0095720A">
        <w:t>e present</w:t>
      </w:r>
      <w:r w:rsidRPr="0070659A">
        <w:t xml:space="preserve"> paragraph are not included in Annex F</w:t>
      </w:r>
      <w:r w:rsidR="0095720A">
        <w:t>;</w:t>
      </w:r>
    </w:p>
    <w:p w:rsidR="00FB6DBD" w:rsidRPr="00736B78" w:rsidRDefault="00FB6DBD" w:rsidP="004E7D79">
      <w:pPr>
        <w:pStyle w:val="CH2"/>
        <w:keepNext w:val="0"/>
        <w:keepLines w:val="0"/>
        <w:spacing w:before="240"/>
        <w:outlineLvl w:val="0"/>
      </w:pPr>
      <w:r>
        <w:tab/>
      </w:r>
      <w:r>
        <w:tab/>
        <w:t xml:space="preserve">Decision </w:t>
      </w:r>
      <w:r w:rsidRPr="00736B78">
        <w:t>XXIX/</w:t>
      </w:r>
      <w:r>
        <w:t>13</w:t>
      </w:r>
      <w:r w:rsidRPr="00736B78">
        <w:t xml:space="preserve">: Data and information provided by the parties in accordance with Article 7 of the Montreal Protocol </w:t>
      </w:r>
    </w:p>
    <w:p w:rsidR="00FB6DBD" w:rsidRPr="004E7D79"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1466FC">
        <w:t>1</w:t>
      </w:r>
      <w:r w:rsidR="000D05AC">
        <w:t>.</w:t>
      </w:r>
      <w:r w:rsidRPr="004E7D79">
        <w:tab/>
        <w:t xml:space="preserve">To note with appreciation </w:t>
      </w:r>
      <w:r w:rsidRPr="003C21FB">
        <w:t>that all 197</w:t>
      </w:r>
      <w:r w:rsidRPr="004E7D79">
        <w:t xml:space="preserve"> parties that should have reported data for 2016 have done so and that 180 of those parties had reported their data by 30 September </w:t>
      </w:r>
      <w:r w:rsidR="00EF0BDF">
        <w:t xml:space="preserve">2017 </w:t>
      </w:r>
      <w:r w:rsidRPr="004E7D79">
        <w:t xml:space="preserve">as required under paragraph 3 of Article 7 of the Montreal Protocol on Substances that Deplete the Ozone Layer; </w:t>
      </w:r>
    </w:p>
    <w:p w:rsidR="00FB6DBD" w:rsidRPr="004E7D79" w:rsidRDefault="000D05AC" w:rsidP="004E7D79">
      <w:pPr>
        <w:pStyle w:val="Normalpool"/>
        <w:tabs>
          <w:tab w:val="clear" w:pos="1253"/>
          <w:tab w:val="clear" w:pos="1814"/>
          <w:tab w:val="clear" w:pos="2376"/>
          <w:tab w:val="clear" w:pos="2952"/>
          <w:tab w:val="clear" w:pos="3514"/>
          <w:tab w:val="left" w:pos="624"/>
        </w:tabs>
        <w:spacing w:after="120"/>
        <w:ind w:left="1247" w:firstLine="624"/>
      </w:pPr>
      <w:r>
        <w:t>2.</w:t>
      </w:r>
      <w:r w:rsidR="00FB6DBD" w:rsidRPr="004E7D79">
        <w:tab/>
        <w:t xml:space="preserve">To note with appreciation that 130 of those parties had reported their data by 30 June </w:t>
      </w:r>
      <w:r w:rsidR="00143756" w:rsidRPr="004E7D79">
        <w:t>201</w:t>
      </w:r>
      <w:r w:rsidR="00143756">
        <w:t>7</w:t>
      </w:r>
      <w:r w:rsidR="00143756" w:rsidRPr="004E7D79">
        <w:t xml:space="preserve"> </w:t>
      </w:r>
      <w:r w:rsidR="00FB6DBD" w:rsidRPr="004E7D79">
        <w:t xml:space="preserve">in accordance with decision XV/15 and that reporting by 30 June each year greatly facilitates the work of the Executive Committee of the Multilateral Fund for the Implementation of the Montreal Protocol in assisting parties operating under paragraph 1 of Article 5 of the Protocol to comply with the control measures under the Protocol; </w:t>
      </w:r>
    </w:p>
    <w:p w:rsidR="00FB6DBD" w:rsidRPr="004E7D79" w:rsidRDefault="000D05AC" w:rsidP="004E7D79">
      <w:pPr>
        <w:pStyle w:val="Normalpool"/>
        <w:tabs>
          <w:tab w:val="clear" w:pos="1253"/>
          <w:tab w:val="clear" w:pos="1814"/>
          <w:tab w:val="clear" w:pos="2376"/>
          <w:tab w:val="clear" w:pos="2952"/>
          <w:tab w:val="clear" w:pos="3514"/>
          <w:tab w:val="left" w:pos="624"/>
        </w:tabs>
        <w:spacing w:after="120"/>
        <w:ind w:left="1247" w:firstLine="624"/>
      </w:pPr>
      <w:r>
        <w:t>3.</w:t>
      </w:r>
      <w:r w:rsidR="00FB6DBD" w:rsidRPr="004E7D79">
        <w:tab/>
        <w:t>To encourage parties to continue to report consumption and production data as soon as figures are available, and preferably by 30 June each year, as agreed in decision XV/15;</w:t>
      </w:r>
    </w:p>
    <w:p w:rsidR="00FB6DBD" w:rsidRPr="00736B78" w:rsidRDefault="00FB6DBD" w:rsidP="004E7D79">
      <w:pPr>
        <w:pStyle w:val="CH2"/>
        <w:keepNext w:val="0"/>
        <w:keepLines w:val="0"/>
        <w:spacing w:before="240"/>
        <w:outlineLvl w:val="0"/>
      </w:pPr>
      <w:r>
        <w:tab/>
      </w:r>
      <w:r>
        <w:tab/>
        <w:t xml:space="preserve">Decision </w:t>
      </w:r>
      <w:r w:rsidRPr="00736B78">
        <w:t>XXIX/</w:t>
      </w:r>
      <w:r>
        <w:t>14</w:t>
      </w:r>
      <w:r w:rsidRPr="00736B78">
        <w:t>: Non-compliance in 2015 and 2016 with the provisions of the Montreal Protocol governing consumption of the controlled substance in Annex C, group I (hydrochlorofluorocarbons)</w:t>
      </w:r>
      <w:r>
        <w:t>,</w:t>
      </w:r>
      <w:r w:rsidRPr="00736B78">
        <w:t xml:space="preserve"> by Kazakhstan</w:t>
      </w:r>
    </w:p>
    <w:p w:rsidR="00FB6DBD" w:rsidRPr="009F24F2"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CB7FBD">
        <w:rPr>
          <w:i/>
          <w:iCs/>
        </w:rPr>
        <w:t>Noting</w:t>
      </w:r>
      <w:r w:rsidRPr="003A66A4">
        <w:t xml:space="preserve"> that Kazakhstan ratified the </w:t>
      </w:r>
      <w:r w:rsidRPr="006A1161">
        <w:t>Montreal Protocol</w:t>
      </w:r>
      <w:r w:rsidRPr="003A66A4">
        <w:t xml:space="preserve"> on Substances that Deplete the Ozone</w:t>
      </w:r>
      <w:r w:rsidRPr="009F24F2">
        <w:t xml:space="preserve"> Layer on 26 August 1998, the London Amendment on 26 July 2001, the Copenhagen Amendment and the Montreal Amendment on 28 June 2011 and the Beijing Amendment on 19 September 2014</w:t>
      </w:r>
      <w:r w:rsidR="0095720A">
        <w:t>,</w:t>
      </w:r>
      <w:r w:rsidRPr="009F24F2">
        <w:t xml:space="preserve"> and is</w:t>
      </w:r>
      <w:r w:rsidR="0095720A">
        <w:t xml:space="preserve"> classified as</w:t>
      </w:r>
      <w:r w:rsidRPr="009F24F2">
        <w:t xml:space="preserve"> a party not operating under paragraph 1 of Article 5 of the Protocol,</w:t>
      </w:r>
    </w:p>
    <w:p w:rsidR="00FB6DBD" w:rsidRDefault="00FB6DBD" w:rsidP="004E7D79">
      <w:pPr>
        <w:pStyle w:val="Normalpool"/>
        <w:tabs>
          <w:tab w:val="clear" w:pos="1253"/>
          <w:tab w:val="clear" w:pos="1814"/>
          <w:tab w:val="clear" w:pos="2376"/>
          <w:tab w:val="clear" w:pos="2952"/>
          <w:tab w:val="clear" w:pos="3514"/>
          <w:tab w:val="left" w:pos="624"/>
        </w:tabs>
        <w:spacing w:after="120"/>
        <w:ind w:left="1247" w:firstLine="624"/>
        <w:rPr>
          <w:i/>
        </w:rPr>
      </w:pPr>
      <w:r w:rsidRPr="009F24F2">
        <w:rPr>
          <w:i/>
        </w:rPr>
        <w:t>Noting also</w:t>
      </w:r>
      <w:r w:rsidRPr="009F24F2">
        <w:t xml:space="preserve"> that the Global Environment Facility has approved </w:t>
      </w:r>
      <w:r>
        <w:t xml:space="preserve">the amount of </w:t>
      </w:r>
      <w:r w:rsidRPr="0095208B">
        <w:t>$5,688,452</w:t>
      </w:r>
      <w:r w:rsidRPr="009F24F2">
        <w:t xml:space="preserve"> to enable Kazakhstan to achieve compliance with the Protocol,</w:t>
      </w:r>
      <w:r w:rsidRPr="00CB7FBD">
        <w:rPr>
          <w:i/>
        </w:rPr>
        <w:t xml:space="preserve"> </w:t>
      </w:r>
    </w:p>
    <w:p w:rsidR="00FB6DBD" w:rsidRPr="009F24F2" w:rsidRDefault="00FB6DBD" w:rsidP="004E7D79">
      <w:pPr>
        <w:pStyle w:val="Normalpool"/>
        <w:tabs>
          <w:tab w:val="clear" w:pos="1253"/>
          <w:tab w:val="clear" w:pos="1814"/>
          <w:tab w:val="clear" w:pos="2376"/>
          <w:tab w:val="clear" w:pos="2952"/>
          <w:tab w:val="clear" w:pos="3514"/>
          <w:tab w:val="left" w:pos="624"/>
        </w:tabs>
        <w:spacing w:after="120"/>
        <w:ind w:left="1247" w:firstLine="624"/>
      </w:pPr>
      <w:r>
        <w:t>1.</w:t>
      </w:r>
      <w:r>
        <w:tab/>
      </w:r>
      <w:r w:rsidRPr="00EB6CF9">
        <w:t xml:space="preserve">To </w:t>
      </w:r>
      <w:r w:rsidRPr="00736B78">
        <w:t>recall</w:t>
      </w:r>
      <w:r w:rsidRPr="009F24F2">
        <w:t xml:space="preserve"> decision XXVI/13, </w:t>
      </w:r>
      <w:r>
        <w:t xml:space="preserve">in </w:t>
      </w:r>
      <w:r w:rsidRPr="009F24F2">
        <w:t>which</w:t>
      </w:r>
      <w:r>
        <w:t xml:space="preserve"> the Twenty-Sixth Meeting of the Parties</w:t>
      </w:r>
      <w:r w:rsidRPr="009F24F2">
        <w:t xml:space="preserve"> noted that Kazakhstan was in non-compliance with the consumption control measures under the </w:t>
      </w:r>
      <w:r w:rsidRPr="003A66A4">
        <w:t>Montreal Protocol on Substances that Deplete the Ozone</w:t>
      </w:r>
      <w:r w:rsidRPr="009F24F2">
        <w:t xml:space="preserve"> Layer for hydrochlorofluorocarbons in the years 2011, 2012 and 2013 but also noted with appreciation the plan of action submitted by Kazakhstan to ensure its prompt return to compliance with th</w:t>
      </w:r>
      <w:r>
        <w:t>os</w:t>
      </w:r>
      <w:r w:rsidRPr="009F24F2">
        <w:t>e measures by 2016;</w:t>
      </w:r>
    </w:p>
    <w:p w:rsidR="00FB6DBD" w:rsidRDefault="00FB6DBD" w:rsidP="004E7D79">
      <w:pPr>
        <w:pStyle w:val="Normalpool"/>
        <w:tabs>
          <w:tab w:val="clear" w:pos="1253"/>
          <w:tab w:val="clear" w:pos="1814"/>
          <w:tab w:val="clear" w:pos="2376"/>
          <w:tab w:val="clear" w:pos="2952"/>
          <w:tab w:val="clear" w:pos="3514"/>
          <w:tab w:val="left" w:pos="624"/>
        </w:tabs>
        <w:spacing w:after="120"/>
        <w:ind w:left="1247" w:firstLine="624"/>
      </w:pPr>
      <w:r>
        <w:t>2.</w:t>
      </w:r>
      <w:r>
        <w:tab/>
      </w:r>
      <w:r w:rsidRPr="00EB6CF9">
        <w:t xml:space="preserve">To </w:t>
      </w:r>
      <w:r w:rsidRPr="00736B78">
        <w:t>note with concern</w:t>
      </w:r>
      <w:r w:rsidRPr="009F24F2">
        <w:t xml:space="preserve"> that Kazakhstan has reported annual consumption of the controlled substance in Annex C, group I (hydrochlorofluorocarbons)</w:t>
      </w:r>
      <w:r>
        <w:t>,</w:t>
      </w:r>
      <w:r w:rsidRPr="009F24F2">
        <w:t xml:space="preserve"> for 2015 of 12.1 </w:t>
      </w:r>
      <w:r>
        <w:t>ODP-tonnes</w:t>
      </w:r>
      <w:r w:rsidRPr="009F24F2">
        <w:t xml:space="preserve"> and for 2016 of 5.0 </w:t>
      </w:r>
      <w:r>
        <w:t>ODP-tonnes</w:t>
      </w:r>
      <w:r w:rsidRPr="009F24F2">
        <w:t xml:space="preserve">, which is inconsistent with its commitment contained in decision </w:t>
      </w:r>
      <w:r w:rsidRPr="009F24F2">
        <w:lastRenderedPageBreak/>
        <w:t xml:space="preserve">XXVI/13 to reduce its consumption of hydrochlorofluorocarbons to no greater than 9.9 </w:t>
      </w:r>
      <w:r>
        <w:t>ODP-tonnes</w:t>
      </w:r>
      <w:r w:rsidRPr="009F24F2">
        <w:t xml:space="preserve"> in 2015 and 3.95 </w:t>
      </w:r>
      <w:r>
        <w:t>ODP-tonnes</w:t>
      </w:r>
      <w:r w:rsidRPr="009F24F2">
        <w:t xml:space="preserve"> in 2016 and with the Protocol’s requirement to limit consumption to no greater than 3.95 </w:t>
      </w:r>
      <w:r>
        <w:t>ODP-tonnes</w:t>
      </w:r>
      <w:r w:rsidRPr="009F24F2">
        <w:t xml:space="preserve"> for each of those years, and that the party was therefore in non</w:t>
      </w:r>
      <w:r>
        <w:noBreakHyphen/>
      </w:r>
      <w:r w:rsidRPr="009F24F2">
        <w:t>compliance with the consumption control measures for that substance under the Protocol for 2015 and 2016;</w:t>
      </w:r>
    </w:p>
    <w:p w:rsidR="00FB6DBD" w:rsidRDefault="00FB6DBD" w:rsidP="004E7D79">
      <w:pPr>
        <w:pStyle w:val="Normalpool"/>
        <w:tabs>
          <w:tab w:val="clear" w:pos="1253"/>
          <w:tab w:val="clear" w:pos="1814"/>
          <w:tab w:val="clear" w:pos="2376"/>
          <w:tab w:val="clear" w:pos="2952"/>
          <w:tab w:val="clear" w:pos="3514"/>
          <w:tab w:val="left" w:pos="624"/>
        </w:tabs>
        <w:spacing w:after="120"/>
        <w:ind w:left="1247" w:firstLine="624"/>
      </w:pPr>
      <w:r>
        <w:t>3.</w:t>
      </w:r>
      <w:r>
        <w:tab/>
      </w:r>
      <w:r w:rsidRPr="00EB6CF9">
        <w:t xml:space="preserve">To </w:t>
      </w:r>
      <w:r w:rsidRPr="00736B78">
        <w:t>note with appreciation</w:t>
      </w:r>
      <w:r>
        <w:t xml:space="preserve"> the submission by Kazakhstan of an explanation for that deviation along with a revised plan of action to return to compliance </w:t>
      </w:r>
      <w:r w:rsidRPr="00AB462E">
        <w:t>with the Protocol’s hydrochlorofluorocarbon control measures under which, without prejudice to the operation of the financial mechanism of the Protocol, Kazakhs</w:t>
      </w:r>
      <w:r>
        <w:t>tan specifically commits itself t</w:t>
      </w:r>
      <w:r w:rsidRPr="00AB462E">
        <w:t>o reducing its consumption of hydrochlorofluorocarbons to no greater than:</w:t>
      </w:r>
    </w:p>
    <w:p w:rsidR="00FB6DBD" w:rsidRPr="00DE2EB2"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DE2EB2">
        <w:t>(</w:t>
      </w:r>
      <w:r>
        <w:t>a</w:t>
      </w:r>
      <w:r w:rsidR="000D05AC">
        <w:t>)</w:t>
      </w:r>
      <w:r w:rsidRPr="00DE2EB2">
        <w:tab/>
        <w:t>7.5 ODP</w:t>
      </w:r>
      <w:r>
        <w:t>-</w:t>
      </w:r>
      <w:r w:rsidRPr="00DE2EB2">
        <w:t>tonnes in 2017, 2018 and 2019;</w:t>
      </w:r>
    </w:p>
    <w:p w:rsidR="00FB6DBD" w:rsidRPr="00DE2EB2"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DE2EB2">
        <w:t>(</w:t>
      </w:r>
      <w:r>
        <w:t>b</w:t>
      </w:r>
      <w:r w:rsidR="000D05AC">
        <w:t>)</w:t>
      </w:r>
      <w:r w:rsidRPr="00DE2EB2">
        <w:tab/>
        <w:t>6.0 ODP</w:t>
      </w:r>
      <w:r>
        <w:t>-</w:t>
      </w:r>
      <w:r w:rsidRPr="00DE2EB2">
        <w:t>tonnes in 2020;</w:t>
      </w:r>
    </w:p>
    <w:p w:rsidR="00FB6DBD" w:rsidRPr="00DE2EB2"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DE2EB2">
        <w:t>(</w:t>
      </w:r>
      <w:r>
        <w:t>c</w:t>
      </w:r>
      <w:r w:rsidR="000D05AC">
        <w:t>)</w:t>
      </w:r>
      <w:r w:rsidRPr="00DE2EB2">
        <w:tab/>
        <w:t>3.95 ODP</w:t>
      </w:r>
      <w:r>
        <w:t>-</w:t>
      </w:r>
      <w:r w:rsidRPr="00DE2EB2">
        <w:t>tonnes in 2021;</w:t>
      </w:r>
    </w:p>
    <w:p w:rsidR="00FB6DBD" w:rsidRPr="00DE2EB2"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DE2EB2">
        <w:t>(</w:t>
      </w:r>
      <w:r>
        <w:t>d</w:t>
      </w:r>
      <w:r w:rsidRPr="00DE2EB2">
        <w:t>)</w:t>
      </w:r>
      <w:r w:rsidRPr="00DE2EB2">
        <w:tab/>
        <w:t>0.5 ODP</w:t>
      </w:r>
      <w:r>
        <w:t>-</w:t>
      </w:r>
      <w:r w:rsidRPr="00DE2EB2">
        <w:t>tonnes in 2022, 2023</w:t>
      </w:r>
      <w:r>
        <w:t xml:space="preserve"> and</w:t>
      </w:r>
      <w:r w:rsidRPr="00DE2EB2">
        <w:t xml:space="preserve"> 2024;</w:t>
      </w:r>
    </w:p>
    <w:p w:rsidR="00FB6DBD" w:rsidRPr="00D64752" w:rsidRDefault="000D05AC" w:rsidP="004E7D79">
      <w:pPr>
        <w:pStyle w:val="Normalpool"/>
        <w:tabs>
          <w:tab w:val="clear" w:pos="1253"/>
          <w:tab w:val="clear" w:pos="1814"/>
          <w:tab w:val="clear" w:pos="2376"/>
          <w:tab w:val="clear" w:pos="2952"/>
          <w:tab w:val="clear" w:pos="3514"/>
          <w:tab w:val="left" w:pos="624"/>
        </w:tabs>
        <w:spacing w:after="120"/>
        <w:ind w:left="1247" w:firstLine="624"/>
      </w:pPr>
      <w:r>
        <w:t>(e)</w:t>
      </w:r>
      <w:r w:rsidR="00FB6DBD" w:rsidRPr="00D64752">
        <w:tab/>
        <w:t xml:space="preserve">Zero ODP-tonnes by 1 January 2025, save for consumption restricted to the servicing of refrigeration and air-conditioning </w:t>
      </w:r>
      <w:r w:rsidR="00FB6DBD" w:rsidRPr="0095208B">
        <w:t>equipment between the period from 2020 to 2030</w:t>
      </w:r>
      <w:r w:rsidR="00FB6DBD" w:rsidRPr="00D64752">
        <w:t>, as prescribed in the Protocol; </w:t>
      </w:r>
    </w:p>
    <w:p w:rsidR="00FB6DBD" w:rsidRPr="009F24F2" w:rsidRDefault="00FB6DBD" w:rsidP="00FB6DBD">
      <w:pPr>
        <w:tabs>
          <w:tab w:val="clear" w:pos="1814"/>
          <w:tab w:val="clear" w:pos="2381"/>
          <w:tab w:val="clear" w:pos="2948"/>
          <w:tab w:val="clear" w:pos="3515"/>
          <w:tab w:val="left" w:pos="624"/>
          <w:tab w:val="left" w:pos="1871"/>
          <w:tab w:val="left" w:pos="2495"/>
          <w:tab w:val="left" w:pos="3119"/>
        </w:tabs>
        <w:spacing w:after="120"/>
        <w:ind w:left="1247" w:firstLine="624"/>
      </w:pPr>
      <w:r w:rsidRPr="00D64752">
        <w:t>4.</w:t>
      </w:r>
      <w:r w:rsidRPr="00D64752">
        <w:tab/>
        <w:t>To continue to monitor closely progress by Kazakhstan with regard to the implementation of its plan of action and the phase-out of hydrochlorofluorocarbons</w:t>
      </w:r>
      <w:r>
        <w:t>,</w:t>
      </w:r>
      <w:r w:rsidRPr="009F24F2">
        <w:t xml:space="preserve"> and that, to the degree that the party is working towards and meeting the specific Protocol control measures, it should continue to be treated in the same manner as a party in good standing and, in that regard, should continue to receive international assistance to enable it to meet its commitments in accordance with item A of the indicative list of measures that may be taken by the Meeting of the Parties in respect of non</w:t>
      </w:r>
      <w:r w:rsidRPr="009F24F2">
        <w:noBreakHyphen/>
        <w:t>compliance</w:t>
      </w:r>
      <w:r>
        <w:t xml:space="preserve">, </w:t>
      </w:r>
      <w:r w:rsidRPr="00FB28E1">
        <w:t xml:space="preserve">as </w:t>
      </w:r>
      <w:r>
        <w:t xml:space="preserve">set out </w:t>
      </w:r>
      <w:r w:rsidRPr="00FB28E1">
        <w:t>in annex V to the report of the Fourth Meeting of the Parties</w:t>
      </w:r>
      <w:r>
        <w:t>;</w:t>
      </w:r>
      <w:r>
        <w:rPr>
          <w:rStyle w:val="FootnoteReference"/>
        </w:rPr>
        <w:footnoteReference w:id="3"/>
      </w:r>
    </w:p>
    <w:p w:rsidR="00FB6DBD" w:rsidRPr="009F24F2" w:rsidRDefault="00FB6DBD" w:rsidP="00FB6DBD">
      <w:pPr>
        <w:tabs>
          <w:tab w:val="clear" w:pos="1814"/>
          <w:tab w:val="clear" w:pos="2381"/>
          <w:tab w:val="clear" w:pos="2948"/>
          <w:tab w:val="clear" w:pos="3515"/>
          <w:tab w:val="left" w:pos="624"/>
          <w:tab w:val="left" w:pos="1871"/>
          <w:tab w:val="left" w:pos="2495"/>
          <w:tab w:val="left" w:pos="3119"/>
        </w:tabs>
        <w:spacing w:after="120"/>
        <w:ind w:left="1247" w:firstLine="624"/>
      </w:pPr>
      <w:r>
        <w:t>5.</w:t>
      </w:r>
      <w:r>
        <w:tab/>
      </w:r>
      <w:r w:rsidRPr="00736B78">
        <w:t>T</w:t>
      </w:r>
      <w:r w:rsidRPr="00FB28E1">
        <w:t>o caution Kazakhstan</w:t>
      </w:r>
      <w:r>
        <w:t>,</w:t>
      </w:r>
      <w:r w:rsidRPr="00FB28E1">
        <w:t xml:space="preserve"> under item B of the indicative list of measures that may be taken by the Meeting of the Parties in respect of non-compliance</w:t>
      </w:r>
      <w:r>
        <w:t xml:space="preserve">, </w:t>
      </w:r>
      <w:r w:rsidRPr="00FB28E1">
        <w:t>that</w:t>
      </w:r>
      <w:r>
        <w:t>,</w:t>
      </w:r>
      <w:r w:rsidRPr="00FB28E1">
        <w:t xml:space="preserve"> </w:t>
      </w:r>
      <w:r>
        <w:t>should</w:t>
      </w:r>
      <w:r w:rsidRPr="00FB28E1">
        <w:t xml:space="preserve"> it fail to return to compliance</w:t>
      </w:r>
      <w:r>
        <w:t>,</w:t>
      </w:r>
      <w:r w:rsidRPr="00FB28E1">
        <w:t xml:space="preserve"> the Meeting of the Parties will consider measures consistent with item C of the indicative list of measures, which allows for the suspension of specific rights and privileges under the Protocol, and that this may include the possibility of actions available under Article 4, such as ensuring that the supply of hydrochlorofluorocarbons that are the subject of non-compliance is ceased so that exporting parties are not contributing to a continui</w:t>
      </w:r>
      <w:r>
        <w:t>ng situation of non-compliance;</w:t>
      </w:r>
    </w:p>
    <w:p w:rsidR="00FB6DBD" w:rsidRPr="00736B78" w:rsidRDefault="00721B3B" w:rsidP="004E7D79">
      <w:pPr>
        <w:pStyle w:val="CH2"/>
        <w:keepNext w:val="0"/>
        <w:keepLines w:val="0"/>
        <w:spacing w:before="240"/>
        <w:outlineLvl w:val="0"/>
      </w:pPr>
      <w:r>
        <w:tab/>
      </w:r>
      <w:r>
        <w:tab/>
      </w:r>
      <w:r w:rsidR="00FB6DBD">
        <w:t xml:space="preserve">Decision </w:t>
      </w:r>
      <w:r w:rsidR="00FB6DBD" w:rsidRPr="00736B78">
        <w:t>XXIX/</w:t>
      </w:r>
      <w:r w:rsidR="00FB6DBD">
        <w:t>15</w:t>
      </w:r>
      <w:r w:rsidR="00FB6DBD" w:rsidRPr="00736B78">
        <w:t>: Request for the revision of baseline data by Fiji</w:t>
      </w:r>
    </w:p>
    <w:p w:rsidR="00FB6DBD" w:rsidRPr="005A7E8B"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5A7E8B">
        <w:rPr>
          <w:i/>
        </w:rPr>
        <w:t>Noting</w:t>
      </w:r>
      <w:r w:rsidRPr="005A7E8B">
        <w:t xml:space="preserve"> that, in decision XIII/15, the Thirteenth Meeting of the Parties decided to advise parties request</w:t>
      </w:r>
      <w:r>
        <w:t>ing</w:t>
      </w:r>
      <w:r w:rsidRPr="005A7E8B">
        <w:t xml:space="preserve"> changes in reported baseline data for the base years to present their requests before the Implementation Committee under the Non-Compliance Procedure for the Montreal Protocol, which in turn would work with the Secretariat and the Executive Committee of the Multilateral Fund for the Implementation of the Montreal Protocol to confirm the justification for the changes and present them to the Meeting of the Parties for approval,</w:t>
      </w:r>
    </w:p>
    <w:p w:rsidR="00FB6DBD"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5A7E8B">
        <w:rPr>
          <w:i/>
        </w:rPr>
        <w:t>Noting also</w:t>
      </w:r>
      <w:r w:rsidRPr="005A7E8B">
        <w:t xml:space="preserve"> that decision XV/19 sets out the methodology for the submission of such requests,</w:t>
      </w:r>
      <w:r>
        <w:t xml:space="preserve"> </w:t>
      </w:r>
    </w:p>
    <w:p w:rsidR="00FB6DBD" w:rsidRPr="005A7E8B"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5A7E8B">
        <w:t>1.</w:t>
      </w:r>
      <w:r w:rsidRPr="005A7E8B">
        <w:tab/>
        <w:t xml:space="preserve">That Fiji has presented sufficient information, in accordance with decision XV/19, to justify its request for the revision of its consumption data for hydrochlorofluorocarbons for </w:t>
      </w:r>
      <w:r>
        <w:t>the years</w:t>
      </w:r>
      <w:r w:rsidRPr="005A7E8B">
        <w:t xml:space="preserve"> 2009 and 2010, which are part of the baseline for parties operating under paragraph 1 of Article 5;</w:t>
      </w:r>
    </w:p>
    <w:p w:rsidR="00FB6DBD" w:rsidRDefault="00FB6DBD" w:rsidP="000D05AC">
      <w:pPr>
        <w:pStyle w:val="Normalpool"/>
        <w:keepNext/>
        <w:keepLines/>
        <w:tabs>
          <w:tab w:val="clear" w:pos="1253"/>
          <w:tab w:val="clear" w:pos="1814"/>
          <w:tab w:val="clear" w:pos="2376"/>
          <w:tab w:val="clear" w:pos="2952"/>
          <w:tab w:val="clear" w:pos="3514"/>
          <w:tab w:val="left" w:pos="624"/>
        </w:tabs>
        <w:ind w:left="1247" w:firstLine="624"/>
      </w:pPr>
      <w:proofErr w:type="gramStart"/>
      <w:r w:rsidRPr="005A7E8B">
        <w:t>2.</w:t>
      </w:r>
      <w:r w:rsidRPr="005A7E8B">
        <w:tab/>
        <w:t>To approve the request by Fiji</w:t>
      </w:r>
      <w:r>
        <w:t>,</w:t>
      </w:r>
      <w:r w:rsidRPr="005A7E8B">
        <w:t xml:space="preserve"> and to revise its consumption data for hydrochlorofluorocarbons for the baseline years 2009 and 2010</w:t>
      </w:r>
      <w:r>
        <w:t>,</w:t>
      </w:r>
      <w:r w:rsidRPr="005A7E8B">
        <w:t xml:space="preserve"> as</w:t>
      </w:r>
      <w:proofErr w:type="gramEnd"/>
      <w:r w:rsidRPr="005A7E8B">
        <w:t xml:space="preserve"> indicated in the following table:</w:t>
      </w:r>
    </w:p>
    <w:p w:rsidR="00FB6DBD" w:rsidRPr="005A7E8B" w:rsidRDefault="00FB6DBD" w:rsidP="00435E3D">
      <w:pPr>
        <w:pStyle w:val="Normalpool"/>
        <w:keepNext/>
        <w:keepLines/>
      </w:pPr>
    </w:p>
    <w:tbl>
      <w:tblPr>
        <w:tblW w:w="8222" w:type="dxa"/>
        <w:tblInd w:w="1384" w:type="dxa"/>
        <w:tblLayout w:type="fixed"/>
        <w:tblLook w:val="04A0" w:firstRow="1" w:lastRow="0" w:firstColumn="1" w:lastColumn="0" w:noHBand="0" w:noVBand="1"/>
      </w:tblPr>
      <w:tblGrid>
        <w:gridCol w:w="992"/>
        <w:gridCol w:w="1134"/>
        <w:gridCol w:w="1134"/>
        <w:gridCol w:w="1276"/>
        <w:gridCol w:w="1134"/>
        <w:gridCol w:w="1134"/>
        <w:gridCol w:w="1418"/>
      </w:tblGrid>
      <w:tr w:rsidR="00FB6DBD" w:rsidRPr="00A7161C" w:rsidTr="00FB6DBD">
        <w:tc>
          <w:tcPr>
            <w:tcW w:w="992" w:type="dxa"/>
            <w:vMerge w:val="restart"/>
            <w:tcBorders>
              <w:top w:val="single" w:sz="4" w:space="0" w:color="auto"/>
              <w:bottom w:val="single" w:sz="12" w:space="0" w:color="auto"/>
            </w:tcBorders>
            <w:shd w:val="clear" w:color="auto" w:fill="auto"/>
            <w:vAlign w:val="bottom"/>
          </w:tcPr>
          <w:p w:rsidR="00FB6DBD" w:rsidRPr="004E7D79" w:rsidRDefault="00FB6DBD" w:rsidP="00435E3D">
            <w:pPr>
              <w:keepNext/>
              <w:keepLines/>
              <w:tabs>
                <w:tab w:val="left" w:pos="624"/>
                <w:tab w:val="left" w:pos="1871"/>
                <w:tab w:val="left" w:pos="2495"/>
                <w:tab w:val="left" w:pos="3119"/>
                <w:tab w:val="left" w:pos="4082"/>
              </w:tabs>
              <w:spacing w:before="40" w:after="40"/>
              <w:rPr>
                <w:bCs/>
                <w:i/>
                <w:sz w:val="18"/>
                <w:szCs w:val="18"/>
              </w:rPr>
            </w:pPr>
          </w:p>
        </w:tc>
        <w:tc>
          <w:tcPr>
            <w:tcW w:w="3544" w:type="dxa"/>
            <w:gridSpan w:val="3"/>
            <w:tcBorders>
              <w:top w:val="single" w:sz="4" w:space="0" w:color="auto"/>
              <w:bottom w:val="single" w:sz="4" w:space="0" w:color="auto"/>
            </w:tcBorders>
            <w:shd w:val="clear" w:color="auto" w:fill="auto"/>
            <w:vAlign w:val="bottom"/>
          </w:tcPr>
          <w:p w:rsidR="00FB6DBD" w:rsidRPr="004E7D79" w:rsidRDefault="00FB6DBD" w:rsidP="00435E3D">
            <w:pPr>
              <w:keepNext/>
              <w:keepLines/>
              <w:tabs>
                <w:tab w:val="left" w:pos="624"/>
                <w:tab w:val="left" w:pos="1871"/>
                <w:tab w:val="left" w:pos="2495"/>
                <w:tab w:val="left" w:pos="3119"/>
                <w:tab w:val="left" w:pos="4082"/>
              </w:tabs>
              <w:spacing w:before="40" w:after="40"/>
              <w:jc w:val="center"/>
              <w:rPr>
                <w:bCs/>
                <w:i/>
                <w:sz w:val="18"/>
                <w:szCs w:val="18"/>
              </w:rPr>
            </w:pPr>
            <w:r w:rsidRPr="004E7D79">
              <w:rPr>
                <w:bCs/>
                <w:i/>
                <w:sz w:val="18"/>
                <w:szCs w:val="18"/>
              </w:rPr>
              <w:t>Previous hydrochlorofluorocarbon data</w:t>
            </w:r>
            <w:r w:rsidRPr="004E7D79">
              <w:rPr>
                <w:bCs/>
                <w:i/>
                <w:sz w:val="18"/>
                <w:szCs w:val="18"/>
              </w:rPr>
              <w:br/>
              <w:t>(ODP-tonnes)</w:t>
            </w:r>
          </w:p>
        </w:tc>
        <w:tc>
          <w:tcPr>
            <w:tcW w:w="3686" w:type="dxa"/>
            <w:gridSpan w:val="3"/>
            <w:tcBorders>
              <w:top w:val="single" w:sz="4" w:space="0" w:color="auto"/>
              <w:bottom w:val="single" w:sz="4" w:space="0" w:color="auto"/>
            </w:tcBorders>
            <w:shd w:val="clear" w:color="auto" w:fill="auto"/>
            <w:vAlign w:val="bottom"/>
          </w:tcPr>
          <w:p w:rsidR="00FB6DBD" w:rsidRPr="004E7D79" w:rsidRDefault="00FB6DBD" w:rsidP="00435E3D">
            <w:pPr>
              <w:keepNext/>
              <w:keepLines/>
              <w:tabs>
                <w:tab w:val="left" w:pos="624"/>
                <w:tab w:val="left" w:pos="1871"/>
                <w:tab w:val="left" w:pos="2495"/>
                <w:tab w:val="left" w:pos="3119"/>
                <w:tab w:val="left" w:pos="4082"/>
              </w:tabs>
              <w:spacing w:before="40" w:after="40"/>
              <w:jc w:val="center"/>
              <w:rPr>
                <w:bCs/>
                <w:i/>
                <w:sz w:val="18"/>
                <w:szCs w:val="18"/>
              </w:rPr>
            </w:pPr>
            <w:r w:rsidRPr="004E7D79">
              <w:rPr>
                <w:bCs/>
                <w:i/>
                <w:sz w:val="18"/>
                <w:szCs w:val="18"/>
              </w:rPr>
              <w:t>New hydrochlorofluorocarbon data</w:t>
            </w:r>
            <w:r w:rsidRPr="004E7D79">
              <w:rPr>
                <w:bCs/>
                <w:i/>
                <w:sz w:val="18"/>
                <w:szCs w:val="18"/>
              </w:rPr>
              <w:br/>
              <w:t>(ODP-tonnes)</w:t>
            </w:r>
          </w:p>
        </w:tc>
      </w:tr>
      <w:tr w:rsidR="00FB6DBD" w:rsidRPr="00A7161C" w:rsidTr="00FB6DBD">
        <w:tc>
          <w:tcPr>
            <w:tcW w:w="992" w:type="dxa"/>
            <w:vMerge/>
            <w:tcBorders>
              <w:bottom w:val="single" w:sz="12" w:space="0" w:color="auto"/>
            </w:tcBorders>
            <w:shd w:val="clear" w:color="auto" w:fill="auto"/>
            <w:vAlign w:val="bottom"/>
          </w:tcPr>
          <w:p w:rsidR="00FB6DBD" w:rsidRPr="004E7D79" w:rsidRDefault="00FB6DBD" w:rsidP="00FB6DBD">
            <w:pPr>
              <w:tabs>
                <w:tab w:val="left" w:pos="624"/>
                <w:tab w:val="left" w:pos="1871"/>
                <w:tab w:val="left" w:pos="2495"/>
                <w:tab w:val="left" w:pos="3119"/>
                <w:tab w:val="left" w:pos="4082"/>
              </w:tabs>
              <w:spacing w:before="40" w:after="40"/>
              <w:rPr>
                <w:bCs/>
                <w:sz w:val="18"/>
                <w:szCs w:val="18"/>
              </w:rPr>
            </w:pPr>
          </w:p>
        </w:tc>
        <w:tc>
          <w:tcPr>
            <w:tcW w:w="1134" w:type="dxa"/>
            <w:tcBorders>
              <w:top w:val="single" w:sz="4" w:space="0" w:color="auto"/>
              <w:bottom w:val="single" w:sz="12" w:space="0" w:color="auto"/>
            </w:tcBorders>
            <w:shd w:val="clear" w:color="auto" w:fill="auto"/>
            <w:vAlign w:val="bottom"/>
          </w:tcPr>
          <w:p w:rsidR="00FB6DBD" w:rsidRPr="004E7D79" w:rsidRDefault="00FB6DBD" w:rsidP="00FB6DBD">
            <w:pPr>
              <w:tabs>
                <w:tab w:val="left" w:pos="624"/>
                <w:tab w:val="left" w:pos="1871"/>
                <w:tab w:val="left" w:pos="2495"/>
                <w:tab w:val="left" w:pos="3119"/>
                <w:tab w:val="left" w:pos="4082"/>
              </w:tabs>
              <w:spacing w:before="40" w:after="40"/>
              <w:jc w:val="right"/>
              <w:rPr>
                <w:bCs/>
                <w:i/>
                <w:sz w:val="18"/>
                <w:szCs w:val="18"/>
              </w:rPr>
            </w:pPr>
            <w:r w:rsidRPr="004E7D79">
              <w:rPr>
                <w:bCs/>
                <w:i/>
                <w:sz w:val="18"/>
                <w:szCs w:val="18"/>
              </w:rPr>
              <w:t>2009</w:t>
            </w:r>
          </w:p>
        </w:tc>
        <w:tc>
          <w:tcPr>
            <w:tcW w:w="1134" w:type="dxa"/>
            <w:tcBorders>
              <w:top w:val="single" w:sz="4" w:space="0" w:color="auto"/>
              <w:bottom w:val="single" w:sz="12" w:space="0" w:color="auto"/>
            </w:tcBorders>
            <w:shd w:val="clear" w:color="auto" w:fill="auto"/>
            <w:vAlign w:val="bottom"/>
          </w:tcPr>
          <w:p w:rsidR="00FB6DBD" w:rsidRPr="004E7D79" w:rsidRDefault="00FB6DBD" w:rsidP="00FB6DBD">
            <w:pPr>
              <w:tabs>
                <w:tab w:val="left" w:pos="624"/>
                <w:tab w:val="left" w:pos="1871"/>
                <w:tab w:val="left" w:pos="2495"/>
                <w:tab w:val="left" w:pos="3119"/>
                <w:tab w:val="left" w:pos="4082"/>
              </w:tabs>
              <w:spacing w:before="40" w:after="40"/>
              <w:jc w:val="right"/>
              <w:rPr>
                <w:bCs/>
                <w:i/>
                <w:sz w:val="18"/>
                <w:szCs w:val="18"/>
              </w:rPr>
            </w:pPr>
            <w:r w:rsidRPr="004E7D79">
              <w:rPr>
                <w:bCs/>
                <w:i/>
                <w:sz w:val="18"/>
                <w:szCs w:val="18"/>
              </w:rPr>
              <w:t>2010</w:t>
            </w:r>
          </w:p>
        </w:tc>
        <w:tc>
          <w:tcPr>
            <w:tcW w:w="1276" w:type="dxa"/>
            <w:tcBorders>
              <w:top w:val="single" w:sz="4" w:space="0" w:color="auto"/>
              <w:bottom w:val="single" w:sz="12" w:space="0" w:color="auto"/>
            </w:tcBorders>
            <w:shd w:val="clear" w:color="auto" w:fill="auto"/>
            <w:vAlign w:val="bottom"/>
          </w:tcPr>
          <w:p w:rsidR="00FB6DBD" w:rsidRPr="004E7D79" w:rsidRDefault="00FB6DBD" w:rsidP="00FB6DBD">
            <w:pPr>
              <w:tabs>
                <w:tab w:val="left" w:pos="624"/>
                <w:tab w:val="left" w:pos="1871"/>
                <w:tab w:val="left" w:pos="2495"/>
                <w:tab w:val="left" w:pos="3119"/>
                <w:tab w:val="left" w:pos="4082"/>
              </w:tabs>
              <w:spacing w:before="40" w:after="40"/>
              <w:jc w:val="right"/>
              <w:rPr>
                <w:bCs/>
                <w:i/>
                <w:sz w:val="18"/>
                <w:szCs w:val="18"/>
              </w:rPr>
            </w:pPr>
            <w:r w:rsidRPr="004E7D79">
              <w:rPr>
                <w:bCs/>
                <w:i/>
                <w:sz w:val="18"/>
                <w:szCs w:val="18"/>
              </w:rPr>
              <w:t>Baseline</w:t>
            </w:r>
            <w:r w:rsidRPr="004E7D79">
              <w:rPr>
                <w:bCs/>
                <w:i/>
                <w:sz w:val="18"/>
                <w:szCs w:val="18"/>
                <w:vertAlign w:val="superscript"/>
              </w:rPr>
              <w:t>a</w:t>
            </w:r>
          </w:p>
        </w:tc>
        <w:tc>
          <w:tcPr>
            <w:tcW w:w="1134" w:type="dxa"/>
            <w:tcBorders>
              <w:top w:val="single" w:sz="4" w:space="0" w:color="auto"/>
              <w:bottom w:val="single" w:sz="12" w:space="0" w:color="auto"/>
            </w:tcBorders>
            <w:shd w:val="clear" w:color="auto" w:fill="auto"/>
            <w:vAlign w:val="bottom"/>
          </w:tcPr>
          <w:p w:rsidR="00FB6DBD" w:rsidRPr="004E7D79" w:rsidRDefault="00FB6DBD" w:rsidP="00FB6DBD">
            <w:pPr>
              <w:tabs>
                <w:tab w:val="left" w:pos="624"/>
                <w:tab w:val="left" w:pos="1871"/>
                <w:tab w:val="left" w:pos="2495"/>
                <w:tab w:val="left" w:pos="3119"/>
                <w:tab w:val="left" w:pos="4082"/>
              </w:tabs>
              <w:spacing w:before="40" w:after="40"/>
              <w:jc w:val="right"/>
              <w:rPr>
                <w:bCs/>
                <w:i/>
                <w:sz w:val="18"/>
                <w:szCs w:val="18"/>
              </w:rPr>
            </w:pPr>
            <w:r w:rsidRPr="004E7D79">
              <w:rPr>
                <w:bCs/>
                <w:i/>
                <w:sz w:val="18"/>
                <w:szCs w:val="18"/>
              </w:rPr>
              <w:t>2009</w:t>
            </w:r>
          </w:p>
        </w:tc>
        <w:tc>
          <w:tcPr>
            <w:tcW w:w="1134" w:type="dxa"/>
            <w:tcBorders>
              <w:top w:val="single" w:sz="4" w:space="0" w:color="auto"/>
              <w:bottom w:val="single" w:sz="12" w:space="0" w:color="auto"/>
            </w:tcBorders>
            <w:shd w:val="clear" w:color="auto" w:fill="auto"/>
            <w:vAlign w:val="bottom"/>
          </w:tcPr>
          <w:p w:rsidR="00FB6DBD" w:rsidRPr="004E7D79" w:rsidRDefault="00FB6DBD" w:rsidP="00FB6DBD">
            <w:pPr>
              <w:tabs>
                <w:tab w:val="left" w:pos="624"/>
                <w:tab w:val="left" w:pos="1871"/>
                <w:tab w:val="left" w:pos="2495"/>
                <w:tab w:val="left" w:pos="3119"/>
                <w:tab w:val="left" w:pos="4082"/>
              </w:tabs>
              <w:spacing w:before="40" w:after="40"/>
              <w:jc w:val="right"/>
              <w:rPr>
                <w:bCs/>
                <w:i/>
                <w:sz w:val="18"/>
                <w:szCs w:val="18"/>
              </w:rPr>
            </w:pPr>
            <w:r w:rsidRPr="004E7D79">
              <w:rPr>
                <w:bCs/>
                <w:i/>
                <w:sz w:val="18"/>
                <w:szCs w:val="18"/>
              </w:rPr>
              <w:t>2010</w:t>
            </w:r>
          </w:p>
        </w:tc>
        <w:tc>
          <w:tcPr>
            <w:tcW w:w="1418" w:type="dxa"/>
            <w:tcBorders>
              <w:top w:val="single" w:sz="4" w:space="0" w:color="auto"/>
              <w:bottom w:val="single" w:sz="12" w:space="0" w:color="auto"/>
            </w:tcBorders>
            <w:shd w:val="clear" w:color="auto" w:fill="auto"/>
            <w:vAlign w:val="bottom"/>
          </w:tcPr>
          <w:p w:rsidR="00FB6DBD" w:rsidRPr="004E7D79" w:rsidRDefault="00FB6DBD" w:rsidP="00FB6DBD">
            <w:pPr>
              <w:tabs>
                <w:tab w:val="left" w:pos="624"/>
                <w:tab w:val="left" w:pos="1871"/>
                <w:tab w:val="left" w:pos="2495"/>
                <w:tab w:val="left" w:pos="3119"/>
                <w:tab w:val="left" w:pos="4082"/>
              </w:tabs>
              <w:spacing w:before="40" w:after="40"/>
              <w:jc w:val="right"/>
              <w:rPr>
                <w:bCs/>
                <w:i/>
                <w:sz w:val="18"/>
                <w:szCs w:val="18"/>
              </w:rPr>
            </w:pPr>
            <w:r w:rsidRPr="004E7D79">
              <w:rPr>
                <w:bCs/>
                <w:i/>
                <w:sz w:val="18"/>
                <w:szCs w:val="18"/>
              </w:rPr>
              <w:t>Baseline</w:t>
            </w:r>
            <w:r w:rsidRPr="004E7D79">
              <w:rPr>
                <w:bCs/>
                <w:i/>
                <w:sz w:val="18"/>
                <w:szCs w:val="18"/>
                <w:vertAlign w:val="superscript"/>
              </w:rPr>
              <w:t>a</w:t>
            </w:r>
          </w:p>
        </w:tc>
      </w:tr>
      <w:tr w:rsidR="00FB6DBD" w:rsidRPr="00A7161C" w:rsidTr="00FB6DBD">
        <w:tc>
          <w:tcPr>
            <w:tcW w:w="992" w:type="dxa"/>
            <w:tcBorders>
              <w:top w:val="single" w:sz="12" w:space="0" w:color="auto"/>
              <w:bottom w:val="single" w:sz="12" w:space="0" w:color="auto"/>
            </w:tcBorders>
            <w:shd w:val="clear" w:color="auto" w:fill="auto"/>
            <w:vAlign w:val="bottom"/>
          </w:tcPr>
          <w:p w:rsidR="00FB6DBD" w:rsidRPr="004E7D79" w:rsidRDefault="00FB6DBD" w:rsidP="00FB6DBD">
            <w:pPr>
              <w:tabs>
                <w:tab w:val="left" w:pos="624"/>
                <w:tab w:val="left" w:pos="1871"/>
                <w:tab w:val="left" w:pos="2495"/>
                <w:tab w:val="left" w:pos="3119"/>
                <w:tab w:val="left" w:pos="4082"/>
              </w:tabs>
              <w:spacing w:before="40" w:after="40"/>
              <w:rPr>
                <w:bCs/>
                <w:sz w:val="18"/>
                <w:szCs w:val="18"/>
              </w:rPr>
            </w:pPr>
          </w:p>
        </w:tc>
        <w:tc>
          <w:tcPr>
            <w:tcW w:w="1134" w:type="dxa"/>
            <w:tcBorders>
              <w:top w:val="single" w:sz="12" w:space="0" w:color="auto"/>
              <w:bottom w:val="single" w:sz="12" w:space="0" w:color="auto"/>
            </w:tcBorders>
            <w:shd w:val="clear" w:color="auto" w:fill="auto"/>
            <w:vAlign w:val="bottom"/>
          </w:tcPr>
          <w:p w:rsidR="00FB6DBD" w:rsidRPr="004E7D79" w:rsidRDefault="00FB6DBD" w:rsidP="00FB6DBD">
            <w:pPr>
              <w:tabs>
                <w:tab w:val="left" w:pos="624"/>
                <w:tab w:val="left" w:pos="1871"/>
                <w:tab w:val="left" w:pos="2495"/>
                <w:tab w:val="left" w:pos="3119"/>
                <w:tab w:val="left" w:pos="4082"/>
              </w:tabs>
              <w:spacing w:before="40" w:after="40"/>
              <w:jc w:val="right"/>
              <w:rPr>
                <w:bCs/>
                <w:color w:val="000000"/>
                <w:sz w:val="18"/>
                <w:szCs w:val="18"/>
              </w:rPr>
            </w:pPr>
            <w:r w:rsidRPr="004E7D79">
              <w:rPr>
                <w:bCs/>
                <w:color w:val="000000"/>
                <w:sz w:val="18"/>
                <w:szCs w:val="18"/>
              </w:rPr>
              <w:t>7.6</w:t>
            </w:r>
          </w:p>
        </w:tc>
        <w:tc>
          <w:tcPr>
            <w:tcW w:w="1134" w:type="dxa"/>
            <w:tcBorders>
              <w:top w:val="single" w:sz="12" w:space="0" w:color="auto"/>
              <w:bottom w:val="single" w:sz="12" w:space="0" w:color="auto"/>
            </w:tcBorders>
            <w:shd w:val="clear" w:color="auto" w:fill="auto"/>
            <w:vAlign w:val="bottom"/>
          </w:tcPr>
          <w:p w:rsidR="00FB6DBD" w:rsidRPr="004E7D79" w:rsidRDefault="00FB6DBD" w:rsidP="00FB6DBD">
            <w:pPr>
              <w:tabs>
                <w:tab w:val="left" w:pos="624"/>
                <w:tab w:val="left" w:pos="1871"/>
                <w:tab w:val="left" w:pos="2495"/>
                <w:tab w:val="left" w:pos="3119"/>
                <w:tab w:val="left" w:pos="4082"/>
              </w:tabs>
              <w:spacing w:before="40" w:after="40"/>
              <w:jc w:val="right"/>
              <w:rPr>
                <w:bCs/>
                <w:color w:val="000000"/>
                <w:sz w:val="18"/>
                <w:szCs w:val="18"/>
              </w:rPr>
            </w:pPr>
            <w:r w:rsidRPr="004E7D79">
              <w:rPr>
                <w:bCs/>
                <w:color w:val="000000"/>
                <w:sz w:val="18"/>
                <w:szCs w:val="18"/>
              </w:rPr>
              <w:t>9.2</w:t>
            </w:r>
          </w:p>
        </w:tc>
        <w:tc>
          <w:tcPr>
            <w:tcW w:w="1276" w:type="dxa"/>
            <w:tcBorders>
              <w:top w:val="single" w:sz="12" w:space="0" w:color="auto"/>
              <w:bottom w:val="single" w:sz="12" w:space="0" w:color="auto"/>
            </w:tcBorders>
            <w:shd w:val="clear" w:color="auto" w:fill="auto"/>
            <w:vAlign w:val="bottom"/>
          </w:tcPr>
          <w:p w:rsidR="00FB6DBD" w:rsidRPr="004E7D79" w:rsidRDefault="00FB6DBD" w:rsidP="00FB6DBD">
            <w:pPr>
              <w:tabs>
                <w:tab w:val="left" w:pos="624"/>
                <w:tab w:val="left" w:pos="1871"/>
                <w:tab w:val="left" w:pos="2495"/>
                <w:tab w:val="left" w:pos="3119"/>
                <w:tab w:val="left" w:pos="4082"/>
              </w:tabs>
              <w:spacing w:before="40" w:after="40"/>
              <w:jc w:val="right"/>
              <w:rPr>
                <w:bCs/>
                <w:color w:val="000000"/>
                <w:sz w:val="18"/>
                <w:szCs w:val="18"/>
              </w:rPr>
            </w:pPr>
            <w:r w:rsidRPr="004E7D79">
              <w:rPr>
                <w:bCs/>
                <w:color w:val="000000"/>
                <w:sz w:val="18"/>
                <w:szCs w:val="18"/>
              </w:rPr>
              <w:t>8.4</w:t>
            </w:r>
          </w:p>
        </w:tc>
        <w:tc>
          <w:tcPr>
            <w:tcW w:w="1134" w:type="dxa"/>
            <w:tcBorders>
              <w:top w:val="single" w:sz="12" w:space="0" w:color="auto"/>
              <w:bottom w:val="single" w:sz="12" w:space="0" w:color="auto"/>
            </w:tcBorders>
            <w:shd w:val="clear" w:color="auto" w:fill="auto"/>
            <w:vAlign w:val="bottom"/>
          </w:tcPr>
          <w:p w:rsidR="00FB6DBD" w:rsidRPr="004E7D79" w:rsidRDefault="00FB6DBD" w:rsidP="00FB6DBD">
            <w:pPr>
              <w:tabs>
                <w:tab w:val="left" w:pos="624"/>
                <w:tab w:val="left" w:pos="1871"/>
                <w:tab w:val="left" w:pos="2495"/>
                <w:tab w:val="left" w:pos="3119"/>
                <w:tab w:val="left" w:pos="4082"/>
              </w:tabs>
              <w:spacing w:before="40" w:after="40"/>
              <w:jc w:val="right"/>
              <w:rPr>
                <w:bCs/>
                <w:color w:val="000000"/>
                <w:sz w:val="18"/>
                <w:szCs w:val="18"/>
              </w:rPr>
            </w:pPr>
            <w:r w:rsidRPr="004E7D79">
              <w:rPr>
                <w:bCs/>
                <w:color w:val="000000"/>
                <w:sz w:val="18"/>
                <w:szCs w:val="18"/>
              </w:rPr>
              <w:t>5.00</w:t>
            </w:r>
          </w:p>
        </w:tc>
        <w:tc>
          <w:tcPr>
            <w:tcW w:w="1134" w:type="dxa"/>
            <w:tcBorders>
              <w:top w:val="single" w:sz="12" w:space="0" w:color="auto"/>
              <w:bottom w:val="single" w:sz="12" w:space="0" w:color="auto"/>
            </w:tcBorders>
            <w:shd w:val="clear" w:color="auto" w:fill="auto"/>
            <w:vAlign w:val="bottom"/>
          </w:tcPr>
          <w:p w:rsidR="00FB6DBD" w:rsidRPr="004E7D79" w:rsidRDefault="00FB6DBD" w:rsidP="00FB6DBD">
            <w:pPr>
              <w:tabs>
                <w:tab w:val="left" w:pos="624"/>
                <w:tab w:val="left" w:pos="1871"/>
                <w:tab w:val="left" w:pos="2495"/>
                <w:tab w:val="left" w:pos="3119"/>
                <w:tab w:val="left" w:pos="4082"/>
              </w:tabs>
              <w:spacing w:before="40" w:after="40"/>
              <w:jc w:val="right"/>
              <w:rPr>
                <w:bCs/>
                <w:color w:val="000000"/>
                <w:sz w:val="18"/>
                <w:szCs w:val="18"/>
              </w:rPr>
            </w:pPr>
            <w:r w:rsidRPr="004E7D79">
              <w:rPr>
                <w:bCs/>
                <w:color w:val="000000"/>
                <w:sz w:val="18"/>
                <w:szCs w:val="18"/>
              </w:rPr>
              <w:t>6.46</w:t>
            </w:r>
          </w:p>
        </w:tc>
        <w:tc>
          <w:tcPr>
            <w:tcW w:w="1418" w:type="dxa"/>
            <w:tcBorders>
              <w:top w:val="single" w:sz="12" w:space="0" w:color="auto"/>
              <w:bottom w:val="single" w:sz="12" w:space="0" w:color="auto"/>
            </w:tcBorders>
            <w:shd w:val="clear" w:color="auto" w:fill="auto"/>
            <w:vAlign w:val="bottom"/>
          </w:tcPr>
          <w:p w:rsidR="00FB6DBD" w:rsidRPr="004E7D79" w:rsidRDefault="00FB6DBD" w:rsidP="00FB6DBD">
            <w:pPr>
              <w:tabs>
                <w:tab w:val="left" w:pos="624"/>
                <w:tab w:val="left" w:pos="1871"/>
                <w:tab w:val="left" w:pos="2495"/>
                <w:tab w:val="left" w:pos="3119"/>
                <w:tab w:val="left" w:pos="4082"/>
              </w:tabs>
              <w:spacing w:before="40" w:after="40"/>
              <w:jc w:val="right"/>
              <w:rPr>
                <w:bCs/>
                <w:color w:val="000000"/>
                <w:sz w:val="18"/>
                <w:szCs w:val="18"/>
              </w:rPr>
            </w:pPr>
            <w:r w:rsidRPr="004E7D79">
              <w:rPr>
                <w:bCs/>
                <w:color w:val="000000"/>
                <w:sz w:val="18"/>
                <w:szCs w:val="18"/>
              </w:rPr>
              <w:t>5.73</w:t>
            </w:r>
          </w:p>
        </w:tc>
      </w:tr>
    </w:tbl>
    <w:p w:rsidR="00FB6DBD" w:rsidRPr="004E7D79" w:rsidRDefault="00FB6DBD" w:rsidP="000D05AC">
      <w:pPr>
        <w:tabs>
          <w:tab w:val="clear" w:pos="1247"/>
          <w:tab w:val="left" w:pos="624"/>
          <w:tab w:val="left" w:pos="1871"/>
          <w:tab w:val="left" w:pos="2495"/>
          <w:tab w:val="left" w:pos="3119"/>
          <w:tab w:val="left" w:pos="4082"/>
        </w:tabs>
        <w:spacing w:before="20" w:after="120"/>
        <w:ind w:left="1418"/>
        <w:rPr>
          <w:sz w:val="17"/>
          <w:szCs w:val="17"/>
          <w:lang w:val="en-US"/>
        </w:rPr>
      </w:pPr>
      <w:r w:rsidRPr="004E7D79">
        <w:rPr>
          <w:bCs/>
          <w:color w:val="000000"/>
          <w:sz w:val="17"/>
          <w:szCs w:val="17"/>
          <w:vertAlign w:val="superscript"/>
          <w:lang w:val="en-US"/>
        </w:rPr>
        <w:t>a</w:t>
      </w:r>
      <w:r w:rsidRPr="004E7D79">
        <w:rPr>
          <w:bCs/>
          <w:color w:val="000000"/>
          <w:sz w:val="17"/>
          <w:szCs w:val="17"/>
          <w:lang w:val="en-US"/>
        </w:rPr>
        <w:t xml:space="preserve"> Hydrochlorofluorocarbon baselines established after the Twenty-Third Meeting of the Parties are presented using two decimal places whereas those established before are presented using one decimal place (see decision XXIII/30).</w:t>
      </w:r>
    </w:p>
    <w:p w:rsidR="00FB6DBD" w:rsidRPr="005A7E8B"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5A7E8B">
        <w:lastRenderedPageBreak/>
        <w:t>3.</w:t>
      </w:r>
      <w:r w:rsidRPr="005A7E8B">
        <w:tab/>
        <w:t xml:space="preserve">To note that the change in baseline data confirmed that Fiji was in non-compliance with the control measures under the Montreal Protocol </w:t>
      </w:r>
      <w:r w:rsidRPr="003A66A4">
        <w:t>on Substances that Deplete the Ozone</w:t>
      </w:r>
      <w:r w:rsidRPr="009F24F2">
        <w:t xml:space="preserve"> Layer</w:t>
      </w:r>
      <w:r w:rsidRPr="005A7E8B">
        <w:t xml:space="preserve"> for 2013 and 2014, but that as </w:t>
      </w:r>
      <w:r>
        <w:t>at</w:t>
      </w:r>
      <w:r w:rsidRPr="005A7E8B">
        <w:t xml:space="preserve"> 2015 the party had returned to compliance;</w:t>
      </w:r>
    </w:p>
    <w:p w:rsidR="00FB6DBD" w:rsidRPr="005A7E8B"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5A7E8B">
        <w:t>4.</w:t>
      </w:r>
      <w:r w:rsidRPr="005A7E8B">
        <w:tab/>
      </w:r>
      <w:r>
        <w:t>Also t</w:t>
      </w:r>
      <w:r w:rsidRPr="005A7E8B">
        <w:t xml:space="preserve">o note that no further action is needed in view of the return to compliance and the </w:t>
      </w:r>
      <w:r>
        <w:t>p</w:t>
      </w:r>
      <w:r w:rsidRPr="005A7E8B">
        <w:t>arty’s affirmation that it has taken the new baseline into account for 2015 and 2016;</w:t>
      </w:r>
    </w:p>
    <w:p w:rsidR="00FB6DBD" w:rsidRPr="009F24F2"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5A7E8B">
        <w:t>5.</w:t>
      </w:r>
      <w:r w:rsidRPr="005A7E8B">
        <w:tab/>
        <w:t>To monitor closely progress by Fiji with regard to the phase-out of hydrochlorofluorocarbons</w:t>
      </w:r>
      <w:r>
        <w:t>, and that, t</w:t>
      </w:r>
      <w:r w:rsidRPr="005A7E8B">
        <w:t>o the degree that the party is working towards and meeting the specific Protocol control measures, it should continue to be treated in the same manner as a party in good standing</w:t>
      </w:r>
      <w:r>
        <w:t>;</w:t>
      </w:r>
    </w:p>
    <w:p w:rsidR="00FB6DBD" w:rsidRPr="004E7D79" w:rsidRDefault="00FB6DBD" w:rsidP="004E7D79">
      <w:pPr>
        <w:pStyle w:val="CH2"/>
      </w:pPr>
      <w:r w:rsidRPr="004E7D79">
        <w:tab/>
      </w:r>
      <w:r w:rsidRPr="004E7D79">
        <w:tab/>
        <w:t>Decision XXIX/16: Request for the revision of baseline data by Pakistan</w:t>
      </w:r>
    </w:p>
    <w:p w:rsidR="00FB6DBD" w:rsidRPr="00FB28E1"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FB28E1">
        <w:rPr>
          <w:i/>
        </w:rPr>
        <w:t>Noting</w:t>
      </w:r>
      <w:r w:rsidRPr="00FB28E1">
        <w:t xml:space="preserve"> that, in decision XIII/15, the Thirteenth Meeting of the Parties decided to advise parties request</w:t>
      </w:r>
      <w:r>
        <w:t>ing</w:t>
      </w:r>
      <w:r w:rsidRPr="00FB28E1">
        <w:t xml:space="preserve"> changes in reported baseline data for the base years to present their requests before the Implementation Committee under the Non-Compliance Procedure for the Montreal Protocol, which in turn would work with the Secretariat and the Executive Committee of the Multilateral Fund for the Implementation of the Montreal Protocol to confirm the justification for the changes and present them to the Meeting of the Parties for approval,</w:t>
      </w:r>
    </w:p>
    <w:p w:rsidR="00FB6DBD" w:rsidRPr="009F24F2"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9F24F2">
        <w:rPr>
          <w:i/>
        </w:rPr>
        <w:t>Noting also</w:t>
      </w:r>
      <w:r w:rsidRPr="009F24F2">
        <w:t xml:space="preserve"> that decision XV/19 sets out the methodology for the submission of such requests,</w:t>
      </w:r>
    </w:p>
    <w:p w:rsidR="00FB6DBD" w:rsidRPr="009F24F2"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9F24F2">
        <w:t>1.</w:t>
      </w:r>
      <w:r w:rsidRPr="009F24F2">
        <w:tab/>
      </w:r>
      <w:r w:rsidRPr="00736B78">
        <w:t>T</w:t>
      </w:r>
      <w:r w:rsidRPr="00DB616B">
        <w:t>hat</w:t>
      </w:r>
      <w:r w:rsidRPr="009F24F2">
        <w:t xml:space="preserve"> Pakistan has presented sufficient information, in accordance with decision XV/19, to justify its request for the revision of its consumption data for hydrochlorofluorocarbons for the years 2009 and 2010, which are part of the baseline for parties operating under paragraph 1 of Article 5;</w:t>
      </w:r>
    </w:p>
    <w:p w:rsidR="00FB6DBD" w:rsidRPr="009F24F2" w:rsidRDefault="00FB6DBD" w:rsidP="004E7D79">
      <w:pPr>
        <w:pStyle w:val="Normalpool"/>
        <w:tabs>
          <w:tab w:val="clear" w:pos="1253"/>
          <w:tab w:val="clear" w:pos="1814"/>
          <w:tab w:val="clear" w:pos="2376"/>
          <w:tab w:val="clear" w:pos="2952"/>
          <w:tab w:val="clear" w:pos="3514"/>
          <w:tab w:val="left" w:pos="624"/>
        </w:tabs>
        <w:spacing w:after="120"/>
        <w:ind w:left="1247" w:firstLine="624"/>
      </w:pPr>
      <w:proofErr w:type="gramStart"/>
      <w:r w:rsidRPr="009F24F2">
        <w:t>2.</w:t>
      </w:r>
      <w:r w:rsidRPr="009F24F2">
        <w:tab/>
      </w:r>
      <w:r w:rsidRPr="00DB616B">
        <w:t xml:space="preserve">To </w:t>
      </w:r>
      <w:r w:rsidRPr="00736B78">
        <w:t>approve</w:t>
      </w:r>
      <w:r w:rsidRPr="009F24F2">
        <w:t xml:space="preserve"> the request by Pakistan</w:t>
      </w:r>
      <w:r>
        <w:t>,</w:t>
      </w:r>
      <w:r w:rsidRPr="009F24F2">
        <w:t xml:space="preserve"> and </w:t>
      </w:r>
      <w:r>
        <w:t xml:space="preserve">to </w:t>
      </w:r>
      <w:r w:rsidRPr="009F24F2">
        <w:t>revise its consumption data for hydrochlorofluorocarbons for the baseline years 2009 and 2010, as</w:t>
      </w:r>
      <w:proofErr w:type="gramEnd"/>
      <w:r w:rsidRPr="009F24F2">
        <w:t xml:space="preserve"> indicated in the following table:</w:t>
      </w:r>
    </w:p>
    <w:tbl>
      <w:tblPr>
        <w:tblW w:w="0" w:type="auto"/>
        <w:tblInd w:w="1278" w:type="dxa"/>
        <w:tblBorders>
          <w:top w:val="single" w:sz="4" w:space="0" w:color="auto"/>
          <w:bottom w:val="single" w:sz="4" w:space="0" w:color="auto"/>
          <w:insideH w:val="single" w:sz="4" w:space="0" w:color="auto"/>
        </w:tblBorders>
        <w:tblLook w:val="04A0" w:firstRow="1" w:lastRow="0" w:firstColumn="1" w:lastColumn="0" w:noHBand="0" w:noVBand="1"/>
      </w:tblPr>
      <w:tblGrid>
        <w:gridCol w:w="1516"/>
        <w:gridCol w:w="1274"/>
        <w:gridCol w:w="1136"/>
        <w:gridCol w:w="1114"/>
        <w:gridCol w:w="990"/>
        <w:gridCol w:w="1170"/>
        <w:gridCol w:w="1234"/>
      </w:tblGrid>
      <w:tr w:rsidR="00FB6DBD" w:rsidRPr="004E7D79" w:rsidTr="00FB6DBD">
        <w:tc>
          <w:tcPr>
            <w:tcW w:w="1516" w:type="dxa"/>
            <w:vMerge w:val="restart"/>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rPr>
                <w:bCs/>
                <w:i/>
                <w:sz w:val="18"/>
                <w:szCs w:val="18"/>
              </w:rPr>
            </w:pPr>
            <w:r w:rsidRPr="004E7D79">
              <w:rPr>
                <w:bCs/>
                <w:i/>
                <w:sz w:val="18"/>
                <w:szCs w:val="18"/>
              </w:rPr>
              <w:t>Substance</w:t>
            </w:r>
          </w:p>
        </w:tc>
        <w:tc>
          <w:tcPr>
            <w:tcW w:w="3524" w:type="dxa"/>
            <w:gridSpan w:val="3"/>
            <w:tcBorders>
              <w:bottom w:val="single" w:sz="4" w:space="0" w:color="auto"/>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jc w:val="center"/>
              <w:rPr>
                <w:bCs/>
                <w:i/>
                <w:sz w:val="18"/>
                <w:szCs w:val="18"/>
              </w:rPr>
            </w:pPr>
            <w:r w:rsidRPr="004E7D79">
              <w:rPr>
                <w:bCs/>
                <w:i/>
                <w:sz w:val="18"/>
                <w:szCs w:val="18"/>
              </w:rPr>
              <w:t>Previous hydrochlorofluorocarbon data (ODP-tonnes)</w:t>
            </w:r>
          </w:p>
        </w:tc>
        <w:tc>
          <w:tcPr>
            <w:tcW w:w="3394" w:type="dxa"/>
            <w:gridSpan w:val="3"/>
            <w:tcBorders>
              <w:bottom w:val="single" w:sz="4" w:space="0" w:color="auto"/>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jc w:val="center"/>
              <w:rPr>
                <w:bCs/>
                <w:i/>
                <w:sz w:val="18"/>
                <w:szCs w:val="18"/>
              </w:rPr>
            </w:pPr>
            <w:r w:rsidRPr="004E7D79">
              <w:rPr>
                <w:bCs/>
                <w:i/>
                <w:sz w:val="18"/>
                <w:szCs w:val="18"/>
              </w:rPr>
              <w:t xml:space="preserve">New hydrochlorofluorocarbon data </w:t>
            </w:r>
            <w:r w:rsidRPr="004E7D79">
              <w:rPr>
                <w:bCs/>
                <w:i/>
                <w:sz w:val="18"/>
                <w:szCs w:val="18"/>
              </w:rPr>
              <w:br/>
              <w:t>(ODP-tonnes)</w:t>
            </w:r>
          </w:p>
        </w:tc>
      </w:tr>
      <w:tr w:rsidR="00FB6DBD" w:rsidRPr="004E7D79" w:rsidTr="00FB6DBD">
        <w:tc>
          <w:tcPr>
            <w:tcW w:w="1516" w:type="dxa"/>
            <w:vMerge/>
            <w:tcBorders>
              <w:bottom w:val="single" w:sz="12" w:space="0" w:color="auto"/>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rPr>
                <w:bCs/>
                <w:i/>
                <w:sz w:val="18"/>
                <w:szCs w:val="18"/>
              </w:rPr>
            </w:pPr>
          </w:p>
        </w:tc>
        <w:tc>
          <w:tcPr>
            <w:tcW w:w="1274" w:type="dxa"/>
            <w:tcBorders>
              <w:top w:val="single" w:sz="4" w:space="0" w:color="auto"/>
              <w:bottom w:val="single" w:sz="12" w:space="0" w:color="auto"/>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jc w:val="right"/>
              <w:rPr>
                <w:bCs/>
                <w:i/>
                <w:sz w:val="18"/>
                <w:szCs w:val="18"/>
              </w:rPr>
            </w:pPr>
            <w:r w:rsidRPr="004E7D79">
              <w:rPr>
                <w:bCs/>
                <w:i/>
                <w:sz w:val="18"/>
                <w:szCs w:val="18"/>
              </w:rPr>
              <w:t>2009</w:t>
            </w:r>
          </w:p>
        </w:tc>
        <w:tc>
          <w:tcPr>
            <w:tcW w:w="1136" w:type="dxa"/>
            <w:tcBorders>
              <w:top w:val="single" w:sz="4" w:space="0" w:color="auto"/>
              <w:bottom w:val="single" w:sz="12" w:space="0" w:color="auto"/>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jc w:val="right"/>
              <w:rPr>
                <w:bCs/>
                <w:i/>
                <w:sz w:val="18"/>
                <w:szCs w:val="18"/>
              </w:rPr>
            </w:pPr>
            <w:r w:rsidRPr="004E7D79">
              <w:rPr>
                <w:bCs/>
                <w:i/>
                <w:sz w:val="18"/>
                <w:szCs w:val="18"/>
              </w:rPr>
              <w:t>2010</w:t>
            </w:r>
          </w:p>
        </w:tc>
        <w:tc>
          <w:tcPr>
            <w:tcW w:w="1114" w:type="dxa"/>
            <w:tcBorders>
              <w:top w:val="single" w:sz="4" w:space="0" w:color="auto"/>
              <w:bottom w:val="single" w:sz="12" w:space="0" w:color="auto"/>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jc w:val="right"/>
              <w:rPr>
                <w:bCs/>
                <w:i/>
                <w:sz w:val="18"/>
                <w:szCs w:val="18"/>
              </w:rPr>
            </w:pPr>
            <w:r w:rsidRPr="004E7D79">
              <w:rPr>
                <w:bCs/>
                <w:i/>
                <w:sz w:val="18"/>
                <w:szCs w:val="18"/>
              </w:rPr>
              <w:t>Baseline</w:t>
            </w:r>
            <w:r w:rsidRPr="004E7D79">
              <w:rPr>
                <w:bCs/>
                <w:i/>
                <w:sz w:val="18"/>
                <w:szCs w:val="18"/>
                <w:vertAlign w:val="superscript"/>
              </w:rPr>
              <w:t>a</w:t>
            </w:r>
            <w:r w:rsidRPr="004E7D79">
              <w:rPr>
                <w:bCs/>
                <w:i/>
                <w:sz w:val="18"/>
                <w:szCs w:val="18"/>
              </w:rPr>
              <w:t xml:space="preserve"> </w:t>
            </w:r>
          </w:p>
        </w:tc>
        <w:tc>
          <w:tcPr>
            <w:tcW w:w="990" w:type="dxa"/>
            <w:tcBorders>
              <w:top w:val="single" w:sz="4" w:space="0" w:color="auto"/>
              <w:bottom w:val="single" w:sz="12" w:space="0" w:color="auto"/>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jc w:val="right"/>
              <w:rPr>
                <w:bCs/>
                <w:i/>
                <w:sz w:val="18"/>
                <w:szCs w:val="18"/>
              </w:rPr>
            </w:pPr>
            <w:r w:rsidRPr="004E7D79">
              <w:rPr>
                <w:bCs/>
                <w:i/>
                <w:sz w:val="18"/>
                <w:szCs w:val="18"/>
              </w:rPr>
              <w:t>2009</w:t>
            </w:r>
          </w:p>
        </w:tc>
        <w:tc>
          <w:tcPr>
            <w:tcW w:w="1170" w:type="dxa"/>
            <w:tcBorders>
              <w:top w:val="single" w:sz="4" w:space="0" w:color="auto"/>
              <w:bottom w:val="single" w:sz="12" w:space="0" w:color="auto"/>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jc w:val="right"/>
              <w:rPr>
                <w:bCs/>
                <w:i/>
                <w:sz w:val="18"/>
                <w:szCs w:val="18"/>
              </w:rPr>
            </w:pPr>
            <w:r w:rsidRPr="004E7D79">
              <w:rPr>
                <w:bCs/>
                <w:i/>
                <w:sz w:val="18"/>
                <w:szCs w:val="18"/>
              </w:rPr>
              <w:t>2010</w:t>
            </w:r>
          </w:p>
        </w:tc>
        <w:tc>
          <w:tcPr>
            <w:tcW w:w="1234" w:type="dxa"/>
            <w:tcBorders>
              <w:top w:val="single" w:sz="4" w:space="0" w:color="auto"/>
              <w:bottom w:val="single" w:sz="12" w:space="0" w:color="auto"/>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jc w:val="center"/>
              <w:rPr>
                <w:bCs/>
                <w:i/>
                <w:sz w:val="18"/>
                <w:szCs w:val="18"/>
              </w:rPr>
            </w:pPr>
            <w:r w:rsidRPr="004E7D79">
              <w:rPr>
                <w:bCs/>
                <w:i/>
                <w:sz w:val="18"/>
                <w:szCs w:val="18"/>
              </w:rPr>
              <w:t>Baseline</w:t>
            </w:r>
            <w:r w:rsidRPr="004E7D79">
              <w:rPr>
                <w:bCs/>
                <w:i/>
                <w:sz w:val="18"/>
                <w:szCs w:val="18"/>
                <w:vertAlign w:val="superscript"/>
              </w:rPr>
              <w:t>a</w:t>
            </w:r>
          </w:p>
        </w:tc>
      </w:tr>
      <w:tr w:rsidR="00FB6DBD" w:rsidRPr="004E7D79" w:rsidTr="00FB6DBD">
        <w:tc>
          <w:tcPr>
            <w:tcW w:w="1516" w:type="dxa"/>
            <w:tcBorders>
              <w:top w:val="single" w:sz="12" w:space="0" w:color="auto"/>
              <w:bottom w:val="nil"/>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rPr>
                <w:bCs/>
                <w:sz w:val="18"/>
                <w:szCs w:val="18"/>
              </w:rPr>
            </w:pPr>
            <w:r w:rsidRPr="004E7D79">
              <w:rPr>
                <w:bCs/>
                <w:sz w:val="18"/>
                <w:szCs w:val="18"/>
              </w:rPr>
              <w:t>HCFC-141b</w:t>
            </w:r>
          </w:p>
        </w:tc>
        <w:tc>
          <w:tcPr>
            <w:tcW w:w="1274" w:type="dxa"/>
            <w:tcBorders>
              <w:top w:val="single" w:sz="12" w:space="0" w:color="auto"/>
              <w:bottom w:val="nil"/>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jc w:val="right"/>
              <w:rPr>
                <w:bCs/>
                <w:sz w:val="18"/>
                <w:szCs w:val="18"/>
              </w:rPr>
            </w:pPr>
            <w:r w:rsidRPr="004E7D79">
              <w:rPr>
                <w:bCs/>
                <w:sz w:val="18"/>
                <w:szCs w:val="18"/>
              </w:rPr>
              <w:t>134.2</w:t>
            </w:r>
          </w:p>
        </w:tc>
        <w:tc>
          <w:tcPr>
            <w:tcW w:w="1136" w:type="dxa"/>
            <w:tcBorders>
              <w:top w:val="single" w:sz="12" w:space="0" w:color="auto"/>
              <w:bottom w:val="nil"/>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jc w:val="right"/>
              <w:rPr>
                <w:bCs/>
                <w:sz w:val="18"/>
                <w:szCs w:val="18"/>
              </w:rPr>
            </w:pPr>
            <w:r w:rsidRPr="004E7D79">
              <w:rPr>
                <w:bCs/>
                <w:sz w:val="18"/>
                <w:szCs w:val="18"/>
              </w:rPr>
              <w:t>142.8</w:t>
            </w:r>
          </w:p>
        </w:tc>
        <w:tc>
          <w:tcPr>
            <w:tcW w:w="1114" w:type="dxa"/>
            <w:tcBorders>
              <w:top w:val="single" w:sz="12" w:space="0" w:color="auto"/>
              <w:bottom w:val="nil"/>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jc w:val="right"/>
              <w:rPr>
                <w:bCs/>
                <w:sz w:val="18"/>
                <w:szCs w:val="18"/>
              </w:rPr>
            </w:pPr>
          </w:p>
        </w:tc>
        <w:tc>
          <w:tcPr>
            <w:tcW w:w="990" w:type="dxa"/>
            <w:tcBorders>
              <w:top w:val="single" w:sz="12" w:space="0" w:color="auto"/>
              <w:bottom w:val="nil"/>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jc w:val="right"/>
              <w:rPr>
                <w:bCs/>
                <w:sz w:val="18"/>
                <w:szCs w:val="18"/>
              </w:rPr>
            </w:pPr>
            <w:r w:rsidRPr="004E7D79">
              <w:rPr>
                <w:bCs/>
                <w:sz w:val="18"/>
                <w:szCs w:val="18"/>
              </w:rPr>
              <w:t>134.20</w:t>
            </w:r>
          </w:p>
        </w:tc>
        <w:tc>
          <w:tcPr>
            <w:tcW w:w="1170" w:type="dxa"/>
            <w:tcBorders>
              <w:top w:val="single" w:sz="12" w:space="0" w:color="auto"/>
              <w:bottom w:val="nil"/>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jc w:val="right"/>
              <w:rPr>
                <w:bCs/>
                <w:sz w:val="18"/>
                <w:szCs w:val="18"/>
              </w:rPr>
            </w:pPr>
            <w:r w:rsidRPr="004E7D79">
              <w:rPr>
                <w:bCs/>
                <w:sz w:val="18"/>
                <w:szCs w:val="18"/>
              </w:rPr>
              <w:t>142.80</w:t>
            </w:r>
          </w:p>
        </w:tc>
        <w:tc>
          <w:tcPr>
            <w:tcW w:w="1234" w:type="dxa"/>
            <w:tcBorders>
              <w:top w:val="single" w:sz="12" w:space="0" w:color="auto"/>
              <w:bottom w:val="nil"/>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jc w:val="right"/>
              <w:rPr>
                <w:bCs/>
                <w:sz w:val="18"/>
                <w:szCs w:val="18"/>
              </w:rPr>
            </w:pPr>
          </w:p>
        </w:tc>
      </w:tr>
      <w:tr w:rsidR="00FB6DBD" w:rsidRPr="004E7D79" w:rsidTr="00FB6DBD">
        <w:tc>
          <w:tcPr>
            <w:tcW w:w="1516" w:type="dxa"/>
            <w:tcBorders>
              <w:top w:val="nil"/>
              <w:bottom w:val="nil"/>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rPr>
                <w:bCs/>
                <w:sz w:val="18"/>
                <w:szCs w:val="18"/>
              </w:rPr>
            </w:pPr>
            <w:r w:rsidRPr="004E7D79">
              <w:rPr>
                <w:bCs/>
                <w:sz w:val="18"/>
                <w:szCs w:val="18"/>
              </w:rPr>
              <w:t>HCFC-142b</w:t>
            </w:r>
          </w:p>
        </w:tc>
        <w:tc>
          <w:tcPr>
            <w:tcW w:w="1274" w:type="dxa"/>
            <w:tcBorders>
              <w:top w:val="nil"/>
              <w:bottom w:val="nil"/>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jc w:val="right"/>
              <w:rPr>
                <w:bCs/>
                <w:sz w:val="18"/>
                <w:szCs w:val="18"/>
              </w:rPr>
            </w:pPr>
            <w:r w:rsidRPr="004E7D79">
              <w:rPr>
                <w:bCs/>
                <w:sz w:val="18"/>
                <w:szCs w:val="18"/>
              </w:rPr>
              <w:sym w:font="Symbol" w:char="F02D"/>
            </w:r>
          </w:p>
        </w:tc>
        <w:tc>
          <w:tcPr>
            <w:tcW w:w="1136" w:type="dxa"/>
            <w:tcBorders>
              <w:top w:val="nil"/>
              <w:bottom w:val="nil"/>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jc w:val="right"/>
              <w:rPr>
                <w:bCs/>
                <w:sz w:val="18"/>
                <w:szCs w:val="18"/>
              </w:rPr>
            </w:pPr>
            <w:r w:rsidRPr="004E7D79">
              <w:rPr>
                <w:bCs/>
                <w:sz w:val="18"/>
                <w:szCs w:val="18"/>
              </w:rPr>
              <w:sym w:font="Symbol" w:char="F02D"/>
            </w:r>
          </w:p>
        </w:tc>
        <w:tc>
          <w:tcPr>
            <w:tcW w:w="1114" w:type="dxa"/>
            <w:tcBorders>
              <w:top w:val="nil"/>
              <w:bottom w:val="nil"/>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jc w:val="right"/>
              <w:rPr>
                <w:bCs/>
                <w:sz w:val="18"/>
                <w:szCs w:val="18"/>
              </w:rPr>
            </w:pPr>
          </w:p>
        </w:tc>
        <w:tc>
          <w:tcPr>
            <w:tcW w:w="990" w:type="dxa"/>
            <w:tcBorders>
              <w:top w:val="nil"/>
              <w:bottom w:val="nil"/>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jc w:val="right"/>
              <w:rPr>
                <w:bCs/>
                <w:sz w:val="18"/>
                <w:szCs w:val="18"/>
              </w:rPr>
            </w:pPr>
            <w:r w:rsidRPr="004E7D79">
              <w:rPr>
                <w:bCs/>
                <w:sz w:val="18"/>
                <w:szCs w:val="18"/>
              </w:rPr>
              <w:t>4.62</w:t>
            </w:r>
          </w:p>
        </w:tc>
        <w:tc>
          <w:tcPr>
            <w:tcW w:w="1170" w:type="dxa"/>
            <w:tcBorders>
              <w:top w:val="nil"/>
              <w:bottom w:val="nil"/>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jc w:val="right"/>
              <w:rPr>
                <w:bCs/>
                <w:sz w:val="18"/>
                <w:szCs w:val="18"/>
              </w:rPr>
            </w:pPr>
            <w:r w:rsidRPr="004E7D79">
              <w:rPr>
                <w:bCs/>
                <w:sz w:val="18"/>
                <w:szCs w:val="18"/>
              </w:rPr>
              <w:t>4.68</w:t>
            </w:r>
          </w:p>
        </w:tc>
        <w:tc>
          <w:tcPr>
            <w:tcW w:w="1234" w:type="dxa"/>
            <w:tcBorders>
              <w:top w:val="nil"/>
              <w:bottom w:val="nil"/>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jc w:val="right"/>
              <w:rPr>
                <w:bCs/>
                <w:sz w:val="18"/>
                <w:szCs w:val="18"/>
              </w:rPr>
            </w:pPr>
          </w:p>
        </w:tc>
      </w:tr>
      <w:tr w:rsidR="00FB6DBD" w:rsidRPr="004E7D79" w:rsidTr="00FB6DBD">
        <w:tc>
          <w:tcPr>
            <w:tcW w:w="1516" w:type="dxa"/>
            <w:tcBorders>
              <w:top w:val="nil"/>
              <w:bottom w:val="single" w:sz="4" w:space="0" w:color="auto"/>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rPr>
                <w:bCs/>
                <w:sz w:val="18"/>
                <w:szCs w:val="18"/>
              </w:rPr>
            </w:pPr>
            <w:r w:rsidRPr="004E7D79">
              <w:rPr>
                <w:bCs/>
                <w:sz w:val="18"/>
                <w:szCs w:val="18"/>
              </w:rPr>
              <w:t>HCFC-22</w:t>
            </w:r>
          </w:p>
        </w:tc>
        <w:tc>
          <w:tcPr>
            <w:tcW w:w="1274" w:type="dxa"/>
            <w:tcBorders>
              <w:top w:val="nil"/>
              <w:bottom w:val="single" w:sz="4" w:space="0" w:color="auto"/>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jc w:val="right"/>
              <w:rPr>
                <w:bCs/>
                <w:sz w:val="18"/>
                <w:szCs w:val="18"/>
              </w:rPr>
            </w:pPr>
            <w:r w:rsidRPr="004E7D79">
              <w:rPr>
                <w:bCs/>
                <w:sz w:val="18"/>
                <w:szCs w:val="18"/>
              </w:rPr>
              <w:t>105.6</w:t>
            </w:r>
          </w:p>
        </w:tc>
        <w:tc>
          <w:tcPr>
            <w:tcW w:w="1136" w:type="dxa"/>
            <w:tcBorders>
              <w:top w:val="nil"/>
              <w:bottom w:val="single" w:sz="4" w:space="0" w:color="auto"/>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jc w:val="right"/>
              <w:rPr>
                <w:bCs/>
                <w:sz w:val="18"/>
                <w:szCs w:val="18"/>
              </w:rPr>
            </w:pPr>
            <w:r w:rsidRPr="004E7D79">
              <w:rPr>
                <w:bCs/>
                <w:sz w:val="18"/>
                <w:szCs w:val="18"/>
              </w:rPr>
              <w:t>112.2</w:t>
            </w:r>
          </w:p>
        </w:tc>
        <w:tc>
          <w:tcPr>
            <w:tcW w:w="1114" w:type="dxa"/>
            <w:tcBorders>
              <w:top w:val="nil"/>
              <w:bottom w:val="single" w:sz="4" w:space="0" w:color="auto"/>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jc w:val="right"/>
              <w:rPr>
                <w:bCs/>
                <w:sz w:val="18"/>
                <w:szCs w:val="18"/>
              </w:rPr>
            </w:pPr>
          </w:p>
        </w:tc>
        <w:tc>
          <w:tcPr>
            <w:tcW w:w="990" w:type="dxa"/>
            <w:tcBorders>
              <w:top w:val="nil"/>
              <w:bottom w:val="single" w:sz="4" w:space="0" w:color="auto"/>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jc w:val="right"/>
              <w:rPr>
                <w:bCs/>
                <w:sz w:val="18"/>
                <w:szCs w:val="18"/>
              </w:rPr>
            </w:pPr>
            <w:r w:rsidRPr="004E7D79">
              <w:rPr>
                <w:bCs/>
                <w:sz w:val="18"/>
                <w:szCs w:val="18"/>
              </w:rPr>
              <w:t>101.69</w:t>
            </w:r>
          </w:p>
        </w:tc>
        <w:tc>
          <w:tcPr>
            <w:tcW w:w="1170" w:type="dxa"/>
            <w:tcBorders>
              <w:top w:val="nil"/>
              <w:bottom w:val="single" w:sz="4" w:space="0" w:color="auto"/>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jc w:val="right"/>
              <w:rPr>
                <w:bCs/>
                <w:sz w:val="18"/>
                <w:szCs w:val="18"/>
              </w:rPr>
            </w:pPr>
            <w:r w:rsidRPr="004E7D79">
              <w:rPr>
                <w:bCs/>
                <w:sz w:val="18"/>
                <w:szCs w:val="18"/>
              </w:rPr>
              <w:t>108.22</w:t>
            </w:r>
          </w:p>
        </w:tc>
        <w:tc>
          <w:tcPr>
            <w:tcW w:w="1234" w:type="dxa"/>
            <w:tcBorders>
              <w:top w:val="nil"/>
              <w:bottom w:val="single" w:sz="4" w:space="0" w:color="auto"/>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jc w:val="right"/>
              <w:rPr>
                <w:bCs/>
                <w:sz w:val="18"/>
                <w:szCs w:val="18"/>
              </w:rPr>
            </w:pPr>
          </w:p>
        </w:tc>
      </w:tr>
      <w:tr w:rsidR="00FB6DBD" w:rsidRPr="004E7D79" w:rsidTr="00FB6DBD">
        <w:tc>
          <w:tcPr>
            <w:tcW w:w="1516" w:type="dxa"/>
            <w:tcBorders>
              <w:top w:val="single" w:sz="4" w:space="0" w:color="auto"/>
              <w:bottom w:val="single" w:sz="12" w:space="0" w:color="auto"/>
            </w:tcBorders>
            <w:shd w:val="clear" w:color="auto" w:fill="auto"/>
            <w:vAlign w:val="bottom"/>
          </w:tcPr>
          <w:p w:rsidR="00FB6DBD" w:rsidRPr="004E7D79" w:rsidRDefault="00FB6DBD" w:rsidP="004E7D79">
            <w:pPr>
              <w:keepNext/>
              <w:keepLines/>
              <w:tabs>
                <w:tab w:val="left" w:pos="624"/>
                <w:tab w:val="left" w:pos="1871"/>
                <w:tab w:val="left" w:pos="2495"/>
                <w:tab w:val="left" w:pos="3119"/>
              </w:tabs>
              <w:spacing w:before="40" w:after="40"/>
              <w:jc w:val="right"/>
              <w:rPr>
                <w:b/>
                <w:bCs/>
                <w:sz w:val="18"/>
                <w:szCs w:val="18"/>
              </w:rPr>
            </w:pPr>
            <w:r w:rsidRPr="004E7D79">
              <w:rPr>
                <w:b/>
                <w:bCs/>
                <w:sz w:val="18"/>
                <w:szCs w:val="18"/>
              </w:rPr>
              <w:t>Total</w:t>
            </w:r>
          </w:p>
        </w:tc>
        <w:tc>
          <w:tcPr>
            <w:tcW w:w="1274" w:type="dxa"/>
            <w:tcBorders>
              <w:top w:val="single" w:sz="4" w:space="0" w:color="auto"/>
              <w:bottom w:val="single" w:sz="12" w:space="0" w:color="auto"/>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jc w:val="right"/>
              <w:rPr>
                <w:b/>
                <w:bCs/>
                <w:sz w:val="18"/>
                <w:szCs w:val="18"/>
              </w:rPr>
            </w:pPr>
            <w:r w:rsidRPr="004E7D79">
              <w:rPr>
                <w:b/>
                <w:bCs/>
                <w:sz w:val="18"/>
                <w:szCs w:val="18"/>
              </w:rPr>
              <w:t>239.8</w:t>
            </w:r>
          </w:p>
        </w:tc>
        <w:tc>
          <w:tcPr>
            <w:tcW w:w="1136" w:type="dxa"/>
            <w:tcBorders>
              <w:top w:val="single" w:sz="4" w:space="0" w:color="auto"/>
              <w:bottom w:val="single" w:sz="12" w:space="0" w:color="auto"/>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jc w:val="right"/>
              <w:rPr>
                <w:b/>
                <w:bCs/>
                <w:sz w:val="18"/>
                <w:szCs w:val="18"/>
              </w:rPr>
            </w:pPr>
            <w:r w:rsidRPr="004E7D79">
              <w:rPr>
                <w:b/>
                <w:bCs/>
                <w:sz w:val="18"/>
                <w:szCs w:val="18"/>
              </w:rPr>
              <w:t>255.0</w:t>
            </w:r>
          </w:p>
        </w:tc>
        <w:tc>
          <w:tcPr>
            <w:tcW w:w="1114" w:type="dxa"/>
            <w:tcBorders>
              <w:top w:val="single" w:sz="4" w:space="0" w:color="auto"/>
              <w:bottom w:val="single" w:sz="12" w:space="0" w:color="auto"/>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jc w:val="right"/>
              <w:rPr>
                <w:b/>
                <w:bCs/>
                <w:sz w:val="18"/>
                <w:szCs w:val="18"/>
              </w:rPr>
            </w:pPr>
            <w:r w:rsidRPr="004E7D79">
              <w:rPr>
                <w:b/>
                <w:bCs/>
                <w:sz w:val="18"/>
                <w:szCs w:val="18"/>
              </w:rPr>
              <w:t>247.4</w:t>
            </w:r>
          </w:p>
        </w:tc>
        <w:tc>
          <w:tcPr>
            <w:tcW w:w="990" w:type="dxa"/>
            <w:tcBorders>
              <w:top w:val="single" w:sz="4" w:space="0" w:color="auto"/>
              <w:bottom w:val="single" w:sz="12" w:space="0" w:color="auto"/>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jc w:val="right"/>
              <w:rPr>
                <w:b/>
                <w:bCs/>
                <w:sz w:val="18"/>
                <w:szCs w:val="18"/>
              </w:rPr>
            </w:pPr>
            <w:r w:rsidRPr="004E7D79">
              <w:rPr>
                <w:b/>
                <w:bCs/>
                <w:sz w:val="18"/>
                <w:szCs w:val="18"/>
              </w:rPr>
              <w:t>240.51</w:t>
            </w:r>
          </w:p>
        </w:tc>
        <w:tc>
          <w:tcPr>
            <w:tcW w:w="1170" w:type="dxa"/>
            <w:tcBorders>
              <w:top w:val="single" w:sz="4" w:space="0" w:color="auto"/>
              <w:bottom w:val="single" w:sz="12" w:space="0" w:color="auto"/>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jc w:val="right"/>
              <w:rPr>
                <w:b/>
                <w:bCs/>
                <w:sz w:val="18"/>
                <w:szCs w:val="18"/>
              </w:rPr>
            </w:pPr>
            <w:r w:rsidRPr="004E7D79">
              <w:rPr>
                <w:b/>
                <w:bCs/>
                <w:sz w:val="18"/>
                <w:szCs w:val="18"/>
              </w:rPr>
              <w:t>255.70</w:t>
            </w:r>
          </w:p>
        </w:tc>
        <w:tc>
          <w:tcPr>
            <w:tcW w:w="1234" w:type="dxa"/>
            <w:tcBorders>
              <w:top w:val="single" w:sz="4" w:space="0" w:color="auto"/>
              <w:bottom w:val="single" w:sz="12" w:space="0" w:color="auto"/>
            </w:tcBorders>
            <w:shd w:val="clear" w:color="auto" w:fill="auto"/>
            <w:vAlign w:val="bottom"/>
          </w:tcPr>
          <w:p w:rsidR="00FB6DBD" w:rsidRPr="004E7D79" w:rsidRDefault="00FB6DBD" w:rsidP="00FB6DBD">
            <w:pPr>
              <w:keepNext/>
              <w:keepLines/>
              <w:tabs>
                <w:tab w:val="left" w:pos="624"/>
                <w:tab w:val="left" w:pos="1871"/>
                <w:tab w:val="left" w:pos="2495"/>
                <w:tab w:val="left" w:pos="3119"/>
              </w:tabs>
              <w:spacing w:before="40" w:after="40"/>
              <w:jc w:val="right"/>
              <w:rPr>
                <w:b/>
                <w:bCs/>
                <w:sz w:val="18"/>
                <w:szCs w:val="18"/>
              </w:rPr>
            </w:pPr>
            <w:r w:rsidRPr="004E7D79">
              <w:rPr>
                <w:b/>
                <w:bCs/>
                <w:sz w:val="18"/>
                <w:szCs w:val="18"/>
              </w:rPr>
              <w:t>248.11</w:t>
            </w:r>
          </w:p>
        </w:tc>
      </w:tr>
    </w:tbl>
    <w:p w:rsidR="00FB6DBD" w:rsidRPr="00AE3443" w:rsidRDefault="00FB6DBD" w:rsidP="00FB6DBD">
      <w:pPr>
        <w:keepNext/>
        <w:keepLines/>
        <w:tabs>
          <w:tab w:val="left" w:pos="624"/>
          <w:tab w:val="left" w:pos="1871"/>
          <w:tab w:val="left" w:pos="2495"/>
          <w:tab w:val="left" w:pos="3119"/>
          <w:tab w:val="left" w:pos="4082"/>
        </w:tabs>
        <w:spacing w:before="20" w:after="40"/>
        <w:ind w:left="1247"/>
        <w:rPr>
          <w:bCs/>
          <w:color w:val="000000"/>
          <w:sz w:val="17"/>
          <w:szCs w:val="17"/>
          <w:lang w:val="en-US"/>
        </w:rPr>
      </w:pPr>
      <w:r w:rsidRPr="00AD7034">
        <w:rPr>
          <w:bCs/>
          <w:color w:val="000000"/>
          <w:sz w:val="17"/>
          <w:szCs w:val="17"/>
          <w:vertAlign w:val="superscript"/>
          <w:lang w:val="en-US"/>
        </w:rPr>
        <w:t>a</w:t>
      </w:r>
      <w:r w:rsidRPr="00AD7034">
        <w:rPr>
          <w:bCs/>
          <w:color w:val="000000"/>
          <w:sz w:val="17"/>
          <w:szCs w:val="17"/>
          <w:lang w:val="en-US"/>
        </w:rPr>
        <w:t xml:space="preserve"> Hydrochlorofluorocarbon baselines established after the Twenty-Third Meeting of the Parties are presented using two decimal places whereas those established before are presented using one decimal place (see decision XXIII/30).</w:t>
      </w:r>
    </w:p>
    <w:p w:rsidR="00FB6DBD" w:rsidRPr="00DE5575" w:rsidRDefault="00FB6DBD" w:rsidP="004E7D79">
      <w:pPr>
        <w:pStyle w:val="CH2"/>
        <w:keepNext w:val="0"/>
        <w:keepLines w:val="0"/>
        <w:spacing w:before="240"/>
        <w:outlineLvl w:val="0"/>
      </w:pPr>
      <w:r>
        <w:tab/>
      </w:r>
      <w:r>
        <w:tab/>
        <w:t>Decision XXIX/17</w:t>
      </w:r>
      <w:r w:rsidRPr="00DE5575">
        <w:t>: Request for the revision of baseline data by the Philippines</w:t>
      </w:r>
    </w:p>
    <w:p w:rsidR="00FB6DBD" w:rsidRPr="00B554CD"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B554CD">
        <w:rPr>
          <w:i/>
        </w:rPr>
        <w:t>Noting</w:t>
      </w:r>
      <w:r w:rsidRPr="00B554CD">
        <w:t xml:space="preserve"> that, in decision XIII/15, the Thirteenth Meeting of the Parties decided to advise parties request</w:t>
      </w:r>
      <w:r>
        <w:t>ing</w:t>
      </w:r>
      <w:r w:rsidRPr="00B554CD">
        <w:t xml:space="preserve"> changes in reported baseline data for the base years to present their requests before the Implementation Committee under the Non-Compliance Procedure for the Montreal Protocol, which in turn would work with the Secretariat and the Executive Committee of the Multilateral Fund for the Implementation of the Montreal Protocol to confirm the justification for the changes and present them to the Meeting of the Parties for approval,</w:t>
      </w:r>
    </w:p>
    <w:p w:rsidR="00FB6DBD" w:rsidRPr="009F24F2"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9F24F2">
        <w:rPr>
          <w:i/>
        </w:rPr>
        <w:t>Noting also</w:t>
      </w:r>
      <w:r w:rsidRPr="009F24F2">
        <w:t xml:space="preserve"> that decision XV/19 sets out the methodology for the submission of such requests,</w:t>
      </w:r>
    </w:p>
    <w:p w:rsidR="00FB6DBD" w:rsidRPr="009F24F2"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9F24F2">
        <w:t>1.</w:t>
      </w:r>
      <w:r w:rsidRPr="009F24F2">
        <w:tab/>
      </w:r>
      <w:r>
        <w:t>T</w:t>
      </w:r>
      <w:r w:rsidRPr="009F24F2">
        <w:t>hat the Philippines has presented sufficient information, in accordance with decision XV/19, to justify its request for the revision of its consumption data for hydrochlorofluorocarbons for both 2009 and 2010, which are part of the baseline for parties operating under paragraph 1 of Article 5;</w:t>
      </w:r>
    </w:p>
    <w:p w:rsidR="00FB6DBD" w:rsidRDefault="00FB6DBD" w:rsidP="00CD35BB">
      <w:pPr>
        <w:pStyle w:val="Normalpool"/>
        <w:tabs>
          <w:tab w:val="clear" w:pos="1253"/>
          <w:tab w:val="clear" w:pos="1814"/>
          <w:tab w:val="clear" w:pos="2376"/>
          <w:tab w:val="clear" w:pos="2952"/>
          <w:tab w:val="clear" w:pos="3514"/>
          <w:tab w:val="left" w:pos="624"/>
        </w:tabs>
        <w:spacing w:after="120"/>
        <w:ind w:left="1253" w:firstLine="619"/>
      </w:pPr>
      <w:proofErr w:type="gramStart"/>
      <w:r w:rsidRPr="009F24F2">
        <w:t>2.</w:t>
      </w:r>
      <w:r w:rsidRPr="009F24F2">
        <w:tab/>
      </w:r>
      <w:r w:rsidRPr="00DB616B">
        <w:t xml:space="preserve">To </w:t>
      </w:r>
      <w:r w:rsidRPr="00736B78">
        <w:t>approve</w:t>
      </w:r>
      <w:r w:rsidRPr="009F24F2">
        <w:t xml:space="preserve"> the request by the Philippines</w:t>
      </w:r>
      <w:r>
        <w:t>,</w:t>
      </w:r>
      <w:r w:rsidRPr="009F24F2">
        <w:t xml:space="preserve"> and </w:t>
      </w:r>
      <w:r>
        <w:t xml:space="preserve">to </w:t>
      </w:r>
      <w:r w:rsidRPr="009F24F2">
        <w:t>revise its consumption data for hydrochlorofluorocarbons for the baseline years 2009 and 2010</w:t>
      </w:r>
      <w:r>
        <w:t>,</w:t>
      </w:r>
      <w:r w:rsidRPr="009F24F2">
        <w:t xml:space="preserve"> as</w:t>
      </w:r>
      <w:proofErr w:type="gramEnd"/>
      <w:r w:rsidRPr="009F24F2">
        <w:t xml:space="preserve"> indicated in the following table:</w:t>
      </w:r>
    </w:p>
    <w:tbl>
      <w:tblPr>
        <w:tblW w:w="8363" w:type="dxa"/>
        <w:tblInd w:w="1384" w:type="dxa"/>
        <w:tblLayout w:type="fixed"/>
        <w:tblLook w:val="04A0" w:firstRow="1" w:lastRow="0" w:firstColumn="1" w:lastColumn="0" w:noHBand="0" w:noVBand="1"/>
      </w:tblPr>
      <w:tblGrid>
        <w:gridCol w:w="1134"/>
        <w:gridCol w:w="1134"/>
        <w:gridCol w:w="1134"/>
        <w:gridCol w:w="1134"/>
        <w:gridCol w:w="1134"/>
        <w:gridCol w:w="1134"/>
        <w:gridCol w:w="1559"/>
      </w:tblGrid>
      <w:tr w:rsidR="00FB6DBD" w:rsidRPr="009F24F2" w:rsidTr="00FB6DBD">
        <w:tc>
          <w:tcPr>
            <w:tcW w:w="1134" w:type="dxa"/>
            <w:vMerge w:val="restart"/>
            <w:tcBorders>
              <w:top w:val="single" w:sz="4" w:space="0" w:color="auto"/>
              <w:bottom w:val="single" w:sz="12" w:space="0" w:color="auto"/>
            </w:tcBorders>
            <w:shd w:val="clear" w:color="auto" w:fill="auto"/>
            <w:vAlign w:val="bottom"/>
          </w:tcPr>
          <w:p w:rsidR="00FB6DBD" w:rsidRPr="004E7D79" w:rsidRDefault="00FB6DBD" w:rsidP="00CD35BB">
            <w:pPr>
              <w:keepNext/>
              <w:keepLines/>
              <w:tabs>
                <w:tab w:val="left" w:pos="624"/>
                <w:tab w:val="left" w:pos="1871"/>
                <w:tab w:val="left" w:pos="2495"/>
                <w:tab w:val="left" w:pos="3119"/>
                <w:tab w:val="left" w:pos="4082"/>
              </w:tabs>
              <w:spacing w:before="40" w:after="40"/>
              <w:rPr>
                <w:bCs/>
                <w:i/>
                <w:sz w:val="18"/>
                <w:szCs w:val="18"/>
              </w:rPr>
            </w:pPr>
          </w:p>
        </w:tc>
        <w:tc>
          <w:tcPr>
            <w:tcW w:w="3402" w:type="dxa"/>
            <w:gridSpan w:val="3"/>
            <w:tcBorders>
              <w:top w:val="single" w:sz="4" w:space="0" w:color="auto"/>
              <w:bottom w:val="single" w:sz="4" w:space="0" w:color="auto"/>
            </w:tcBorders>
            <w:shd w:val="clear" w:color="auto" w:fill="auto"/>
            <w:vAlign w:val="bottom"/>
          </w:tcPr>
          <w:p w:rsidR="00FB6DBD" w:rsidRPr="004E7D79" w:rsidRDefault="00FB6DBD" w:rsidP="00CD35BB">
            <w:pPr>
              <w:keepNext/>
              <w:keepLines/>
              <w:tabs>
                <w:tab w:val="left" w:pos="624"/>
                <w:tab w:val="left" w:pos="1871"/>
                <w:tab w:val="left" w:pos="2495"/>
                <w:tab w:val="left" w:pos="3119"/>
                <w:tab w:val="left" w:pos="4082"/>
              </w:tabs>
              <w:spacing w:before="40" w:after="40"/>
              <w:jc w:val="center"/>
              <w:rPr>
                <w:bCs/>
                <w:i/>
                <w:sz w:val="18"/>
                <w:szCs w:val="18"/>
              </w:rPr>
            </w:pPr>
            <w:r w:rsidRPr="004E7D79">
              <w:rPr>
                <w:bCs/>
                <w:i/>
                <w:sz w:val="18"/>
                <w:szCs w:val="18"/>
              </w:rPr>
              <w:t>Previous hydrochlorofluorocarbon data</w:t>
            </w:r>
            <w:r w:rsidRPr="004E7D79">
              <w:rPr>
                <w:bCs/>
                <w:i/>
                <w:sz w:val="18"/>
                <w:szCs w:val="18"/>
              </w:rPr>
              <w:br/>
              <w:t>(ODP-tonnes)</w:t>
            </w:r>
          </w:p>
        </w:tc>
        <w:tc>
          <w:tcPr>
            <w:tcW w:w="3827" w:type="dxa"/>
            <w:gridSpan w:val="3"/>
            <w:tcBorders>
              <w:top w:val="single" w:sz="4" w:space="0" w:color="auto"/>
              <w:bottom w:val="single" w:sz="4" w:space="0" w:color="auto"/>
            </w:tcBorders>
            <w:shd w:val="clear" w:color="auto" w:fill="auto"/>
            <w:vAlign w:val="bottom"/>
          </w:tcPr>
          <w:p w:rsidR="00FB6DBD" w:rsidRPr="004E7D79" w:rsidRDefault="00FB6DBD" w:rsidP="00CD35BB">
            <w:pPr>
              <w:keepNext/>
              <w:keepLines/>
              <w:tabs>
                <w:tab w:val="left" w:pos="624"/>
                <w:tab w:val="left" w:pos="1871"/>
                <w:tab w:val="left" w:pos="2495"/>
                <w:tab w:val="left" w:pos="3119"/>
                <w:tab w:val="left" w:pos="4082"/>
              </w:tabs>
              <w:spacing w:before="40" w:after="40"/>
              <w:jc w:val="center"/>
              <w:rPr>
                <w:bCs/>
                <w:i/>
                <w:sz w:val="18"/>
                <w:szCs w:val="18"/>
              </w:rPr>
            </w:pPr>
            <w:r w:rsidRPr="004E7D79">
              <w:rPr>
                <w:bCs/>
                <w:i/>
                <w:sz w:val="18"/>
                <w:szCs w:val="18"/>
              </w:rPr>
              <w:t>New hydrochlorofluorocarbon data</w:t>
            </w:r>
            <w:r w:rsidRPr="004E7D79">
              <w:rPr>
                <w:bCs/>
                <w:i/>
                <w:sz w:val="18"/>
                <w:szCs w:val="18"/>
              </w:rPr>
              <w:br/>
              <w:t>(ODP-tonnes)</w:t>
            </w:r>
          </w:p>
        </w:tc>
      </w:tr>
      <w:tr w:rsidR="00FB6DBD" w:rsidRPr="009F24F2" w:rsidTr="00FB6DBD">
        <w:tc>
          <w:tcPr>
            <w:tcW w:w="1134" w:type="dxa"/>
            <w:vMerge/>
            <w:tcBorders>
              <w:bottom w:val="single" w:sz="12" w:space="0" w:color="auto"/>
            </w:tcBorders>
            <w:shd w:val="clear" w:color="auto" w:fill="auto"/>
            <w:vAlign w:val="bottom"/>
          </w:tcPr>
          <w:p w:rsidR="00FB6DBD" w:rsidRPr="004E7D79" w:rsidRDefault="00FB6DBD" w:rsidP="00CD35BB">
            <w:pPr>
              <w:keepNext/>
              <w:keepLines/>
              <w:tabs>
                <w:tab w:val="left" w:pos="624"/>
                <w:tab w:val="left" w:pos="1871"/>
                <w:tab w:val="left" w:pos="2495"/>
                <w:tab w:val="left" w:pos="3119"/>
                <w:tab w:val="left" w:pos="4082"/>
              </w:tabs>
              <w:spacing w:before="40" w:after="40"/>
              <w:rPr>
                <w:bCs/>
                <w:sz w:val="18"/>
                <w:szCs w:val="18"/>
              </w:rPr>
            </w:pPr>
          </w:p>
        </w:tc>
        <w:tc>
          <w:tcPr>
            <w:tcW w:w="1134" w:type="dxa"/>
            <w:tcBorders>
              <w:top w:val="single" w:sz="4" w:space="0" w:color="auto"/>
              <w:bottom w:val="single" w:sz="12" w:space="0" w:color="auto"/>
            </w:tcBorders>
            <w:shd w:val="clear" w:color="auto" w:fill="auto"/>
            <w:vAlign w:val="bottom"/>
          </w:tcPr>
          <w:p w:rsidR="00FB6DBD" w:rsidRPr="004E7D79" w:rsidRDefault="00FB6DBD" w:rsidP="00CD35BB">
            <w:pPr>
              <w:keepNext/>
              <w:keepLines/>
              <w:tabs>
                <w:tab w:val="left" w:pos="624"/>
                <w:tab w:val="left" w:pos="1871"/>
                <w:tab w:val="left" w:pos="2495"/>
                <w:tab w:val="left" w:pos="3119"/>
                <w:tab w:val="left" w:pos="4082"/>
              </w:tabs>
              <w:spacing w:before="40" w:after="40"/>
              <w:jc w:val="right"/>
              <w:rPr>
                <w:bCs/>
                <w:i/>
                <w:sz w:val="18"/>
                <w:szCs w:val="18"/>
              </w:rPr>
            </w:pPr>
            <w:r w:rsidRPr="004E7D79">
              <w:rPr>
                <w:bCs/>
                <w:i/>
                <w:sz w:val="18"/>
                <w:szCs w:val="18"/>
              </w:rPr>
              <w:t>2009</w:t>
            </w:r>
          </w:p>
        </w:tc>
        <w:tc>
          <w:tcPr>
            <w:tcW w:w="1134" w:type="dxa"/>
            <w:tcBorders>
              <w:top w:val="single" w:sz="4" w:space="0" w:color="auto"/>
              <w:bottom w:val="single" w:sz="12" w:space="0" w:color="auto"/>
            </w:tcBorders>
            <w:shd w:val="clear" w:color="auto" w:fill="auto"/>
            <w:vAlign w:val="bottom"/>
          </w:tcPr>
          <w:p w:rsidR="00FB6DBD" w:rsidRPr="004E7D79" w:rsidRDefault="00FB6DBD" w:rsidP="00CD35BB">
            <w:pPr>
              <w:keepNext/>
              <w:keepLines/>
              <w:tabs>
                <w:tab w:val="left" w:pos="624"/>
                <w:tab w:val="left" w:pos="1871"/>
                <w:tab w:val="left" w:pos="2495"/>
                <w:tab w:val="left" w:pos="3119"/>
                <w:tab w:val="left" w:pos="4082"/>
              </w:tabs>
              <w:spacing w:before="40" w:after="40"/>
              <w:jc w:val="right"/>
              <w:rPr>
                <w:bCs/>
                <w:i/>
                <w:sz w:val="18"/>
                <w:szCs w:val="18"/>
              </w:rPr>
            </w:pPr>
            <w:r w:rsidRPr="004E7D79">
              <w:rPr>
                <w:bCs/>
                <w:i/>
                <w:sz w:val="18"/>
                <w:szCs w:val="18"/>
              </w:rPr>
              <w:t>2010</w:t>
            </w:r>
          </w:p>
        </w:tc>
        <w:tc>
          <w:tcPr>
            <w:tcW w:w="1134" w:type="dxa"/>
            <w:tcBorders>
              <w:top w:val="single" w:sz="4" w:space="0" w:color="auto"/>
              <w:bottom w:val="single" w:sz="12" w:space="0" w:color="auto"/>
            </w:tcBorders>
            <w:shd w:val="clear" w:color="auto" w:fill="auto"/>
            <w:vAlign w:val="bottom"/>
          </w:tcPr>
          <w:p w:rsidR="00FB6DBD" w:rsidRPr="004E7D79" w:rsidRDefault="00FB6DBD" w:rsidP="00CD35BB">
            <w:pPr>
              <w:keepNext/>
              <w:keepLines/>
              <w:tabs>
                <w:tab w:val="left" w:pos="624"/>
                <w:tab w:val="left" w:pos="1871"/>
                <w:tab w:val="left" w:pos="2495"/>
                <w:tab w:val="left" w:pos="3119"/>
                <w:tab w:val="left" w:pos="4082"/>
              </w:tabs>
              <w:spacing w:before="40" w:after="40"/>
              <w:jc w:val="right"/>
              <w:rPr>
                <w:bCs/>
                <w:i/>
                <w:sz w:val="18"/>
                <w:szCs w:val="18"/>
              </w:rPr>
            </w:pPr>
            <w:r w:rsidRPr="004E7D79">
              <w:rPr>
                <w:bCs/>
                <w:i/>
                <w:sz w:val="18"/>
                <w:szCs w:val="18"/>
              </w:rPr>
              <w:t>Baseline</w:t>
            </w:r>
            <w:r w:rsidRPr="004E7D79">
              <w:rPr>
                <w:bCs/>
                <w:i/>
                <w:sz w:val="18"/>
                <w:szCs w:val="18"/>
                <w:vertAlign w:val="superscript"/>
              </w:rPr>
              <w:t>a</w:t>
            </w:r>
          </w:p>
        </w:tc>
        <w:tc>
          <w:tcPr>
            <w:tcW w:w="1134" w:type="dxa"/>
            <w:tcBorders>
              <w:top w:val="single" w:sz="4" w:space="0" w:color="auto"/>
              <w:bottom w:val="single" w:sz="12" w:space="0" w:color="auto"/>
            </w:tcBorders>
            <w:shd w:val="clear" w:color="auto" w:fill="auto"/>
            <w:vAlign w:val="bottom"/>
          </w:tcPr>
          <w:p w:rsidR="00FB6DBD" w:rsidRPr="004E7D79" w:rsidRDefault="00FB6DBD" w:rsidP="00CD35BB">
            <w:pPr>
              <w:keepNext/>
              <w:keepLines/>
              <w:tabs>
                <w:tab w:val="left" w:pos="624"/>
                <w:tab w:val="left" w:pos="1871"/>
                <w:tab w:val="left" w:pos="2495"/>
                <w:tab w:val="left" w:pos="3119"/>
                <w:tab w:val="left" w:pos="4082"/>
              </w:tabs>
              <w:spacing w:before="40" w:after="40"/>
              <w:jc w:val="right"/>
              <w:rPr>
                <w:bCs/>
                <w:i/>
                <w:sz w:val="18"/>
                <w:szCs w:val="18"/>
              </w:rPr>
            </w:pPr>
            <w:r w:rsidRPr="004E7D79">
              <w:rPr>
                <w:bCs/>
                <w:i/>
                <w:sz w:val="18"/>
                <w:szCs w:val="18"/>
              </w:rPr>
              <w:t>2009</w:t>
            </w:r>
          </w:p>
        </w:tc>
        <w:tc>
          <w:tcPr>
            <w:tcW w:w="1134" w:type="dxa"/>
            <w:tcBorders>
              <w:top w:val="single" w:sz="4" w:space="0" w:color="auto"/>
              <w:bottom w:val="single" w:sz="12" w:space="0" w:color="auto"/>
            </w:tcBorders>
            <w:shd w:val="clear" w:color="auto" w:fill="auto"/>
            <w:vAlign w:val="bottom"/>
          </w:tcPr>
          <w:p w:rsidR="00FB6DBD" w:rsidRPr="004E7D79" w:rsidRDefault="00FB6DBD" w:rsidP="00CD35BB">
            <w:pPr>
              <w:keepNext/>
              <w:keepLines/>
              <w:tabs>
                <w:tab w:val="left" w:pos="624"/>
                <w:tab w:val="left" w:pos="1871"/>
                <w:tab w:val="left" w:pos="2495"/>
                <w:tab w:val="left" w:pos="3119"/>
                <w:tab w:val="left" w:pos="4082"/>
              </w:tabs>
              <w:spacing w:before="40" w:after="40"/>
              <w:jc w:val="right"/>
              <w:rPr>
                <w:bCs/>
                <w:i/>
                <w:sz w:val="18"/>
                <w:szCs w:val="18"/>
              </w:rPr>
            </w:pPr>
            <w:r w:rsidRPr="004E7D79">
              <w:rPr>
                <w:bCs/>
                <w:i/>
                <w:sz w:val="18"/>
                <w:szCs w:val="18"/>
              </w:rPr>
              <w:t>2010</w:t>
            </w:r>
          </w:p>
        </w:tc>
        <w:tc>
          <w:tcPr>
            <w:tcW w:w="1559" w:type="dxa"/>
            <w:tcBorders>
              <w:top w:val="single" w:sz="4" w:space="0" w:color="auto"/>
              <w:bottom w:val="single" w:sz="12" w:space="0" w:color="auto"/>
            </w:tcBorders>
            <w:shd w:val="clear" w:color="auto" w:fill="auto"/>
            <w:vAlign w:val="bottom"/>
          </w:tcPr>
          <w:p w:rsidR="00FB6DBD" w:rsidRPr="004E7D79" w:rsidRDefault="00FB6DBD" w:rsidP="00CD35BB">
            <w:pPr>
              <w:keepNext/>
              <w:keepLines/>
              <w:tabs>
                <w:tab w:val="left" w:pos="624"/>
                <w:tab w:val="left" w:pos="1871"/>
                <w:tab w:val="left" w:pos="2495"/>
                <w:tab w:val="left" w:pos="3119"/>
                <w:tab w:val="left" w:pos="4082"/>
              </w:tabs>
              <w:spacing w:before="40" w:after="40"/>
              <w:jc w:val="right"/>
              <w:rPr>
                <w:bCs/>
                <w:i/>
                <w:sz w:val="18"/>
                <w:szCs w:val="18"/>
              </w:rPr>
            </w:pPr>
            <w:r w:rsidRPr="004E7D79">
              <w:rPr>
                <w:bCs/>
                <w:i/>
                <w:sz w:val="18"/>
                <w:szCs w:val="18"/>
              </w:rPr>
              <w:t>Baseline</w:t>
            </w:r>
            <w:r w:rsidRPr="004E7D79">
              <w:rPr>
                <w:bCs/>
                <w:i/>
                <w:sz w:val="18"/>
                <w:szCs w:val="18"/>
                <w:vertAlign w:val="superscript"/>
              </w:rPr>
              <w:t>a</w:t>
            </w:r>
          </w:p>
        </w:tc>
      </w:tr>
      <w:tr w:rsidR="00FB6DBD" w:rsidRPr="009F24F2" w:rsidTr="00FB6DBD">
        <w:tc>
          <w:tcPr>
            <w:tcW w:w="1134" w:type="dxa"/>
            <w:tcBorders>
              <w:top w:val="single" w:sz="12" w:space="0" w:color="auto"/>
              <w:bottom w:val="single" w:sz="12" w:space="0" w:color="auto"/>
            </w:tcBorders>
            <w:shd w:val="clear" w:color="auto" w:fill="auto"/>
            <w:vAlign w:val="bottom"/>
          </w:tcPr>
          <w:p w:rsidR="00FB6DBD" w:rsidRPr="004E7D79" w:rsidRDefault="00FB6DBD" w:rsidP="00CD35BB">
            <w:pPr>
              <w:keepNext/>
              <w:keepLines/>
              <w:tabs>
                <w:tab w:val="left" w:pos="624"/>
                <w:tab w:val="left" w:pos="1871"/>
                <w:tab w:val="left" w:pos="2495"/>
                <w:tab w:val="left" w:pos="3119"/>
                <w:tab w:val="left" w:pos="4082"/>
              </w:tabs>
              <w:spacing w:before="40" w:after="40"/>
              <w:rPr>
                <w:bCs/>
                <w:sz w:val="18"/>
                <w:szCs w:val="18"/>
              </w:rPr>
            </w:pPr>
          </w:p>
        </w:tc>
        <w:tc>
          <w:tcPr>
            <w:tcW w:w="1134" w:type="dxa"/>
            <w:tcBorders>
              <w:top w:val="single" w:sz="12" w:space="0" w:color="auto"/>
              <w:bottom w:val="single" w:sz="12" w:space="0" w:color="auto"/>
            </w:tcBorders>
            <w:shd w:val="clear" w:color="auto" w:fill="auto"/>
            <w:vAlign w:val="bottom"/>
          </w:tcPr>
          <w:p w:rsidR="00FB6DBD" w:rsidRPr="004E7D79" w:rsidRDefault="00FB6DBD" w:rsidP="00CD35BB">
            <w:pPr>
              <w:keepNext/>
              <w:keepLines/>
              <w:tabs>
                <w:tab w:val="left" w:pos="624"/>
                <w:tab w:val="left" w:pos="1871"/>
                <w:tab w:val="left" w:pos="2495"/>
                <w:tab w:val="left" w:pos="3119"/>
                <w:tab w:val="left" w:pos="4082"/>
              </w:tabs>
              <w:spacing w:before="40" w:after="40"/>
              <w:jc w:val="right"/>
              <w:rPr>
                <w:bCs/>
                <w:color w:val="000000"/>
                <w:sz w:val="18"/>
                <w:szCs w:val="18"/>
              </w:rPr>
            </w:pPr>
            <w:r w:rsidRPr="004E7D79">
              <w:rPr>
                <w:bCs/>
                <w:color w:val="000000"/>
                <w:sz w:val="18"/>
                <w:szCs w:val="18"/>
              </w:rPr>
              <w:t>194.7</w:t>
            </w:r>
          </w:p>
        </w:tc>
        <w:tc>
          <w:tcPr>
            <w:tcW w:w="1134" w:type="dxa"/>
            <w:tcBorders>
              <w:top w:val="single" w:sz="12" w:space="0" w:color="auto"/>
              <w:bottom w:val="single" w:sz="12" w:space="0" w:color="auto"/>
            </w:tcBorders>
            <w:shd w:val="clear" w:color="auto" w:fill="auto"/>
            <w:vAlign w:val="bottom"/>
          </w:tcPr>
          <w:p w:rsidR="00FB6DBD" w:rsidRPr="004E7D79" w:rsidRDefault="00FB6DBD" w:rsidP="00CD35BB">
            <w:pPr>
              <w:keepNext/>
              <w:keepLines/>
              <w:tabs>
                <w:tab w:val="left" w:pos="624"/>
                <w:tab w:val="left" w:pos="1871"/>
                <w:tab w:val="left" w:pos="2495"/>
                <w:tab w:val="left" w:pos="3119"/>
                <w:tab w:val="left" w:pos="4082"/>
              </w:tabs>
              <w:spacing w:before="40" w:after="40"/>
              <w:jc w:val="right"/>
              <w:rPr>
                <w:bCs/>
                <w:color w:val="000000"/>
                <w:sz w:val="18"/>
                <w:szCs w:val="18"/>
              </w:rPr>
            </w:pPr>
            <w:r w:rsidRPr="004E7D79">
              <w:rPr>
                <w:bCs/>
                <w:color w:val="000000"/>
                <w:sz w:val="18"/>
                <w:szCs w:val="18"/>
              </w:rPr>
              <w:t>222.0</w:t>
            </w:r>
          </w:p>
        </w:tc>
        <w:tc>
          <w:tcPr>
            <w:tcW w:w="1134" w:type="dxa"/>
            <w:tcBorders>
              <w:top w:val="single" w:sz="12" w:space="0" w:color="auto"/>
              <w:bottom w:val="single" w:sz="12" w:space="0" w:color="auto"/>
            </w:tcBorders>
            <w:shd w:val="clear" w:color="auto" w:fill="auto"/>
            <w:vAlign w:val="bottom"/>
          </w:tcPr>
          <w:p w:rsidR="00FB6DBD" w:rsidRPr="004E7D79" w:rsidRDefault="00FB6DBD" w:rsidP="00CD35BB">
            <w:pPr>
              <w:keepNext/>
              <w:keepLines/>
              <w:tabs>
                <w:tab w:val="left" w:pos="624"/>
                <w:tab w:val="left" w:pos="1871"/>
                <w:tab w:val="left" w:pos="2495"/>
                <w:tab w:val="left" w:pos="3119"/>
                <w:tab w:val="left" w:pos="4082"/>
              </w:tabs>
              <w:spacing w:before="40" w:after="40"/>
              <w:jc w:val="right"/>
              <w:rPr>
                <w:bCs/>
                <w:color w:val="000000"/>
                <w:sz w:val="18"/>
                <w:szCs w:val="18"/>
              </w:rPr>
            </w:pPr>
            <w:r w:rsidRPr="004E7D79">
              <w:rPr>
                <w:bCs/>
                <w:color w:val="000000"/>
                <w:sz w:val="18"/>
                <w:szCs w:val="18"/>
              </w:rPr>
              <w:t>208.4</w:t>
            </w:r>
          </w:p>
        </w:tc>
        <w:tc>
          <w:tcPr>
            <w:tcW w:w="1134" w:type="dxa"/>
            <w:tcBorders>
              <w:top w:val="single" w:sz="12" w:space="0" w:color="auto"/>
              <w:bottom w:val="single" w:sz="12" w:space="0" w:color="auto"/>
            </w:tcBorders>
            <w:shd w:val="clear" w:color="auto" w:fill="auto"/>
            <w:vAlign w:val="bottom"/>
          </w:tcPr>
          <w:p w:rsidR="00FB6DBD" w:rsidRPr="004E7D79" w:rsidRDefault="00FB6DBD" w:rsidP="00CD35BB">
            <w:pPr>
              <w:keepNext/>
              <w:keepLines/>
              <w:tabs>
                <w:tab w:val="left" w:pos="624"/>
                <w:tab w:val="left" w:pos="1871"/>
                <w:tab w:val="left" w:pos="2495"/>
                <w:tab w:val="left" w:pos="3119"/>
                <w:tab w:val="left" w:pos="4082"/>
              </w:tabs>
              <w:spacing w:before="40" w:after="40"/>
              <w:jc w:val="right"/>
              <w:rPr>
                <w:bCs/>
                <w:color w:val="000000"/>
                <w:sz w:val="18"/>
                <w:szCs w:val="18"/>
              </w:rPr>
            </w:pPr>
            <w:r w:rsidRPr="004E7D79">
              <w:rPr>
                <w:bCs/>
                <w:color w:val="000000"/>
                <w:sz w:val="18"/>
                <w:szCs w:val="18"/>
              </w:rPr>
              <w:t>162.98</w:t>
            </w:r>
          </w:p>
        </w:tc>
        <w:tc>
          <w:tcPr>
            <w:tcW w:w="1134" w:type="dxa"/>
            <w:tcBorders>
              <w:top w:val="single" w:sz="12" w:space="0" w:color="auto"/>
              <w:bottom w:val="single" w:sz="12" w:space="0" w:color="auto"/>
            </w:tcBorders>
            <w:shd w:val="clear" w:color="auto" w:fill="auto"/>
            <w:vAlign w:val="bottom"/>
          </w:tcPr>
          <w:p w:rsidR="00FB6DBD" w:rsidRPr="004E7D79" w:rsidRDefault="00FB6DBD" w:rsidP="00CD35BB">
            <w:pPr>
              <w:keepNext/>
              <w:keepLines/>
              <w:tabs>
                <w:tab w:val="left" w:pos="624"/>
                <w:tab w:val="left" w:pos="1871"/>
                <w:tab w:val="left" w:pos="2495"/>
                <w:tab w:val="left" w:pos="3119"/>
                <w:tab w:val="left" w:pos="4082"/>
              </w:tabs>
              <w:spacing w:before="40" w:after="40"/>
              <w:jc w:val="right"/>
              <w:rPr>
                <w:bCs/>
                <w:color w:val="000000"/>
                <w:sz w:val="18"/>
                <w:szCs w:val="18"/>
              </w:rPr>
            </w:pPr>
            <w:r w:rsidRPr="004E7D79">
              <w:rPr>
                <w:bCs/>
                <w:color w:val="000000"/>
                <w:sz w:val="18"/>
                <w:szCs w:val="18"/>
              </w:rPr>
              <w:t>160.9</w:t>
            </w:r>
            <w:r w:rsidR="0006010A">
              <w:rPr>
                <w:bCs/>
                <w:color w:val="000000"/>
                <w:sz w:val="18"/>
                <w:szCs w:val="18"/>
              </w:rPr>
              <w:t>8</w:t>
            </w:r>
          </w:p>
        </w:tc>
        <w:tc>
          <w:tcPr>
            <w:tcW w:w="1559" w:type="dxa"/>
            <w:tcBorders>
              <w:top w:val="single" w:sz="12" w:space="0" w:color="auto"/>
              <w:bottom w:val="single" w:sz="12" w:space="0" w:color="auto"/>
            </w:tcBorders>
            <w:shd w:val="clear" w:color="auto" w:fill="auto"/>
            <w:vAlign w:val="bottom"/>
          </w:tcPr>
          <w:p w:rsidR="00FB6DBD" w:rsidRPr="004E7D79" w:rsidRDefault="00FB6DBD" w:rsidP="00CD35BB">
            <w:pPr>
              <w:keepNext/>
              <w:keepLines/>
              <w:tabs>
                <w:tab w:val="left" w:pos="624"/>
                <w:tab w:val="left" w:pos="1871"/>
                <w:tab w:val="left" w:pos="2495"/>
                <w:tab w:val="left" w:pos="3119"/>
                <w:tab w:val="left" w:pos="4082"/>
              </w:tabs>
              <w:spacing w:before="40" w:after="40"/>
              <w:jc w:val="right"/>
              <w:rPr>
                <w:bCs/>
                <w:color w:val="000000"/>
                <w:sz w:val="18"/>
                <w:szCs w:val="18"/>
              </w:rPr>
            </w:pPr>
            <w:r w:rsidRPr="004E7D79">
              <w:rPr>
                <w:bCs/>
                <w:color w:val="000000"/>
                <w:sz w:val="18"/>
                <w:szCs w:val="18"/>
              </w:rPr>
              <w:t>161.9</w:t>
            </w:r>
            <w:r w:rsidR="0006010A">
              <w:rPr>
                <w:bCs/>
                <w:color w:val="000000"/>
                <w:sz w:val="18"/>
                <w:szCs w:val="18"/>
              </w:rPr>
              <w:t>8</w:t>
            </w:r>
          </w:p>
        </w:tc>
      </w:tr>
    </w:tbl>
    <w:p w:rsidR="00FB6DBD" w:rsidRPr="00AE3443" w:rsidRDefault="00FB6DBD" w:rsidP="00CD35BB">
      <w:pPr>
        <w:keepNext/>
        <w:keepLines/>
        <w:tabs>
          <w:tab w:val="left" w:pos="624"/>
          <w:tab w:val="left" w:pos="1871"/>
          <w:tab w:val="left" w:pos="2495"/>
          <w:tab w:val="left" w:pos="3119"/>
          <w:tab w:val="left" w:pos="4082"/>
        </w:tabs>
        <w:spacing w:before="20" w:after="40"/>
        <w:ind w:left="1247"/>
        <w:rPr>
          <w:sz w:val="17"/>
          <w:szCs w:val="17"/>
          <w:lang w:val="en-US"/>
        </w:rPr>
      </w:pPr>
      <w:r w:rsidRPr="00AD7034">
        <w:rPr>
          <w:bCs/>
          <w:color w:val="000000"/>
          <w:sz w:val="17"/>
          <w:szCs w:val="17"/>
          <w:vertAlign w:val="superscript"/>
          <w:lang w:val="en-US"/>
        </w:rPr>
        <w:t>a</w:t>
      </w:r>
      <w:r w:rsidRPr="00AD7034">
        <w:rPr>
          <w:bCs/>
          <w:color w:val="000000"/>
          <w:sz w:val="17"/>
          <w:szCs w:val="17"/>
          <w:lang w:val="en-US"/>
        </w:rPr>
        <w:t xml:space="preserve"> Hydrochlorofluorocarbon baselines established after the Twenty-Third Meeting of the Parties are presented using two decimal places whereas those established before are presented using one decimal place (see decision XXIII/30).</w:t>
      </w:r>
    </w:p>
    <w:p w:rsidR="00FB6DBD" w:rsidRPr="00DE5575" w:rsidRDefault="00FB6DBD" w:rsidP="004E7D79">
      <w:pPr>
        <w:pStyle w:val="CH2"/>
        <w:keepNext w:val="0"/>
        <w:keepLines w:val="0"/>
        <w:spacing w:before="240"/>
        <w:outlineLvl w:val="0"/>
      </w:pPr>
      <w:r>
        <w:tab/>
      </w:r>
      <w:r>
        <w:tab/>
        <w:t>Decision XXIX/18</w:t>
      </w:r>
      <w:r w:rsidRPr="00DE5575">
        <w:t xml:space="preserve">: Reporting of zero in Article 7 data reporting forms </w:t>
      </w:r>
    </w:p>
    <w:p w:rsidR="00FB6DBD"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FB28E1">
        <w:rPr>
          <w:i/>
        </w:rPr>
        <w:t>Recalling</w:t>
      </w:r>
      <w:r w:rsidRPr="00FB28E1">
        <w:t xml:space="preserve"> decision XXIV/14, </w:t>
      </w:r>
      <w:r>
        <w:t xml:space="preserve">in </w:t>
      </w:r>
      <w:r w:rsidRPr="00FB28E1">
        <w:t>which</w:t>
      </w:r>
      <w:r>
        <w:t xml:space="preserve"> the Twenty-Fourth Meeting of the Parties</w:t>
      </w:r>
      <w:r w:rsidRPr="00FB28E1">
        <w:t xml:space="preserve"> recalled the need for consistent reporting of production, imports, exports and destruction of ozone-depleting substances in accordance with Article 7 of the Montreal Protocol</w:t>
      </w:r>
      <w:r>
        <w:t xml:space="preserve"> </w:t>
      </w:r>
      <w:r w:rsidRPr="003A66A4">
        <w:t>on Substances that Deplete the Ozone</w:t>
      </w:r>
      <w:r w:rsidRPr="009F24F2">
        <w:t xml:space="preserve"> Layer</w:t>
      </w:r>
      <w:r w:rsidRPr="00FB28E1">
        <w:t xml:space="preserve"> </w:t>
      </w:r>
      <w:r>
        <w:t xml:space="preserve">and </w:t>
      </w:r>
      <w:r w:rsidRPr="00FB28E1">
        <w:t>noted that the forms for reporting in accordance with Article 7 submitted by parties sometimes contain</w:t>
      </w:r>
      <w:r>
        <w:t>ed</w:t>
      </w:r>
      <w:r w:rsidRPr="00FB28E1">
        <w:t xml:space="preserve"> blank cells, in which no numbers indicating quantities of ozone-depleting substances </w:t>
      </w:r>
      <w:r>
        <w:t>were</w:t>
      </w:r>
      <w:r w:rsidRPr="00FB28E1">
        <w:t xml:space="preserve"> entered</w:t>
      </w:r>
      <w:r>
        <w:t>,</w:t>
      </w:r>
      <w:r w:rsidRPr="00FB28E1">
        <w:t xml:space="preserve"> and that such blank cells could be intended by a party in a given case to indicate zero controlled substances or, alternatively, could represent non-reporting by that party in respect of those substances</w:t>
      </w:r>
      <w:r w:rsidR="007714BE">
        <w:t>,</w:t>
      </w:r>
      <w:r w:rsidRPr="00FB28E1">
        <w:t xml:space="preserve"> </w:t>
      </w:r>
    </w:p>
    <w:p w:rsidR="00FB6DBD" w:rsidRPr="00FB28E1"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587DC8">
        <w:rPr>
          <w:i/>
        </w:rPr>
        <w:t>Recalling</w:t>
      </w:r>
      <w:r>
        <w:t xml:space="preserve"> </w:t>
      </w:r>
      <w:r w:rsidRPr="00736B78">
        <w:rPr>
          <w:i/>
        </w:rPr>
        <w:t>also</w:t>
      </w:r>
      <w:r>
        <w:t xml:space="preserve"> that, by decision XXIV/14, the Twenty-Fourth Meeting of the Parties </w:t>
      </w:r>
      <w:r w:rsidRPr="00FB28E1">
        <w:t>requested the parties, when reporting production, imports, exports or destruction, to enter a number</w:t>
      </w:r>
      <w:r>
        <w:t>,</w:t>
      </w:r>
      <w:r w:rsidRPr="00FB28E1">
        <w:t xml:space="preserve"> including zero, where appropriate, in each cell in the data reporting forms that they submit</w:t>
      </w:r>
      <w:r>
        <w:t>ted</w:t>
      </w:r>
      <w:r w:rsidRPr="00FB28E1">
        <w:t>, rather than leaving the cell blank</w:t>
      </w:r>
      <w:r>
        <w:t>,</w:t>
      </w:r>
      <w:r w:rsidRPr="00FB28E1">
        <w:t xml:space="preserve"> and asked the Secretariat to request clarification from any party that submit</w:t>
      </w:r>
      <w:r>
        <w:t>ted</w:t>
      </w:r>
      <w:r w:rsidRPr="00FB28E1">
        <w:t xml:space="preserve"> a form containing a blank cell</w:t>
      </w:r>
      <w:r>
        <w:t>,</w:t>
      </w:r>
    </w:p>
    <w:p w:rsidR="00FB6DBD" w:rsidRPr="004E7D79"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4E7D79">
        <w:t>1.</w:t>
      </w:r>
      <w:r w:rsidRPr="004E7D79">
        <w:tab/>
        <w:t>To note with appreciation that the majority of parties are complying with the request made in decision XXIV/14 to enter a number, including zero, where appropriate, in each cell in the data reporting forms that they submit, rather than leaving the cell blank;</w:t>
      </w:r>
    </w:p>
    <w:p w:rsidR="00FB6DBD" w:rsidRPr="004E7D79"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4E7D79">
        <w:t>2.</w:t>
      </w:r>
      <w:r w:rsidRPr="004E7D79">
        <w:tab/>
        <w:t xml:space="preserve">To note, however, that some parties are continuing to submit forms containing blank cells, which requires additional work by the Secretariat to request clarification from the parties and results in delays in compiling information and assessing parties’ compliance with the control measures under the Montreal Protocol on Substances that Deplete the Ozone Layer; </w:t>
      </w:r>
    </w:p>
    <w:p w:rsidR="00FB6DBD" w:rsidRPr="004E7D79"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4E7D79">
        <w:t>3.</w:t>
      </w:r>
      <w:r w:rsidRPr="004E7D79">
        <w:tab/>
        <w:t>To urge the parties, when submitting forms for reporting data in accordance with Article 7, to ensure that all cells in the forms are completed with a number, including zero, where appropriate, rather than leaving the cell blank;</w:t>
      </w:r>
    </w:p>
    <w:p w:rsidR="00FB6DBD" w:rsidRPr="004E7D79"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4E7D79">
        <w:t>4.</w:t>
      </w:r>
      <w:r w:rsidRPr="004E7D79">
        <w:tab/>
        <w:t>To request the Implementation Committee under the Non</w:t>
      </w:r>
      <w:r w:rsidRPr="004E7D79">
        <w:noBreakHyphen/>
        <w:t>Compliance Procedure for the Montreal Protocol to review the status of compliance by the parties with paragraph 3 of the present decision at its sixty-first meeting.</w:t>
      </w:r>
    </w:p>
    <w:p w:rsidR="00FB6DBD" w:rsidRPr="00093CBD" w:rsidRDefault="00FB6DBD" w:rsidP="004E7D79">
      <w:pPr>
        <w:pStyle w:val="CH2"/>
        <w:keepNext w:val="0"/>
        <w:keepLines w:val="0"/>
        <w:spacing w:before="240"/>
        <w:outlineLvl w:val="0"/>
      </w:pPr>
      <w:r>
        <w:tab/>
      </w:r>
      <w:r>
        <w:tab/>
        <w:t xml:space="preserve">Decision XXIX/19: </w:t>
      </w:r>
      <w:r w:rsidRPr="00093CBD">
        <w:t>Special considerations for the Caribbean islands affected by hurricanes</w:t>
      </w:r>
    </w:p>
    <w:p w:rsidR="00FB6DBD" w:rsidRPr="002C06A5"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2C06A5">
        <w:rPr>
          <w:i/>
        </w:rPr>
        <w:t>Noting with appreciation</w:t>
      </w:r>
      <w:r w:rsidRPr="002C06A5">
        <w:t xml:space="preserve"> the successful efforts and sustained commitment </w:t>
      </w:r>
      <w:r>
        <w:t>of</w:t>
      </w:r>
      <w:r w:rsidRPr="002C06A5">
        <w:t xml:space="preserve"> the Governments of Antigua and Barbuda, </w:t>
      </w:r>
      <w:r>
        <w:t xml:space="preserve">the </w:t>
      </w:r>
      <w:r w:rsidRPr="002C06A5">
        <w:t xml:space="preserve">Bahamas, Cuba, Dominica and the Dominican Republic to maintain compliance with </w:t>
      </w:r>
      <w:r>
        <w:t xml:space="preserve">their obligations under </w:t>
      </w:r>
      <w:r w:rsidRPr="002C06A5">
        <w:t>the Montreal Protocol</w:t>
      </w:r>
      <w:r>
        <w:t xml:space="preserve"> on Substances that Deplete the Ozone Layer</w:t>
      </w:r>
      <w:r w:rsidRPr="002C06A5">
        <w:t>,</w:t>
      </w:r>
    </w:p>
    <w:p w:rsidR="00FB6DBD" w:rsidRPr="002C06A5"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2C06A5">
        <w:rPr>
          <w:i/>
        </w:rPr>
        <w:t>Recognizing</w:t>
      </w:r>
      <w:r w:rsidRPr="002C06A5">
        <w:t xml:space="preserve"> the extraordinary difficulties now faced by </w:t>
      </w:r>
      <w:r>
        <w:t xml:space="preserve">the above-mentioned countries </w:t>
      </w:r>
      <w:r w:rsidRPr="002C06A5">
        <w:t xml:space="preserve">as a result of the </w:t>
      </w:r>
      <w:r>
        <w:t>c</w:t>
      </w:r>
      <w:r w:rsidRPr="002C06A5">
        <w:t xml:space="preserve">ategory 5 </w:t>
      </w:r>
      <w:r>
        <w:t>h</w:t>
      </w:r>
      <w:r w:rsidRPr="002C06A5">
        <w:t xml:space="preserve">urricanes that occurred </w:t>
      </w:r>
      <w:r>
        <w:t>in</w:t>
      </w:r>
      <w:r w:rsidRPr="002C06A5">
        <w:t xml:space="preserve"> September and October 2017, which had devastating effects on the physical, economic and social welfare of the people of th</w:t>
      </w:r>
      <w:r>
        <w:t>o</w:t>
      </w:r>
      <w:r w:rsidRPr="002C06A5">
        <w:t>se islands,</w:t>
      </w:r>
    </w:p>
    <w:p w:rsidR="00FB6DBD" w:rsidRPr="002C06A5"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2C06A5">
        <w:rPr>
          <w:i/>
        </w:rPr>
        <w:t>Appreciating</w:t>
      </w:r>
      <w:r w:rsidRPr="002C06A5">
        <w:t xml:space="preserve"> the commitment of the </w:t>
      </w:r>
      <w:r>
        <w:t>above-mentioned countries</w:t>
      </w:r>
      <w:r w:rsidRPr="002C06A5">
        <w:t xml:space="preserve"> </w:t>
      </w:r>
      <w:r>
        <w:t>to</w:t>
      </w:r>
      <w:r w:rsidRPr="00F124AB">
        <w:t xml:space="preserve"> meeting their obligations in respect of phasing ou</w:t>
      </w:r>
      <w:r w:rsidRPr="002C06A5">
        <w:t>t ozone</w:t>
      </w:r>
      <w:r w:rsidRPr="002C06A5">
        <w:noBreakHyphen/>
        <w:t xml:space="preserve">depleting substances under the Montreal Protocol and </w:t>
      </w:r>
      <w:r>
        <w:t>the</w:t>
      </w:r>
      <w:r w:rsidRPr="002C06A5">
        <w:t xml:space="preserve"> amendments</w:t>
      </w:r>
      <w:r>
        <w:t xml:space="preserve"> thereto</w:t>
      </w:r>
      <w:r w:rsidRPr="002C06A5">
        <w:t xml:space="preserve">, </w:t>
      </w:r>
    </w:p>
    <w:p w:rsidR="00FB6DBD" w:rsidRPr="0091335E" w:rsidRDefault="00FB6DBD" w:rsidP="004E7D79">
      <w:pPr>
        <w:pStyle w:val="Normalpool"/>
        <w:tabs>
          <w:tab w:val="clear" w:pos="1253"/>
          <w:tab w:val="clear" w:pos="1814"/>
          <w:tab w:val="clear" w:pos="2376"/>
          <w:tab w:val="clear" w:pos="2952"/>
          <w:tab w:val="clear" w:pos="3514"/>
          <w:tab w:val="left" w:pos="624"/>
        </w:tabs>
        <w:spacing w:after="120"/>
        <w:ind w:left="1247" w:firstLine="624"/>
      </w:pPr>
      <w:r>
        <w:tab/>
        <w:t xml:space="preserve">1. </w:t>
      </w:r>
      <w:r>
        <w:tab/>
      </w:r>
      <w:r w:rsidRPr="000728DC">
        <w:t>To encourage all parties to assist Antigua and Barbuda, the Bahamas, Cuba, Dominica and the Dominican Republic by controlling the export of products, equipment, and technologies that rely on ozone-depleting substances through the control of trade, as appropriate, in accordance with decision X/9 and decision XXVII/8</w:t>
      </w:r>
      <w:r>
        <w:t>;</w:t>
      </w:r>
    </w:p>
    <w:p w:rsidR="00FB6DBD" w:rsidRPr="002C06A5"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2C06A5">
        <w:t>2.</w:t>
      </w:r>
      <w:r w:rsidRPr="002C06A5">
        <w:tab/>
        <w:t xml:space="preserve">To request the Executive Committee of the Multilateral Fund for the Implementation of the Montreal Protocol, when considering project proposals over the </w:t>
      </w:r>
      <w:r>
        <w:t>coming</w:t>
      </w:r>
      <w:r w:rsidRPr="002C06A5">
        <w:t xml:space="preserve"> year for </w:t>
      </w:r>
      <w:r>
        <w:t>the above</w:t>
      </w:r>
      <w:r>
        <w:noBreakHyphen/>
        <w:t>mentioned countries,</w:t>
      </w:r>
      <w:r w:rsidRPr="002C06A5">
        <w:t xml:space="preserve"> to take into account the</w:t>
      </w:r>
      <w:r>
        <w:t>ir</w:t>
      </w:r>
      <w:r w:rsidRPr="002C06A5">
        <w:t xml:space="preserve"> exceptional situation and the special difficulties </w:t>
      </w:r>
      <w:r w:rsidRPr="002C06A5">
        <w:lastRenderedPageBreak/>
        <w:t xml:space="preserve">that </w:t>
      </w:r>
      <w:r>
        <w:t>that situation</w:t>
      </w:r>
      <w:r w:rsidRPr="002C06A5">
        <w:t xml:space="preserve"> may pose with </w:t>
      </w:r>
      <w:r>
        <w:t>regard</w:t>
      </w:r>
      <w:r w:rsidRPr="002C06A5">
        <w:t xml:space="preserve"> to </w:t>
      </w:r>
      <w:r>
        <w:t xml:space="preserve">the </w:t>
      </w:r>
      <w:r w:rsidRPr="002C06A5">
        <w:t xml:space="preserve">implementation of activities to </w:t>
      </w:r>
      <w:r>
        <w:t xml:space="preserve">comply with </w:t>
      </w:r>
      <w:r w:rsidRPr="002C06A5">
        <w:t xml:space="preserve">their obligations in the </w:t>
      </w:r>
      <w:r>
        <w:t>coming</w:t>
      </w:r>
      <w:r w:rsidRPr="002C06A5">
        <w:t xml:space="preserve"> year; </w:t>
      </w:r>
    </w:p>
    <w:p w:rsidR="00FB6DBD" w:rsidRPr="002C06A5"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2C06A5">
        <w:t>3.</w:t>
      </w:r>
      <w:r w:rsidRPr="002C06A5">
        <w:tab/>
        <w:t xml:space="preserve">To request the implementing agencies to consider providing appropriate assistance to </w:t>
      </w:r>
      <w:r>
        <w:t>the above-mentioned countries</w:t>
      </w:r>
      <w:r w:rsidRPr="002C06A5">
        <w:t xml:space="preserve"> in the areas of institutional strengthening, capacity-building, data collection and monitoring and control of trade of controlled substances to support continued reporting to the Secretariat on </w:t>
      </w:r>
      <w:r w:rsidR="004E5CD1">
        <w:t xml:space="preserve">the </w:t>
      </w:r>
      <w:r w:rsidRPr="002C06A5">
        <w:t>consumption of controlled substances;</w:t>
      </w:r>
    </w:p>
    <w:p w:rsidR="00FB6DBD" w:rsidRPr="002C06A5"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2C06A5">
        <w:t>4.</w:t>
      </w:r>
      <w:r w:rsidRPr="002C06A5">
        <w:tab/>
      </w:r>
      <w:r>
        <w:t>T</w:t>
      </w:r>
      <w:r w:rsidRPr="002C06A5">
        <w:t>hat</w:t>
      </w:r>
      <w:r>
        <w:t xml:space="preserve"> </w:t>
      </w:r>
      <w:r w:rsidRPr="002C06A5">
        <w:t>the Implementation Committee under the Non</w:t>
      </w:r>
      <w:r w:rsidRPr="002C06A5">
        <w:noBreakHyphen/>
        <w:t xml:space="preserve">Compliance Procedure for the Montreal Protocol </w:t>
      </w:r>
      <w:r>
        <w:t>should, in its deliberations in 2018, take into consideration the difficulties faced by the above-mentioned countries</w:t>
      </w:r>
      <w:r w:rsidRPr="002C06A5">
        <w:t xml:space="preserve"> as a result of the hurricanes</w:t>
      </w:r>
      <w:r>
        <w:t xml:space="preserve"> experienced in 2017, in the event of cases of non</w:t>
      </w:r>
      <w:r>
        <w:noBreakHyphen/>
        <w:t>compliance by those countries;</w:t>
      </w:r>
    </w:p>
    <w:p w:rsidR="00FB6DBD" w:rsidRPr="002C06A5"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2C06A5">
        <w:t xml:space="preserve">5. </w:t>
      </w:r>
      <w:r>
        <w:tab/>
      </w:r>
      <w:r w:rsidRPr="002C06A5">
        <w:t xml:space="preserve">To recognize that the exceptional situation of </w:t>
      </w:r>
      <w:r>
        <w:t>the above-mentioned countries</w:t>
      </w:r>
      <w:r w:rsidRPr="002C06A5">
        <w:t xml:space="preserve"> may extend beyond </w:t>
      </w:r>
      <w:r>
        <w:t>one</w:t>
      </w:r>
      <w:r w:rsidRPr="002C06A5">
        <w:t xml:space="preserve"> year</w:t>
      </w:r>
      <w:r>
        <w:t>,</w:t>
      </w:r>
      <w:r w:rsidRPr="002C06A5">
        <w:t xml:space="preserve"> and to </w:t>
      </w:r>
      <w:r>
        <w:t>request</w:t>
      </w:r>
      <w:r w:rsidRPr="002C06A5">
        <w:t xml:space="preserve"> </w:t>
      </w:r>
      <w:r>
        <w:t xml:space="preserve">the relevant parties to provide </w:t>
      </w:r>
      <w:r w:rsidRPr="002C06A5">
        <w:t xml:space="preserve">an update on the situation at the </w:t>
      </w:r>
      <w:r>
        <w:t>Thirtieth</w:t>
      </w:r>
      <w:r w:rsidRPr="002C06A5">
        <w:t xml:space="preserve"> Meeting of the Parties</w:t>
      </w:r>
      <w:r w:rsidR="00C7701E">
        <w:t>;</w:t>
      </w:r>
      <w:r w:rsidRPr="002C06A5">
        <w:t xml:space="preserve"> </w:t>
      </w:r>
    </w:p>
    <w:p w:rsidR="00FB6DBD" w:rsidRPr="00C7701E" w:rsidRDefault="00721B3B" w:rsidP="004E7D79">
      <w:pPr>
        <w:pStyle w:val="CH2"/>
        <w:keepNext w:val="0"/>
        <w:keepLines w:val="0"/>
        <w:spacing w:before="240"/>
        <w:outlineLvl w:val="0"/>
      </w:pPr>
      <w:r>
        <w:tab/>
      </w:r>
      <w:r>
        <w:tab/>
      </w:r>
      <w:r w:rsidR="00FB6DBD" w:rsidRPr="00C7701E">
        <w:t xml:space="preserve">Decision XXIX/20: Membership of the Technology and Economic Assessment Panel </w:t>
      </w:r>
    </w:p>
    <w:p w:rsidR="00FB6DBD" w:rsidRPr="00F65FC9"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C7701E">
        <w:rPr>
          <w:i/>
        </w:rPr>
        <w:t>Recalling</w:t>
      </w:r>
      <w:r w:rsidRPr="00C7701E">
        <w:t xml:space="preserve"> that the </w:t>
      </w:r>
      <w:r w:rsidR="00244B65" w:rsidRPr="00C7701E">
        <w:t>t</w:t>
      </w:r>
      <w:r w:rsidRPr="00C7701E">
        <w:t xml:space="preserve">erms of </w:t>
      </w:r>
      <w:r w:rsidR="00244B65" w:rsidRPr="00C7701E">
        <w:t>r</w:t>
      </w:r>
      <w:r w:rsidRPr="00C7701E">
        <w:t xml:space="preserve">eference for </w:t>
      </w:r>
      <w:r w:rsidRPr="006A1161">
        <w:t>the Technology</w:t>
      </w:r>
      <w:r w:rsidRPr="00C7701E">
        <w:t xml:space="preserve"> and Economic Assessment Panel established in decision XXIV/8 provide for a limited number of </w:t>
      </w:r>
      <w:r w:rsidR="00244B65" w:rsidRPr="00C7701E">
        <w:t>s</w:t>
      </w:r>
      <w:r w:rsidRPr="00C7701E">
        <w:t xml:space="preserve">enior </w:t>
      </w:r>
      <w:r w:rsidR="00244B65" w:rsidRPr="00C7701E">
        <w:t>e</w:t>
      </w:r>
      <w:r w:rsidRPr="00C7701E">
        <w:t xml:space="preserve">xperts </w:t>
      </w:r>
      <w:r w:rsidRPr="00C7701E">
        <w:rPr>
          <w:lang w:val="en-US"/>
        </w:rPr>
        <w:t xml:space="preserve">for specific expertise not covered by the </w:t>
      </w:r>
      <w:r w:rsidR="00244B65" w:rsidRPr="00C7701E">
        <w:rPr>
          <w:lang w:val="en-US"/>
        </w:rPr>
        <w:t xml:space="preserve">Panel’s </w:t>
      </w:r>
      <w:r w:rsidR="001F4B6A">
        <w:rPr>
          <w:lang w:val="en-US"/>
        </w:rPr>
        <w:t>c</w:t>
      </w:r>
      <w:r w:rsidRPr="00C7701E">
        <w:rPr>
          <w:lang w:val="en-US"/>
        </w:rPr>
        <w:t>o-</w:t>
      </w:r>
      <w:r w:rsidR="001F4B6A">
        <w:rPr>
          <w:lang w:val="en-US"/>
        </w:rPr>
        <w:t>c</w:t>
      </w:r>
      <w:r w:rsidRPr="00C7701E">
        <w:rPr>
          <w:lang w:val="en-US"/>
        </w:rPr>
        <w:t xml:space="preserve">hairs or </w:t>
      </w:r>
      <w:r w:rsidR="00244B65" w:rsidRPr="00C7701E">
        <w:t>technical</w:t>
      </w:r>
      <w:r w:rsidR="00244B65" w:rsidRPr="00892F44">
        <w:t xml:space="preserve"> options committee</w:t>
      </w:r>
      <w:r w:rsidR="00244B65" w:rsidRPr="00F65FC9" w:rsidDel="00244B65">
        <w:rPr>
          <w:lang w:val="en-US"/>
        </w:rPr>
        <w:t xml:space="preserve"> </w:t>
      </w:r>
      <w:r w:rsidR="001F4B6A">
        <w:rPr>
          <w:lang w:val="en-US"/>
        </w:rPr>
        <w:t>c</w:t>
      </w:r>
      <w:r w:rsidRPr="00F65FC9">
        <w:rPr>
          <w:lang w:val="en-US"/>
        </w:rPr>
        <w:t>o-</w:t>
      </w:r>
      <w:r w:rsidR="001F4B6A">
        <w:rPr>
          <w:lang w:val="en-US"/>
        </w:rPr>
        <w:t>c</w:t>
      </w:r>
      <w:r w:rsidRPr="00F65FC9">
        <w:rPr>
          <w:lang w:val="en-US"/>
        </w:rPr>
        <w:t>hairs</w:t>
      </w:r>
      <w:r w:rsidRPr="00F65FC9">
        <w:t>;</w:t>
      </w:r>
    </w:p>
    <w:p w:rsidR="00FB6DBD" w:rsidRPr="00892F44" w:rsidRDefault="00FB6DBD" w:rsidP="004E7D79">
      <w:pPr>
        <w:pStyle w:val="Normalpool"/>
        <w:numPr>
          <w:ilvl w:val="0"/>
          <w:numId w:val="13"/>
        </w:numPr>
        <w:tabs>
          <w:tab w:val="clear" w:pos="1253"/>
          <w:tab w:val="clear" w:pos="1814"/>
          <w:tab w:val="clear" w:pos="2376"/>
          <w:tab w:val="clear" w:pos="2952"/>
          <w:tab w:val="clear" w:pos="3514"/>
          <w:tab w:val="left" w:pos="624"/>
        </w:tabs>
        <w:spacing w:after="120"/>
        <w:ind w:left="1247" w:firstLine="624"/>
      </w:pPr>
      <w:r w:rsidRPr="00892F44">
        <w:t>To thank the Technology and Economic Assessment Panel for its outstanding reports</w:t>
      </w:r>
      <w:r w:rsidR="00244B65">
        <w:t>,</w:t>
      </w:r>
      <w:r w:rsidRPr="00892F44">
        <w:t xml:space="preserve"> and </w:t>
      </w:r>
      <w:r w:rsidR="00244B65">
        <w:t xml:space="preserve">also </w:t>
      </w:r>
      <w:r w:rsidRPr="00892F44">
        <w:t>to thank the individual members of the Panel for their outstanding service and dedication;</w:t>
      </w:r>
    </w:p>
    <w:p w:rsidR="00FB6DBD" w:rsidRDefault="00E15497" w:rsidP="004E7D79">
      <w:pPr>
        <w:pStyle w:val="Normalpool"/>
        <w:numPr>
          <w:ilvl w:val="0"/>
          <w:numId w:val="13"/>
        </w:numPr>
        <w:tabs>
          <w:tab w:val="clear" w:pos="1253"/>
          <w:tab w:val="clear" w:pos="1814"/>
          <w:tab w:val="clear" w:pos="2376"/>
          <w:tab w:val="clear" w:pos="2952"/>
          <w:tab w:val="clear" w:pos="3514"/>
          <w:tab w:val="left" w:pos="624"/>
        </w:tabs>
        <w:spacing w:after="120"/>
        <w:ind w:left="1247" w:firstLine="624"/>
      </w:pPr>
      <w:r>
        <w:t>Also t</w:t>
      </w:r>
      <w:r w:rsidR="00FB6DBD" w:rsidRPr="00892F44">
        <w:t xml:space="preserve">o </w:t>
      </w:r>
      <w:r w:rsidR="00FB6DBD">
        <w:t>thank Mohamed Besri (Morocco</w:t>
      </w:r>
      <w:r w:rsidR="00FB6DBD" w:rsidRPr="00892F44">
        <w:t xml:space="preserve">) </w:t>
      </w:r>
      <w:r w:rsidR="00FB6DBD" w:rsidRPr="00E739EC">
        <w:t xml:space="preserve">for his long and outstanding </w:t>
      </w:r>
      <w:r w:rsidR="00FB6DBD" w:rsidRPr="00E739EC">
        <w:rPr>
          <w:rFonts w:hint="eastAsia"/>
        </w:rPr>
        <w:t xml:space="preserve">efforts </w:t>
      </w:r>
      <w:r w:rsidR="00FB6DBD" w:rsidRPr="00E739EC">
        <w:t>on be</w:t>
      </w:r>
      <w:r w:rsidR="00FB6DBD" w:rsidRPr="00E739EC">
        <w:rPr>
          <w:rFonts w:hint="eastAsia"/>
        </w:rPr>
        <w:t>h</w:t>
      </w:r>
      <w:r w:rsidR="00FB6DBD" w:rsidRPr="00E739EC">
        <w:t xml:space="preserve">alf of the Montreal Protocol on </w:t>
      </w:r>
      <w:r w:rsidR="00FB6DBD" w:rsidRPr="00E739EC">
        <w:rPr>
          <w:rFonts w:hint="eastAsia"/>
        </w:rPr>
        <w:t>S</w:t>
      </w:r>
      <w:r w:rsidR="00FB6DBD" w:rsidRPr="00E739EC">
        <w:t xml:space="preserve">ubstances that </w:t>
      </w:r>
      <w:r w:rsidR="00FB6DBD" w:rsidRPr="00E739EC">
        <w:rPr>
          <w:rFonts w:hint="eastAsia"/>
        </w:rPr>
        <w:t>D</w:t>
      </w:r>
      <w:r w:rsidR="00FB6DBD" w:rsidRPr="00E739EC">
        <w:t xml:space="preserve">eplete the </w:t>
      </w:r>
      <w:r w:rsidR="00FB6DBD" w:rsidRPr="00E739EC">
        <w:rPr>
          <w:rFonts w:hint="eastAsia"/>
        </w:rPr>
        <w:t>O</w:t>
      </w:r>
      <w:r w:rsidR="00FB6DBD" w:rsidRPr="00E739EC">
        <w:t xml:space="preserve">zone </w:t>
      </w:r>
      <w:r w:rsidR="00FB6DBD" w:rsidRPr="00E739EC">
        <w:rPr>
          <w:rFonts w:hint="eastAsia"/>
        </w:rPr>
        <w:t>L</w:t>
      </w:r>
      <w:r w:rsidR="00FB6DBD" w:rsidRPr="00E739EC">
        <w:t>ayer</w:t>
      </w:r>
      <w:r w:rsidR="00FB6DBD" w:rsidRPr="00E739EC">
        <w:rPr>
          <w:rFonts w:hint="eastAsia"/>
        </w:rPr>
        <w:t xml:space="preserve"> as </w:t>
      </w:r>
      <w:r w:rsidR="001F4B6A">
        <w:t>C</w:t>
      </w:r>
      <w:r w:rsidR="00FB6DBD">
        <w:t>o-</w:t>
      </w:r>
      <w:r w:rsidR="001F4B6A">
        <w:t>C</w:t>
      </w:r>
      <w:r w:rsidR="00FB6DBD">
        <w:t>hair of the Methyl Bromide</w:t>
      </w:r>
      <w:r w:rsidR="00FB6DBD" w:rsidRPr="00892F44">
        <w:t xml:space="preserve"> Technical Options Committee</w:t>
      </w:r>
      <w:r w:rsidR="00FB6DBD">
        <w:t>;</w:t>
      </w:r>
    </w:p>
    <w:p w:rsidR="00FB6DBD" w:rsidRPr="00CA67DA" w:rsidRDefault="00E15497" w:rsidP="004E7D79">
      <w:pPr>
        <w:pStyle w:val="Normalpool"/>
        <w:numPr>
          <w:ilvl w:val="0"/>
          <w:numId w:val="13"/>
        </w:numPr>
        <w:tabs>
          <w:tab w:val="clear" w:pos="1253"/>
          <w:tab w:val="clear" w:pos="1814"/>
          <w:tab w:val="clear" w:pos="2376"/>
          <w:tab w:val="clear" w:pos="2952"/>
          <w:tab w:val="clear" w:pos="3514"/>
          <w:tab w:val="left" w:pos="624"/>
        </w:tabs>
        <w:spacing w:after="120"/>
        <w:ind w:left="1247" w:firstLine="624"/>
      </w:pPr>
      <w:r>
        <w:t>Further t</w:t>
      </w:r>
      <w:r w:rsidR="00FB6DBD" w:rsidRPr="00517ECB">
        <w:t xml:space="preserve">o thank Ashley Woodcock </w:t>
      </w:r>
      <w:r w:rsidR="00FB6DBD">
        <w:t>(United Kingdom</w:t>
      </w:r>
      <w:r>
        <w:t xml:space="preserve"> of Great Britain and Northern Ireland</w:t>
      </w:r>
      <w:r w:rsidR="00FB6DBD">
        <w:t xml:space="preserve">) </w:t>
      </w:r>
      <w:r w:rsidR="00FB6DBD" w:rsidRPr="00517ECB">
        <w:t>for his outstanding efforts on be</w:t>
      </w:r>
      <w:r w:rsidR="00FB6DBD" w:rsidRPr="00517ECB">
        <w:rPr>
          <w:rFonts w:hint="eastAsia"/>
        </w:rPr>
        <w:t>h</w:t>
      </w:r>
      <w:r w:rsidR="00FB6DBD" w:rsidRPr="00517ECB">
        <w:t xml:space="preserve">alf of the Montreal Protocol as </w:t>
      </w:r>
      <w:r w:rsidR="00FB6DBD">
        <w:t xml:space="preserve">interim </w:t>
      </w:r>
      <w:r w:rsidR="001F4B6A">
        <w:t>C</w:t>
      </w:r>
      <w:r w:rsidR="00FB6DBD" w:rsidRPr="00517ECB">
        <w:t>o-</w:t>
      </w:r>
      <w:r w:rsidR="001F4B6A">
        <w:t>C</w:t>
      </w:r>
      <w:r w:rsidR="00FB6DBD" w:rsidRPr="00517ECB">
        <w:t xml:space="preserve">hair of the </w:t>
      </w:r>
      <w:r w:rsidR="00FB6DBD" w:rsidRPr="00517ECB">
        <w:rPr>
          <w:rFonts w:hint="eastAsia"/>
        </w:rPr>
        <w:t xml:space="preserve">Flexible and Rigid </w:t>
      </w:r>
      <w:r w:rsidR="00FB6DBD" w:rsidRPr="00517ECB">
        <w:t>Foams Technical Options Committee</w:t>
      </w:r>
      <w:r w:rsidR="00244B65">
        <w:t>;</w:t>
      </w:r>
    </w:p>
    <w:p w:rsidR="00FB6DBD" w:rsidRDefault="00FB6DBD" w:rsidP="004E7D79">
      <w:pPr>
        <w:pStyle w:val="Normalpool"/>
        <w:numPr>
          <w:ilvl w:val="0"/>
          <w:numId w:val="13"/>
        </w:numPr>
        <w:tabs>
          <w:tab w:val="clear" w:pos="1253"/>
          <w:tab w:val="clear" w:pos="1814"/>
          <w:tab w:val="clear" w:pos="2376"/>
          <w:tab w:val="clear" w:pos="2952"/>
          <w:tab w:val="clear" w:pos="3514"/>
          <w:tab w:val="left" w:pos="624"/>
        </w:tabs>
        <w:spacing w:after="120"/>
        <w:ind w:left="1247" w:firstLine="624"/>
      </w:pPr>
      <w:r w:rsidRPr="00892F44">
        <w:t>To endorse the ap</w:t>
      </w:r>
      <w:r>
        <w:t>pointment of Ian Porter (Australia</w:t>
      </w:r>
      <w:r w:rsidRPr="00892F44">
        <w:t xml:space="preserve">) </w:t>
      </w:r>
      <w:r>
        <w:t>and Marta Pizano (Colombia</w:t>
      </w:r>
      <w:r w:rsidRPr="00892F44">
        <w:t xml:space="preserve">) as </w:t>
      </w:r>
      <w:r w:rsidR="001F4B6A">
        <w:t>C</w:t>
      </w:r>
      <w:r>
        <w:t>o-</w:t>
      </w:r>
      <w:r w:rsidR="001F4B6A">
        <w:t>C</w:t>
      </w:r>
      <w:r>
        <w:t>hairs of the Methyl Bromide</w:t>
      </w:r>
      <w:r w:rsidRPr="00892F44">
        <w:t xml:space="preserve"> Technical Options Committee for a</w:t>
      </w:r>
      <w:r>
        <w:t>n additional</w:t>
      </w:r>
      <w:r w:rsidRPr="00892F44">
        <w:t xml:space="preserve"> term of four years;</w:t>
      </w:r>
    </w:p>
    <w:p w:rsidR="00FB6DBD" w:rsidRPr="00497CE5" w:rsidRDefault="00E15497" w:rsidP="004E7D79">
      <w:pPr>
        <w:pStyle w:val="Normalpool"/>
        <w:numPr>
          <w:ilvl w:val="0"/>
          <w:numId w:val="13"/>
        </w:numPr>
        <w:tabs>
          <w:tab w:val="clear" w:pos="1253"/>
          <w:tab w:val="clear" w:pos="1814"/>
          <w:tab w:val="clear" w:pos="2376"/>
          <w:tab w:val="clear" w:pos="2952"/>
          <w:tab w:val="clear" w:pos="3514"/>
          <w:tab w:val="left" w:pos="624"/>
        </w:tabs>
        <w:spacing w:after="120"/>
        <w:ind w:left="1247" w:firstLine="624"/>
      </w:pPr>
      <w:r>
        <w:t>Also t</w:t>
      </w:r>
      <w:r w:rsidR="00FB6DBD" w:rsidRPr="00892F44">
        <w:t>o endorse the ap</w:t>
      </w:r>
      <w:r w:rsidR="00FB6DBD">
        <w:t>pointment of Helen Tope (Australia</w:t>
      </w:r>
      <w:r w:rsidR="00FB6DBD" w:rsidRPr="00892F44">
        <w:t xml:space="preserve">) as </w:t>
      </w:r>
      <w:r w:rsidR="001F4B6A">
        <w:t>C</w:t>
      </w:r>
      <w:r w:rsidR="00FB6DBD">
        <w:t>o-</w:t>
      </w:r>
      <w:r w:rsidR="001F4B6A">
        <w:t>C</w:t>
      </w:r>
      <w:r w:rsidR="00FB6DBD">
        <w:t>hair of the Medical and Chemical</w:t>
      </w:r>
      <w:r w:rsidR="00370830">
        <w:t>s</w:t>
      </w:r>
      <w:r w:rsidR="00FB6DBD" w:rsidRPr="00892F44">
        <w:t xml:space="preserve"> Technical Options Committee for a</w:t>
      </w:r>
      <w:r w:rsidR="00FB6DBD">
        <w:t>n additional</w:t>
      </w:r>
      <w:r w:rsidR="00FB6DBD" w:rsidRPr="00892F44">
        <w:t xml:space="preserve"> term of </w:t>
      </w:r>
      <w:r w:rsidR="00FB6DBD" w:rsidRPr="00DE37AC">
        <w:t>four</w:t>
      </w:r>
      <w:r w:rsidR="00FB6DBD" w:rsidRPr="00892F44">
        <w:t xml:space="preserve"> years; </w:t>
      </w:r>
    </w:p>
    <w:p w:rsidR="00FB6DBD" w:rsidRDefault="00E15497" w:rsidP="004E7D79">
      <w:pPr>
        <w:pStyle w:val="Normalpool"/>
        <w:numPr>
          <w:ilvl w:val="0"/>
          <w:numId w:val="13"/>
        </w:numPr>
        <w:tabs>
          <w:tab w:val="clear" w:pos="1253"/>
          <w:tab w:val="clear" w:pos="1814"/>
          <w:tab w:val="clear" w:pos="2376"/>
          <w:tab w:val="clear" w:pos="2952"/>
          <w:tab w:val="clear" w:pos="3514"/>
          <w:tab w:val="left" w:pos="624"/>
        </w:tabs>
        <w:spacing w:after="120"/>
        <w:ind w:left="1247" w:firstLine="624"/>
      </w:pPr>
      <w:r>
        <w:t>Further t</w:t>
      </w:r>
      <w:r w:rsidR="00FB6DBD" w:rsidRPr="00892F44">
        <w:t>o endorse the ap</w:t>
      </w:r>
      <w:r w:rsidR="00FB6DBD">
        <w:t>pointment of Roberto Peixoto (Brazil</w:t>
      </w:r>
      <w:r w:rsidR="00FB6DBD" w:rsidRPr="00892F44">
        <w:t xml:space="preserve">) as </w:t>
      </w:r>
      <w:r w:rsidR="001F4B6A">
        <w:t>C</w:t>
      </w:r>
      <w:r w:rsidR="00FB6DBD">
        <w:t>o-</w:t>
      </w:r>
      <w:r w:rsidR="001F4B6A">
        <w:t>C</w:t>
      </w:r>
      <w:r w:rsidR="00FB6DBD">
        <w:t>hair of the Refrigeration, Air-</w:t>
      </w:r>
      <w:r w:rsidR="00244B65">
        <w:t>C</w:t>
      </w:r>
      <w:r w:rsidR="00FB6DBD">
        <w:t xml:space="preserve">onditioning and Heat </w:t>
      </w:r>
      <w:r w:rsidR="00244B65">
        <w:t>P</w:t>
      </w:r>
      <w:r w:rsidR="00FB6DBD">
        <w:t xml:space="preserve">umps </w:t>
      </w:r>
      <w:r w:rsidR="00FB6DBD" w:rsidRPr="00892F44">
        <w:t>Technical Options Committee for a</w:t>
      </w:r>
      <w:r w:rsidR="00FB6DBD">
        <w:t>n additional</w:t>
      </w:r>
      <w:r w:rsidR="00FB6DBD" w:rsidRPr="00892F44">
        <w:t xml:space="preserve"> term of </w:t>
      </w:r>
      <w:r w:rsidR="00FB6DBD">
        <w:t>four</w:t>
      </w:r>
      <w:r w:rsidR="00FB6DBD" w:rsidRPr="00892F44">
        <w:t xml:space="preserve"> years; </w:t>
      </w:r>
    </w:p>
    <w:p w:rsidR="00FB6DBD" w:rsidRDefault="00FB6DBD" w:rsidP="004E7D79">
      <w:pPr>
        <w:pStyle w:val="Normalpool"/>
        <w:numPr>
          <w:ilvl w:val="0"/>
          <w:numId w:val="13"/>
        </w:numPr>
        <w:tabs>
          <w:tab w:val="clear" w:pos="1253"/>
          <w:tab w:val="clear" w:pos="1814"/>
          <w:tab w:val="clear" w:pos="2376"/>
          <w:tab w:val="clear" w:pos="2952"/>
          <w:tab w:val="clear" w:pos="3514"/>
          <w:tab w:val="left" w:pos="624"/>
        </w:tabs>
        <w:spacing w:after="120"/>
        <w:ind w:left="1247" w:firstLine="624"/>
      </w:pPr>
      <w:r w:rsidRPr="00892F44">
        <w:t>To endorse the ap</w:t>
      </w:r>
      <w:r>
        <w:t>pointment of Sergey Kopylov (Russian Federation</w:t>
      </w:r>
      <w:r w:rsidRPr="00892F44">
        <w:t xml:space="preserve">) as </w:t>
      </w:r>
      <w:r w:rsidR="001F4B6A">
        <w:t>C</w:t>
      </w:r>
      <w:r w:rsidRPr="00892F44">
        <w:t>o-</w:t>
      </w:r>
      <w:r w:rsidR="001F4B6A">
        <w:t>C</w:t>
      </w:r>
      <w:r w:rsidRPr="00892F44">
        <w:t>hair of the Halons Technical Options Committee for a</w:t>
      </w:r>
      <w:r>
        <w:t>n additional</w:t>
      </w:r>
      <w:r w:rsidRPr="00892F44">
        <w:t xml:space="preserve"> term of four years; </w:t>
      </w:r>
    </w:p>
    <w:p w:rsidR="00FB6DBD" w:rsidRDefault="00E15497" w:rsidP="004E7D79">
      <w:pPr>
        <w:pStyle w:val="Normalpool"/>
        <w:numPr>
          <w:ilvl w:val="0"/>
          <w:numId w:val="13"/>
        </w:numPr>
        <w:tabs>
          <w:tab w:val="clear" w:pos="1253"/>
          <w:tab w:val="clear" w:pos="1814"/>
          <w:tab w:val="clear" w:pos="2376"/>
          <w:tab w:val="clear" w:pos="2952"/>
          <w:tab w:val="clear" w:pos="3514"/>
          <w:tab w:val="left" w:pos="624"/>
        </w:tabs>
        <w:spacing w:after="120"/>
        <w:ind w:left="1247" w:firstLine="624"/>
      </w:pPr>
      <w:r>
        <w:t>Also t</w:t>
      </w:r>
      <w:r w:rsidR="00FB6DBD">
        <w:t>o endorse the appointment of</w:t>
      </w:r>
      <w:r w:rsidR="00FB6DBD" w:rsidRPr="00125E1F">
        <w:t xml:space="preserve"> Helen Walter-Terrinoni (</w:t>
      </w:r>
      <w:r w:rsidR="00FB6DBD" w:rsidRPr="00892F44">
        <w:t>United S</w:t>
      </w:r>
      <w:r w:rsidR="00FB6DBD">
        <w:t>tates</w:t>
      </w:r>
      <w:r w:rsidR="00244B65">
        <w:t xml:space="preserve"> of America</w:t>
      </w:r>
      <w:r w:rsidR="00FB6DBD">
        <w:t xml:space="preserve">) as </w:t>
      </w:r>
      <w:r w:rsidR="001F4B6A">
        <w:t>C</w:t>
      </w:r>
      <w:r w:rsidR="00FB6DBD">
        <w:t>o-</w:t>
      </w:r>
      <w:r w:rsidR="001F4B6A">
        <w:t>C</w:t>
      </w:r>
      <w:r w:rsidR="00FB6DBD">
        <w:t xml:space="preserve">hair of the </w:t>
      </w:r>
      <w:r w:rsidR="00FB6DBD">
        <w:rPr>
          <w:rFonts w:hint="eastAsia"/>
        </w:rPr>
        <w:t xml:space="preserve">Flexible and Rigid </w:t>
      </w:r>
      <w:r w:rsidR="00FB6DBD">
        <w:t>Foams</w:t>
      </w:r>
      <w:r w:rsidR="00FB6DBD" w:rsidRPr="00892F44">
        <w:t xml:space="preserve"> Technical Options Committee for a term of </w:t>
      </w:r>
      <w:r w:rsidR="00FB6DBD">
        <w:t>four</w:t>
      </w:r>
      <w:r w:rsidR="00FB6DBD" w:rsidRPr="00892F44">
        <w:t xml:space="preserve"> year</w:t>
      </w:r>
      <w:r w:rsidR="00244B65">
        <w:t>s</w:t>
      </w:r>
      <w:r w:rsidR="00FB6DBD" w:rsidRPr="00892F44">
        <w:t xml:space="preserve">; </w:t>
      </w:r>
    </w:p>
    <w:p w:rsidR="00FB6DBD" w:rsidRDefault="00E15497" w:rsidP="004E7D79">
      <w:pPr>
        <w:pStyle w:val="Normalpool"/>
        <w:numPr>
          <w:ilvl w:val="0"/>
          <w:numId w:val="13"/>
        </w:numPr>
        <w:tabs>
          <w:tab w:val="clear" w:pos="1253"/>
          <w:tab w:val="clear" w:pos="1814"/>
          <w:tab w:val="clear" w:pos="2376"/>
          <w:tab w:val="clear" w:pos="2952"/>
          <w:tab w:val="clear" w:pos="3514"/>
          <w:tab w:val="left" w:pos="624"/>
        </w:tabs>
        <w:spacing w:after="120"/>
        <w:ind w:left="1247" w:firstLine="624"/>
      </w:pPr>
      <w:r>
        <w:t>Further t</w:t>
      </w:r>
      <w:r w:rsidR="00FB6DBD" w:rsidRPr="00892F44">
        <w:t>o endorse the ap</w:t>
      </w:r>
      <w:r w:rsidR="00FB6DBD">
        <w:t>pointment of</w:t>
      </w:r>
      <w:r w:rsidR="00FB6DBD" w:rsidRPr="004E7D79">
        <w:t xml:space="preserve"> Sidi Menad Si Ahmed</w:t>
      </w:r>
      <w:r w:rsidR="00FB6DBD" w:rsidRPr="004E7D79">
        <w:rPr>
          <w:rFonts w:hint="eastAsia"/>
        </w:rPr>
        <w:t xml:space="preserve"> (Algeria)</w:t>
      </w:r>
      <w:r w:rsidR="00FB6DBD" w:rsidRPr="004E7D79">
        <w:t xml:space="preserve"> </w:t>
      </w:r>
      <w:r w:rsidR="00FB6DBD" w:rsidRPr="00892F44">
        <w:t>as</w:t>
      </w:r>
      <w:r w:rsidR="00FB6DBD">
        <w:t xml:space="preserve"> </w:t>
      </w:r>
      <w:r w:rsidR="00244B65">
        <w:t>s</w:t>
      </w:r>
      <w:r w:rsidR="00FB6DBD" w:rsidRPr="00171E82">
        <w:t xml:space="preserve">enior </w:t>
      </w:r>
      <w:r w:rsidR="00244B65">
        <w:t>e</w:t>
      </w:r>
      <w:r w:rsidR="00FB6DBD" w:rsidRPr="00171E82">
        <w:t>xpert of the Technology and Economic Ass</w:t>
      </w:r>
      <w:r w:rsidR="00FB6DBD">
        <w:t xml:space="preserve">essment Panel for a term of one </w:t>
      </w:r>
      <w:r w:rsidR="00FB6DBD" w:rsidRPr="00171E82">
        <w:t>year;</w:t>
      </w:r>
    </w:p>
    <w:p w:rsidR="00FB6DBD" w:rsidRPr="00517ECB" w:rsidRDefault="00FB6DBD" w:rsidP="004E7D79">
      <w:pPr>
        <w:pStyle w:val="Normalpool"/>
        <w:numPr>
          <w:ilvl w:val="0"/>
          <w:numId w:val="13"/>
        </w:numPr>
        <w:tabs>
          <w:tab w:val="clear" w:pos="1253"/>
          <w:tab w:val="clear" w:pos="1814"/>
          <w:tab w:val="clear" w:pos="2376"/>
          <w:tab w:val="clear" w:pos="2952"/>
          <w:tab w:val="clear" w:pos="3514"/>
          <w:tab w:val="left" w:pos="624"/>
        </w:tabs>
        <w:spacing w:after="120"/>
        <w:ind w:left="1247" w:firstLine="624"/>
      </w:pPr>
      <w:r w:rsidRPr="00892F44">
        <w:t>To endorse the ap</w:t>
      </w:r>
      <w:r>
        <w:t>pointment of</w:t>
      </w:r>
      <w:r w:rsidRPr="004E7D79">
        <w:t xml:space="preserve"> </w:t>
      </w:r>
      <w:r w:rsidR="00C773FB" w:rsidRPr="004E7D79">
        <w:rPr>
          <w:rFonts w:hint="eastAsia"/>
        </w:rPr>
        <w:t xml:space="preserve">Shiqiu </w:t>
      </w:r>
      <w:r w:rsidRPr="004E7D79">
        <w:rPr>
          <w:rFonts w:hint="eastAsia"/>
        </w:rPr>
        <w:t>Zhang (China)</w:t>
      </w:r>
      <w:r w:rsidRPr="004E7D79">
        <w:t xml:space="preserve"> </w:t>
      </w:r>
      <w:r w:rsidRPr="00892F44">
        <w:t>as</w:t>
      </w:r>
      <w:r>
        <w:t xml:space="preserve"> </w:t>
      </w:r>
      <w:r w:rsidR="00244B65">
        <w:t>s</w:t>
      </w:r>
      <w:r w:rsidRPr="00171E82">
        <w:t xml:space="preserve">enior </w:t>
      </w:r>
      <w:r w:rsidR="00244B65">
        <w:t>e</w:t>
      </w:r>
      <w:r w:rsidRPr="00171E82">
        <w:t xml:space="preserve">xpert of the </w:t>
      </w:r>
      <w:r>
        <w:t>Panel for a term of one</w:t>
      </w:r>
      <w:r w:rsidRPr="00171E82">
        <w:t xml:space="preserve"> year;</w:t>
      </w:r>
    </w:p>
    <w:p w:rsidR="00FB6DBD" w:rsidRDefault="00E15497" w:rsidP="004E7D79">
      <w:pPr>
        <w:pStyle w:val="Normalpool"/>
        <w:numPr>
          <w:ilvl w:val="0"/>
          <w:numId w:val="13"/>
        </w:numPr>
        <w:tabs>
          <w:tab w:val="clear" w:pos="1253"/>
          <w:tab w:val="clear" w:pos="1814"/>
          <w:tab w:val="clear" w:pos="2376"/>
          <w:tab w:val="clear" w:pos="2952"/>
          <w:tab w:val="clear" w:pos="3514"/>
          <w:tab w:val="left" w:pos="624"/>
        </w:tabs>
        <w:spacing w:after="120"/>
        <w:ind w:left="1247" w:firstLine="624"/>
      </w:pPr>
      <w:r>
        <w:t>Also t</w:t>
      </w:r>
      <w:r w:rsidR="00FB6DBD" w:rsidRPr="00892F44">
        <w:t>o endorse the ap</w:t>
      </w:r>
      <w:r w:rsidR="00FB6DBD">
        <w:t>pointment of</w:t>
      </w:r>
      <w:r w:rsidR="00FB6DBD" w:rsidRPr="004E7D79">
        <w:t xml:space="preserve"> Marco Gonz</w:t>
      </w:r>
      <w:r w:rsidR="0015712B" w:rsidRPr="004E7D79">
        <w:t>á</w:t>
      </w:r>
      <w:r w:rsidR="00FB6DBD" w:rsidRPr="004E7D79">
        <w:t xml:space="preserve">lez </w:t>
      </w:r>
      <w:r w:rsidR="00FB6DBD" w:rsidRPr="004E7D79">
        <w:rPr>
          <w:rFonts w:hint="eastAsia"/>
        </w:rPr>
        <w:t>(Costa Rica)</w:t>
      </w:r>
      <w:r w:rsidR="00FB6DBD" w:rsidRPr="004E7D79">
        <w:t xml:space="preserve"> </w:t>
      </w:r>
      <w:r w:rsidR="00FB6DBD" w:rsidRPr="00892F44">
        <w:t>as</w:t>
      </w:r>
      <w:r w:rsidR="00FB6DBD">
        <w:t xml:space="preserve"> </w:t>
      </w:r>
      <w:r w:rsidR="00244B65">
        <w:t>s</w:t>
      </w:r>
      <w:r w:rsidR="00FB6DBD" w:rsidRPr="00171E82">
        <w:t xml:space="preserve">enior </w:t>
      </w:r>
      <w:r w:rsidR="00244B65">
        <w:t>e</w:t>
      </w:r>
      <w:r w:rsidR="00FB6DBD" w:rsidRPr="00171E82">
        <w:t xml:space="preserve">xpert of the </w:t>
      </w:r>
      <w:r w:rsidR="00FB6DBD">
        <w:t>Panel for a term of one</w:t>
      </w:r>
      <w:r w:rsidR="00FB6DBD" w:rsidRPr="00171E82">
        <w:t xml:space="preserve"> year;</w:t>
      </w:r>
    </w:p>
    <w:p w:rsidR="00FB6DBD" w:rsidRDefault="00E15497" w:rsidP="004E7D79">
      <w:pPr>
        <w:pStyle w:val="Normalpool"/>
        <w:numPr>
          <w:ilvl w:val="0"/>
          <w:numId w:val="22"/>
        </w:numPr>
        <w:tabs>
          <w:tab w:val="clear" w:pos="1253"/>
          <w:tab w:val="clear" w:pos="1814"/>
          <w:tab w:val="clear" w:pos="2376"/>
          <w:tab w:val="clear" w:pos="2952"/>
          <w:tab w:val="clear" w:pos="3514"/>
          <w:tab w:val="left" w:pos="624"/>
        </w:tabs>
        <w:spacing w:after="120"/>
        <w:ind w:left="1276" w:firstLine="567"/>
      </w:pPr>
      <w:r>
        <w:t>Further t</w:t>
      </w:r>
      <w:r w:rsidR="00FB6DBD">
        <w:t xml:space="preserve">o </w:t>
      </w:r>
      <w:r w:rsidR="00FB6DBD" w:rsidRPr="00892F44">
        <w:t xml:space="preserve">endorse </w:t>
      </w:r>
      <w:r w:rsidR="00FB6DBD">
        <w:t xml:space="preserve">the </w:t>
      </w:r>
      <w:r w:rsidR="00FB6DBD" w:rsidRPr="00892F44">
        <w:t>ap</w:t>
      </w:r>
      <w:r w:rsidR="00FB6DBD">
        <w:t>pointment of Mohamed Besri (Morocco</w:t>
      </w:r>
      <w:r w:rsidR="00FB6DBD" w:rsidRPr="00892F44">
        <w:t>) as</w:t>
      </w:r>
      <w:r w:rsidR="00FB6DBD">
        <w:t xml:space="preserve"> </w:t>
      </w:r>
      <w:r w:rsidR="00244B65">
        <w:t>s</w:t>
      </w:r>
      <w:r w:rsidR="00FB6DBD" w:rsidRPr="00171E82">
        <w:t xml:space="preserve">enior </w:t>
      </w:r>
      <w:r w:rsidR="00244B65">
        <w:t>e</w:t>
      </w:r>
      <w:r w:rsidR="00FB6DBD" w:rsidRPr="00171E82">
        <w:t xml:space="preserve">xpert of the </w:t>
      </w:r>
      <w:r w:rsidR="00FB6DBD">
        <w:t>Panel for a term of one</w:t>
      </w:r>
      <w:r w:rsidR="00FB6DBD" w:rsidRPr="00171E82">
        <w:t xml:space="preserve"> year</w:t>
      </w:r>
      <w:r w:rsidR="00FB6DBD">
        <w:t>;</w:t>
      </w:r>
    </w:p>
    <w:p w:rsidR="00FB6DBD" w:rsidRDefault="00FB6DBD" w:rsidP="004E7D79">
      <w:pPr>
        <w:pStyle w:val="Normalpool"/>
        <w:numPr>
          <w:ilvl w:val="0"/>
          <w:numId w:val="22"/>
        </w:numPr>
        <w:tabs>
          <w:tab w:val="clear" w:pos="1253"/>
          <w:tab w:val="clear" w:pos="1814"/>
          <w:tab w:val="clear" w:pos="2376"/>
          <w:tab w:val="clear" w:pos="2952"/>
          <w:tab w:val="clear" w:pos="3514"/>
          <w:tab w:val="left" w:pos="624"/>
        </w:tabs>
        <w:spacing w:after="120"/>
        <w:ind w:left="1276" w:firstLine="567"/>
      </w:pPr>
      <w:r>
        <w:t xml:space="preserve">To encourage parties to consult </w:t>
      </w:r>
      <w:r w:rsidR="00244B65">
        <w:t>one an</w:t>
      </w:r>
      <w:r>
        <w:t xml:space="preserve">other on potential nominations of </w:t>
      </w:r>
      <w:r w:rsidR="00244B65">
        <w:t>s</w:t>
      </w:r>
      <w:r>
        <w:t xml:space="preserve">enior </w:t>
      </w:r>
      <w:r w:rsidR="00244B65">
        <w:t>e</w:t>
      </w:r>
      <w:r>
        <w:t xml:space="preserve">xperts and </w:t>
      </w:r>
      <w:r w:rsidR="00244B65">
        <w:t xml:space="preserve">to </w:t>
      </w:r>
      <w:r>
        <w:t xml:space="preserve">refer to the matrix of expertise needed prior to making nominations for appointments of </w:t>
      </w:r>
      <w:r w:rsidR="00244B65">
        <w:t>s</w:t>
      </w:r>
      <w:r>
        <w:t xml:space="preserve">enior </w:t>
      </w:r>
      <w:r w:rsidR="00244B65">
        <w:t>e</w:t>
      </w:r>
      <w:r>
        <w:t>xperts to the</w:t>
      </w:r>
      <w:r w:rsidRPr="00892F44">
        <w:t xml:space="preserve"> Panel</w:t>
      </w:r>
      <w:r>
        <w:t>;</w:t>
      </w:r>
      <w:r w:rsidRPr="00892F44">
        <w:t xml:space="preserve"> </w:t>
      </w:r>
    </w:p>
    <w:p w:rsidR="00FB6DBD" w:rsidRDefault="00FB6DBD" w:rsidP="004E7D79">
      <w:pPr>
        <w:pStyle w:val="Normalpool"/>
        <w:numPr>
          <w:ilvl w:val="0"/>
          <w:numId w:val="22"/>
        </w:numPr>
        <w:tabs>
          <w:tab w:val="clear" w:pos="1253"/>
          <w:tab w:val="clear" w:pos="1814"/>
          <w:tab w:val="clear" w:pos="2376"/>
          <w:tab w:val="clear" w:pos="2952"/>
          <w:tab w:val="clear" w:pos="3514"/>
          <w:tab w:val="left" w:pos="624"/>
        </w:tabs>
        <w:spacing w:after="120"/>
        <w:ind w:left="1276" w:firstLine="567"/>
      </w:pPr>
      <w:r>
        <w:t xml:space="preserve">To request the Secretariat to add to the agenda for the fortieth meeting of the </w:t>
      </w:r>
      <w:r w:rsidR="00435E3D">
        <w:br/>
      </w:r>
      <w:r>
        <w:t>Open-</w:t>
      </w:r>
      <w:r w:rsidR="00E15497">
        <w:t>e</w:t>
      </w:r>
      <w:r>
        <w:t xml:space="preserve">nded Working Group consideration of </w:t>
      </w:r>
      <w:r w:rsidR="00244B65">
        <w:t>s</w:t>
      </w:r>
      <w:r>
        <w:t xml:space="preserve">enior </w:t>
      </w:r>
      <w:r w:rsidR="00244B65">
        <w:t>e</w:t>
      </w:r>
      <w:r>
        <w:t>xpert nominations from parties</w:t>
      </w:r>
      <w:r w:rsidR="00DB766E">
        <w:t>;</w:t>
      </w:r>
      <w:r w:rsidR="00370830">
        <w:t xml:space="preserve"> </w:t>
      </w:r>
    </w:p>
    <w:p w:rsidR="00FB6DBD" w:rsidRPr="003F58E6" w:rsidRDefault="00FB6DBD" w:rsidP="00CD35BB">
      <w:pPr>
        <w:pStyle w:val="CH2"/>
        <w:spacing w:before="240"/>
        <w:outlineLvl w:val="0"/>
      </w:pPr>
      <w:r>
        <w:lastRenderedPageBreak/>
        <w:tab/>
      </w:r>
      <w:r>
        <w:tab/>
        <w:t xml:space="preserve">Decision </w:t>
      </w:r>
      <w:r w:rsidRPr="003F58E6">
        <w:t>XXIX/</w:t>
      </w:r>
      <w:r>
        <w:t>21</w:t>
      </w:r>
      <w:r w:rsidRPr="003F58E6">
        <w:t xml:space="preserve">: Membership of the Implementation Committee </w:t>
      </w:r>
    </w:p>
    <w:p w:rsidR="00FB6DBD" w:rsidRDefault="00FB6DBD" w:rsidP="00CD35BB">
      <w:pPr>
        <w:pStyle w:val="Normalpool"/>
        <w:keepNext/>
        <w:keepLines/>
        <w:tabs>
          <w:tab w:val="clear" w:pos="1253"/>
          <w:tab w:val="clear" w:pos="1814"/>
          <w:tab w:val="clear" w:pos="2376"/>
          <w:tab w:val="clear" w:pos="2952"/>
          <w:tab w:val="clear" w:pos="3514"/>
          <w:tab w:val="left" w:pos="624"/>
        </w:tabs>
        <w:spacing w:after="120"/>
        <w:ind w:left="1247" w:firstLine="624"/>
      </w:pPr>
      <w:r>
        <w:t>1.</w:t>
      </w:r>
      <w:r>
        <w:tab/>
        <w:t xml:space="preserve">To note with appreciation the work carried out by the Implementation Committee under the Non-Compliance Procedure for the Montreal Protocol in 2017; </w:t>
      </w:r>
    </w:p>
    <w:p w:rsidR="00FB6DBD" w:rsidRDefault="00FB6DBD" w:rsidP="004E7D79">
      <w:pPr>
        <w:pStyle w:val="Normalpool"/>
        <w:tabs>
          <w:tab w:val="clear" w:pos="1253"/>
          <w:tab w:val="clear" w:pos="1814"/>
          <w:tab w:val="clear" w:pos="2376"/>
          <w:tab w:val="clear" w:pos="2952"/>
          <w:tab w:val="clear" w:pos="3514"/>
          <w:tab w:val="left" w:pos="624"/>
        </w:tabs>
        <w:spacing w:after="120"/>
        <w:ind w:left="1247" w:firstLine="624"/>
      </w:pPr>
      <w:r>
        <w:t>2.</w:t>
      </w:r>
      <w:r>
        <w:tab/>
        <w:t>To confirm the positions of the Congo, Georgia, Jordan, Paraguay and the United</w:t>
      </w:r>
      <w:r w:rsidR="00435E3D">
        <w:t> </w:t>
      </w:r>
      <w:r>
        <w:t>Kingdom of Great Britain and Northern Ireland as members of the Committee for one further year and to select Australia, Chile, Maldives, Poland and South Africa as members of the Committee for a two-year period beginning on 1 January 2018;</w:t>
      </w:r>
    </w:p>
    <w:p w:rsidR="00FB6DBD" w:rsidRDefault="00FB6DBD" w:rsidP="004E7D79">
      <w:pPr>
        <w:pStyle w:val="Normalpool"/>
        <w:tabs>
          <w:tab w:val="clear" w:pos="1253"/>
          <w:tab w:val="clear" w:pos="1814"/>
          <w:tab w:val="clear" w:pos="2376"/>
          <w:tab w:val="clear" w:pos="2952"/>
          <w:tab w:val="clear" w:pos="3514"/>
          <w:tab w:val="left" w:pos="624"/>
        </w:tabs>
        <w:spacing w:after="120"/>
        <w:ind w:left="1247" w:firstLine="624"/>
      </w:pPr>
      <w:r>
        <w:t>3.</w:t>
      </w:r>
      <w:r>
        <w:tab/>
        <w:t>To note the selection of Miruza Mohamed (Maldives) to serve as President and Lesley Dowling (Australia) to serve as Vice</w:t>
      </w:r>
      <w:r>
        <w:noBreakHyphen/>
        <w:t>President and Rapporteur of the Committee for one year</w:t>
      </w:r>
      <w:r w:rsidR="00244B65">
        <w:t>,</w:t>
      </w:r>
      <w:r>
        <w:t xml:space="preserve"> beginning on 1 January 2018; </w:t>
      </w:r>
    </w:p>
    <w:p w:rsidR="00FB6DBD" w:rsidRDefault="00FB6DBD" w:rsidP="004E7D79">
      <w:pPr>
        <w:pStyle w:val="CH2"/>
        <w:keepNext w:val="0"/>
        <w:keepLines w:val="0"/>
        <w:spacing w:before="240"/>
        <w:outlineLvl w:val="0"/>
      </w:pPr>
      <w:r>
        <w:tab/>
      </w:r>
      <w:r>
        <w:tab/>
        <w:t>Decision XXIX/22</w:t>
      </w:r>
      <w:r w:rsidRPr="003F58E6">
        <w:t>: Membership of the Executive Committee of the Multilateral Fund</w:t>
      </w:r>
      <w:r>
        <w:t xml:space="preserve"> </w:t>
      </w:r>
    </w:p>
    <w:p w:rsidR="00FB6DBD" w:rsidRDefault="00FB6DBD" w:rsidP="004E7D79">
      <w:pPr>
        <w:pStyle w:val="Normalpool"/>
        <w:tabs>
          <w:tab w:val="clear" w:pos="1253"/>
          <w:tab w:val="clear" w:pos="1814"/>
          <w:tab w:val="clear" w:pos="2376"/>
          <w:tab w:val="clear" w:pos="2952"/>
          <w:tab w:val="clear" w:pos="3514"/>
          <w:tab w:val="left" w:pos="624"/>
        </w:tabs>
        <w:spacing w:after="120"/>
        <w:ind w:left="1247" w:firstLine="624"/>
      </w:pPr>
      <w:r>
        <w:t>1.</w:t>
      </w:r>
      <w:r>
        <w:tab/>
        <w:t xml:space="preserve">To note with appreciation the work carried out by the Executive Committee of the Multilateral Fund for the Implementation of the Montreal Protocol with the assistance of the Fund secretariat in 2017; </w:t>
      </w:r>
    </w:p>
    <w:p w:rsidR="00FB6DBD" w:rsidRPr="00F70ACD" w:rsidRDefault="00FB6DBD" w:rsidP="004E7D79">
      <w:pPr>
        <w:pStyle w:val="Normalpool"/>
        <w:tabs>
          <w:tab w:val="clear" w:pos="1253"/>
          <w:tab w:val="clear" w:pos="1814"/>
          <w:tab w:val="clear" w:pos="2376"/>
          <w:tab w:val="clear" w:pos="2952"/>
          <w:tab w:val="clear" w:pos="3514"/>
          <w:tab w:val="left" w:pos="624"/>
        </w:tabs>
        <w:spacing w:after="120"/>
        <w:ind w:left="1247" w:firstLine="624"/>
      </w:pPr>
      <w:r>
        <w:t>2.</w:t>
      </w:r>
      <w:r>
        <w:tab/>
      </w:r>
      <w:r w:rsidRPr="00F70ACD">
        <w:t>To endorse the selection of Argentina,</w:t>
      </w:r>
      <w:r>
        <w:t xml:space="preserve"> </w:t>
      </w:r>
      <w:r w:rsidRPr="00F70ACD">
        <w:t xml:space="preserve">Benin, </w:t>
      </w:r>
      <w:r w:rsidR="00677EF3">
        <w:t xml:space="preserve">the </w:t>
      </w:r>
      <w:r w:rsidRPr="00F70ACD">
        <w:t>Dominican Republic, Grenada,</w:t>
      </w:r>
      <w:r>
        <w:t xml:space="preserve"> </w:t>
      </w:r>
      <w:r w:rsidRPr="00F70ACD">
        <w:t>India, Lebanon</w:t>
      </w:r>
      <w:r>
        <w:t xml:space="preserve"> and </w:t>
      </w:r>
      <w:r w:rsidRPr="00F70ACD">
        <w:t xml:space="preserve">Nigeria as members of the Executive Committee, representing parties operating under paragraph 1 of Article 5 of the Protocol, and the selection of Belgium, Canada, France, Japan, Norway, Slovakia and </w:t>
      </w:r>
      <w:r w:rsidR="00677EF3">
        <w:t xml:space="preserve">the </w:t>
      </w:r>
      <w:r w:rsidRPr="00F70ACD">
        <w:t xml:space="preserve">United States of America as members representing parties not so operating, for one year beginning 1 January 2018; </w:t>
      </w:r>
    </w:p>
    <w:p w:rsidR="00FB6DBD" w:rsidRDefault="00FB6DBD" w:rsidP="004E7D79">
      <w:pPr>
        <w:pStyle w:val="Normalpool"/>
        <w:tabs>
          <w:tab w:val="clear" w:pos="1253"/>
          <w:tab w:val="clear" w:pos="1814"/>
          <w:tab w:val="clear" w:pos="2376"/>
          <w:tab w:val="clear" w:pos="2952"/>
          <w:tab w:val="clear" w:pos="3514"/>
          <w:tab w:val="left" w:pos="624"/>
        </w:tabs>
        <w:spacing w:after="120"/>
        <w:ind w:left="1247" w:firstLine="624"/>
      </w:pPr>
      <w:r>
        <w:t>3.</w:t>
      </w:r>
      <w:r>
        <w:tab/>
      </w:r>
      <w:r w:rsidRPr="00F70ACD">
        <w:t>To note the selection of</w:t>
      </w:r>
      <w:r>
        <w:t xml:space="preserve"> Mazen Hussein (Lebanon)</w:t>
      </w:r>
      <w:r w:rsidRPr="00F70ACD">
        <w:t xml:space="preserve"> to serve as Chair and</w:t>
      </w:r>
      <w:r>
        <w:t xml:space="preserve"> Philippe Chemoun</w:t>
      </w:r>
      <w:r w:rsidRPr="00F70ACD">
        <w:t>y (Canada) to serve as Vice-Chair of the Executive Committee for one year b</w:t>
      </w:r>
      <w:r>
        <w:t>eginning 1</w:t>
      </w:r>
      <w:r w:rsidR="00435E3D">
        <w:t> </w:t>
      </w:r>
      <w:r>
        <w:t>January 2018;</w:t>
      </w:r>
    </w:p>
    <w:p w:rsidR="00FB6DBD" w:rsidRPr="004E7D79" w:rsidRDefault="00FB6DBD" w:rsidP="004E7D79">
      <w:pPr>
        <w:pStyle w:val="CH2"/>
      </w:pPr>
      <w:r w:rsidRPr="004E7D79">
        <w:tab/>
      </w:r>
      <w:r w:rsidRPr="004E7D79">
        <w:tab/>
        <w:t xml:space="preserve">Decision XXIX/23: Co-Chairs of the Open-ended Working Group of the Parties to the Montreal Protocol </w:t>
      </w:r>
    </w:p>
    <w:p w:rsidR="00FB6DBD" w:rsidRDefault="00FB6DBD" w:rsidP="004E7D79">
      <w:pPr>
        <w:pStyle w:val="Normalpool"/>
        <w:tabs>
          <w:tab w:val="clear" w:pos="1253"/>
          <w:tab w:val="clear" w:pos="1814"/>
          <w:tab w:val="clear" w:pos="2376"/>
          <w:tab w:val="clear" w:pos="2952"/>
          <w:tab w:val="clear" w:pos="3514"/>
          <w:tab w:val="left" w:pos="624"/>
        </w:tabs>
        <w:spacing w:after="120"/>
        <w:ind w:left="1247" w:firstLine="624"/>
      </w:pPr>
      <w:r>
        <w:t>To endorse the selection of Yaqoub Almatouq (Kuwait) and Cynthia Newberg (United States of America) as Co-Chairs of the Open-ended Working Group of the Parties to the Montreal Protocol in 2018;</w:t>
      </w:r>
    </w:p>
    <w:p w:rsidR="00FB6DBD" w:rsidRPr="004E7D79" w:rsidRDefault="00FB6DBD" w:rsidP="004E7D79">
      <w:pPr>
        <w:pStyle w:val="CH2"/>
      </w:pPr>
      <w:r w:rsidRPr="004E7D79">
        <w:tab/>
      </w:r>
      <w:r w:rsidRPr="004E7D79">
        <w:tab/>
        <w:t>Decision XXIX/24: Financial reports and budgets for the Montreal Protocol on Substances that Deplete the Ozone Layer</w:t>
      </w:r>
    </w:p>
    <w:p w:rsidR="00FB6DBD" w:rsidRPr="006308D9"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6308D9">
        <w:rPr>
          <w:i/>
        </w:rPr>
        <w:t xml:space="preserve">Recalling </w:t>
      </w:r>
      <w:r w:rsidRPr="006308D9">
        <w:t>decision XXVIII/16 on financial reports and budgets for the Montreal Protocol</w:t>
      </w:r>
      <w:r>
        <w:t xml:space="preserve"> on Substances that Deplete the Ozone Layer</w:t>
      </w:r>
      <w:r w:rsidRPr="006308D9">
        <w:t>,</w:t>
      </w:r>
    </w:p>
    <w:p w:rsidR="00FB6DBD" w:rsidRPr="00533FB6" w:rsidRDefault="00FB6DBD" w:rsidP="004E7D79">
      <w:pPr>
        <w:pStyle w:val="Normalpool"/>
        <w:tabs>
          <w:tab w:val="clear" w:pos="1253"/>
          <w:tab w:val="clear" w:pos="1814"/>
          <w:tab w:val="clear" w:pos="2376"/>
          <w:tab w:val="clear" w:pos="2952"/>
          <w:tab w:val="clear" w:pos="3514"/>
          <w:tab w:val="left" w:pos="624"/>
        </w:tabs>
        <w:spacing w:after="120"/>
        <w:ind w:left="1247" w:firstLine="624"/>
        <w:rPr>
          <w:bCs/>
          <w:i/>
        </w:rPr>
      </w:pPr>
      <w:r w:rsidRPr="006308D9">
        <w:rPr>
          <w:i/>
        </w:rPr>
        <w:t xml:space="preserve">Taking note </w:t>
      </w:r>
      <w:r w:rsidRPr="006308D9">
        <w:t>of the</w:t>
      </w:r>
      <w:r w:rsidRPr="004B7F34">
        <w:t xml:space="preserve"> </w:t>
      </w:r>
      <w:r w:rsidRPr="006308D9">
        <w:t>f</w:t>
      </w:r>
      <w:r w:rsidRPr="004B7F34">
        <w:t>inancial report</w:t>
      </w:r>
      <w:r>
        <w:t xml:space="preserve"> on the T</w:t>
      </w:r>
      <w:r w:rsidRPr="004B7F34">
        <w:t xml:space="preserve">rust </w:t>
      </w:r>
      <w:r>
        <w:t>F</w:t>
      </w:r>
      <w:r w:rsidRPr="004B7F34">
        <w:t xml:space="preserve">und for </w:t>
      </w:r>
      <w:bookmarkStart w:id="5" w:name="_Hlk499282628"/>
      <w:r w:rsidRPr="004B7F34">
        <w:t xml:space="preserve">the Montreal Protocol on Substances that Deplete the Ozone Layer </w:t>
      </w:r>
      <w:bookmarkEnd w:id="5"/>
      <w:r w:rsidRPr="006308D9">
        <w:t>for the fiscal year 2016,</w:t>
      </w:r>
      <w:r w:rsidRPr="00533FB6">
        <w:rPr>
          <w:vertAlign w:val="superscript"/>
        </w:rPr>
        <w:footnoteReference w:id="4"/>
      </w:r>
    </w:p>
    <w:p w:rsidR="00FB6DBD" w:rsidRPr="006308D9" w:rsidRDefault="00FB6DBD" w:rsidP="004E7D79">
      <w:pPr>
        <w:pStyle w:val="Normalpool"/>
        <w:tabs>
          <w:tab w:val="clear" w:pos="1253"/>
          <w:tab w:val="clear" w:pos="1814"/>
          <w:tab w:val="clear" w:pos="2376"/>
          <w:tab w:val="clear" w:pos="2952"/>
          <w:tab w:val="clear" w:pos="3514"/>
          <w:tab w:val="left" w:pos="624"/>
        </w:tabs>
        <w:spacing w:after="120"/>
        <w:ind w:left="1247" w:firstLine="624"/>
        <w:rPr>
          <w:i/>
        </w:rPr>
      </w:pPr>
      <w:r w:rsidRPr="006308D9">
        <w:rPr>
          <w:i/>
        </w:rPr>
        <w:t xml:space="preserve">Recognizing </w:t>
      </w:r>
      <w:r w:rsidRPr="006308D9">
        <w:t xml:space="preserve">that </w:t>
      </w:r>
      <w:r w:rsidRPr="00E114EE">
        <w:t xml:space="preserve">voluntary </w:t>
      </w:r>
      <w:r w:rsidRPr="00E114EE">
        <w:rPr>
          <w:bCs/>
          <w:color w:val="000000"/>
        </w:rPr>
        <w:t>contributions</w:t>
      </w:r>
      <w:r>
        <w:rPr>
          <w:bCs/>
          <w:color w:val="000000"/>
        </w:rPr>
        <w:t>,</w:t>
      </w:r>
      <w:r w:rsidRPr="006308D9">
        <w:t xml:space="preserve"> </w:t>
      </w:r>
      <w:r>
        <w:t xml:space="preserve">once agreed upon, </w:t>
      </w:r>
      <w:r w:rsidRPr="006308D9">
        <w:t>are an essential complement for the effective implementation of the Montreal Protocol,</w:t>
      </w:r>
    </w:p>
    <w:p w:rsidR="00FB6DBD" w:rsidRPr="006308D9" w:rsidRDefault="00FB6DBD" w:rsidP="004E7D79">
      <w:pPr>
        <w:pStyle w:val="Normalpool"/>
        <w:tabs>
          <w:tab w:val="clear" w:pos="1253"/>
          <w:tab w:val="clear" w:pos="1814"/>
          <w:tab w:val="clear" w:pos="2376"/>
          <w:tab w:val="clear" w:pos="2952"/>
          <w:tab w:val="clear" w:pos="3514"/>
          <w:tab w:val="left" w:pos="624"/>
        </w:tabs>
        <w:spacing w:after="120"/>
        <w:ind w:left="1247" w:firstLine="624"/>
      </w:pPr>
      <w:r w:rsidRPr="006308D9">
        <w:rPr>
          <w:i/>
        </w:rPr>
        <w:t xml:space="preserve">Welcoming </w:t>
      </w:r>
      <w:r w:rsidRPr="006308D9">
        <w:t>the continued efficient management by the Secretariat of the finances of the Trust Fund,</w:t>
      </w:r>
    </w:p>
    <w:p w:rsidR="00FB6DBD" w:rsidRDefault="00FB6DBD" w:rsidP="004E7D79">
      <w:pPr>
        <w:pStyle w:val="Normalpool"/>
        <w:numPr>
          <w:ilvl w:val="0"/>
          <w:numId w:val="12"/>
        </w:numPr>
        <w:tabs>
          <w:tab w:val="clear" w:pos="1253"/>
          <w:tab w:val="clear" w:pos="1814"/>
          <w:tab w:val="clear" w:pos="2376"/>
          <w:tab w:val="clear" w:pos="2952"/>
          <w:tab w:val="clear" w:pos="3514"/>
          <w:tab w:val="left" w:pos="624"/>
        </w:tabs>
        <w:spacing w:after="120"/>
        <w:ind w:left="1247" w:firstLine="624"/>
      </w:pPr>
      <w:r w:rsidRPr="000E6083">
        <w:t xml:space="preserve">To </w:t>
      </w:r>
      <w:r>
        <w:t xml:space="preserve">express its </w:t>
      </w:r>
      <w:r w:rsidRPr="000E6083">
        <w:t>appreciat</w:t>
      </w:r>
      <w:r>
        <w:t>ion to</w:t>
      </w:r>
      <w:r w:rsidRPr="000E6083">
        <w:t xml:space="preserve"> </w:t>
      </w:r>
      <w:r>
        <w:t xml:space="preserve">the Government of </w:t>
      </w:r>
      <w:r w:rsidRPr="000E6083">
        <w:t xml:space="preserve">Canada for the generous hosting of and contribution towards the </w:t>
      </w:r>
      <w:r>
        <w:rPr>
          <w:rFonts w:eastAsia="Batang"/>
        </w:rPr>
        <w:t>joint eleventh</w:t>
      </w:r>
      <w:r w:rsidRPr="00C633A0">
        <w:rPr>
          <w:rFonts w:eastAsia="Batang"/>
        </w:rPr>
        <w:t xml:space="preserve"> meeting</w:t>
      </w:r>
      <w:r>
        <w:rPr>
          <w:rFonts w:eastAsia="Batang"/>
        </w:rPr>
        <w:t xml:space="preserve"> of the Conference of the Parties to the Vienna Convention </w:t>
      </w:r>
      <w:r w:rsidRPr="006308D9">
        <w:rPr>
          <w:rFonts w:eastAsia="Batang"/>
        </w:rPr>
        <w:t>for the Protection of the Ozone Layer</w:t>
      </w:r>
      <w:r>
        <w:rPr>
          <w:rFonts w:eastAsia="Batang"/>
        </w:rPr>
        <w:t xml:space="preserve"> and the </w:t>
      </w:r>
      <w:r>
        <w:t>Twenty-Ninth</w:t>
      </w:r>
      <w:r w:rsidRPr="000E6083">
        <w:t xml:space="preserve"> </w:t>
      </w:r>
      <w:r>
        <w:t>M</w:t>
      </w:r>
      <w:r w:rsidRPr="000E6083">
        <w:t>eeting</w:t>
      </w:r>
      <w:r>
        <w:t xml:space="preserve"> of the Parties to the </w:t>
      </w:r>
      <w:r w:rsidRPr="004B7F34">
        <w:t>Montreal Protocol on Substances that Deplete the Ozone Layer</w:t>
      </w:r>
      <w:r w:rsidRPr="000E6083">
        <w:t>, and to allocate 50</w:t>
      </w:r>
      <w:r>
        <w:t xml:space="preserve"> per cent</w:t>
      </w:r>
      <w:r w:rsidRPr="000E6083">
        <w:t xml:space="preserve"> of </w:t>
      </w:r>
      <w:r>
        <w:t>that</w:t>
      </w:r>
      <w:r w:rsidRPr="000E6083">
        <w:t xml:space="preserve"> contribution</w:t>
      </w:r>
      <w:r>
        <w:t>,</w:t>
      </w:r>
      <w:r w:rsidRPr="000E6083">
        <w:t xml:space="preserve"> entitled </w:t>
      </w:r>
      <w:r>
        <w:t>“C</w:t>
      </w:r>
      <w:r w:rsidRPr="000E6083">
        <w:t xml:space="preserve">ontribution for the organization of the joint </w:t>
      </w:r>
      <w:r w:rsidR="00F91C42">
        <w:t xml:space="preserve">Twenty-Ninth </w:t>
      </w:r>
      <w:r w:rsidRPr="000E6083">
        <w:t xml:space="preserve">Meeting of the Parties to the Montreal Protocol and the </w:t>
      </w:r>
      <w:r w:rsidR="00F91C42">
        <w:t>eleventh</w:t>
      </w:r>
      <w:r>
        <w:t xml:space="preserve"> meeting of the</w:t>
      </w:r>
      <w:r w:rsidRPr="000E6083">
        <w:t xml:space="preserve"> Conference of the Parties to the Vienna Convention</w:t>
      </w:r>
      <w:r>
        <w:t>”,</w:t>
      </w:r>
      <w:r w:rsidRPr="000E6083">
        <w:t xml:space="preserve"> to the Trust Fund </w:t>
      </w:r>
      <w:r>
        <w:t xml:space="preserve">for the </w:t>
      </w:r>
      <w:r w:rsidRPr="000E6083">
        <w:t>Montreal Protocol</w:t>
      </w:r>
      <w:r>
        <w:t xml:space="preserve"> </w:t>
      </w:r>
      <w:r w:rsidRPr="000E6083">
        <w:t>to be reflected in t</w:t>
      </w:r>
      <w:r>
        <w:t>he financial statement for 2017;</w:t>
      </w:r>
      <w:r w:rsidRPr="000E6083">
        <w:t> </w:t>
      </w:r>
    </w:p>
    <w:p w:rsidR="00FB6DBD" w:rsidRDefault="00FB6DBD" w:rsidP="004E7D79">
      <w:pPr>
        <w:pStyle w:val="Normalpool"/>
        <w:numPr>
          <w:ilvl w:val="0"/>
          <w:numId w:val="12"/>
        </w:numPr>
        <w:tabs>
          <w:tab w:val="clear" w:pos="1253"/>
          <w:tab w:val="clear" w:pos="1814"/>
          <w:tab w:val="clear" w:pos="2376"/>
          <w:tab w:val="clear" w:pos="2952"/>
          <w:tab w:val="clear" w:pos="3514"/>
          <w:tab w:val="left" w:pos="624"/>
        </w:tabs>
        <w:spacing w:after="120"/>
        <w:ind w:left="1247" w:firstLine="624"/>
      </w:pPr>
      <w:r w:rsidRPr="006308D9">
        <w:t xml:space="preserve">To approve the revised budget </w:t>
      </w:r>
      <w:r>
        <w:t xml:space="preserve">for </w:t>
      </w:r>
      <w:r w:rsidRPr="006308D9">
        <w:t>2017 in the amount</w:t>
      </w:r>
      <w:r>
        <w:t xml:space="preserve"> of $5,145,954 </w:t>
      </w:r>
      <w:r w:rsidRPr="006308D9">
        <w:t xml:space="preserve">and the budget of </w:t>
      </w:r>
      <w:r>
        <w:t>$5,546,722</w:t>
      </w:r>
      <w:r w:rsidRPr="006308D9">
        <w:t xml:space="preserve"> for 2018, as set out in annex </w:t>
      </w:r>
      <w:r>
        <w:t>I</w:t>
      </w:r>
      <w:r w:rsidR="00206CEF">
        <w:t>V</w:t>
      </w:r>
      <w:r w:rsidR="00F65FC9">
        <w:t xml:space="preserve"> to the present </w:t>
      </w:r>
      <w:r w:rsidR="00206CEF">
        <w:t>report</w:t>
      </w:r>
      <w:r w:rsidRPr="006308D9">
        <w:t>;</w:t>
      </w:r>
    </w:p>
    <w:p w:rsidR="00FB6DBD" w:rsidRPr="006308D9" w:rsidRDefault="00FB6DBD" w:rsidP="004E7D79">
      <w:pPr>
        <w:pStyle w:val="Normalpool"/>
        <w:numPr>
          <w:ilvl w:val="0"/>
          <w:numId w:val="12"/>
        </w:numPr>
        <w:tabs>
          <w:tab w:val="clear" w:pos="1253"/>
          <w:tab w:val="clear" w:pos="1814"/>
          <w:tab w:val="clear" w:pos="2376"/>
          <w:tab w:val="clear" w:pos="2952"/>
          <w:tab w:val="clear" w:pos="3514"/>
          <w:tab w:val="left" w:pos="624"/>
        </w:tabs>
        <w:spacing w:after="120"/>
        <w:ind w:left="1247" w:firstLine="624"/>
      </w:pPr>
      <w:r>
        <w:lastRenderedPageBreak/>
        <w:t>Also t</w:t>
      </w:r>
      <w:r w:rsidRPr="006308D9">
        <w:t xml:space="preserve">o approve the contributions to be paid by the parties of </w:t>
      </w:r>
      <w:r>
        <w:t>$5,546,722</w:t>
      </w:r>
      <w:r w:rsidRPr="006308D9">
        <w:t xml:space="preserve"> for 2018</w:t>
      </w:r>
      <w:r>
        <w:t>,</w:t>
      </w:r>
      <w:r w:rsidRPr="006308D9">
        <w:t xml:space="preserve"> and to note the contributions of </w:t>
      </w:r>
      <w:r>
        <w:t>$5,594,470</w:t>
      </w:r>
      <w:r w:rsidRPr="006308D9">
        <w:t xml:space="preserve"> for </w:t>
      </w:r>
      <w:r w:rsidRPr="000E6083">
        <w:t>2019</w:t>
      </w:r>
      <w:r w:rsidRPr="006308D9">
        <w:t xml:space="preserve">, as set out in annex </w:t>
      </w:r>
      <w:r w:rsidR="00206CEF">
        <w:t>V</w:t>
      </w:r>
      <w:r w:rsidR="00F65FC9">
        <w:t xml:space="preserve"> to the present </w:t>
      </w:r>
      <w:r w:rsidR="00206CEF">
        <w:t>report</w:t>
      </w:r>
      <w:r w:rsidRPr="006308D9">
        <w:t>;</w:t>
      </w:r>
    </w:p>
    <w:p w:rsidR="00FB6DBD" w:rsidRDefault="00FB6DBD" w:rsidP="004E7D79">
      <w:pPr>
        <w:pStyle w:val="Normalpool"/>
        <w:numPr>
          <w:ilvl w:val="0"/>
          <w:numId w:val="12"/>
        </w:numPr>
        <w:tabs>
          <w:tab w:val="clear" w:pos="1253"/>
          <w:tab w:val="clear" w:pos="1814"/>
          <w:tab w:val="clear" w:pos="2376"/>
          <w:tab w:val="clear" w:pos="2952"/>
          <w:tab w:val="clear" w:pos="3514"/>
          <w:tab w:val="left" w:pos="624"/>
        </w:tabs>
        <w:spacing w:after="120"/>
        <w:ind w:left="1247" w:firstLine="624"/>
      </w:pPr>
      <w:r w:rsidRPr="006308D9">
        <w:t xml:space="preserve">That the contributions of individual parties for 2018 and indicative contributions for 2019 </w:t>
      </w:r>
      <w:r w:rsidRPr="0095208B">
        <w:t xml:space="preserve">shall be </w:t>
      </w:r>
      <w:r w:rsidR="0095208B">
        <w:t xml:space="preserve">as </w:t>
      </w:r>
      <w:r w:rsidRPr="0095208B">
        <w:t>listed</w:t>
      </w:r>
      <w:r w:rsidRPr="006308D9">
        <w:t xml:space="preserve"> in annex </w:t>
      </w:r>
      <w:r w:rsidR="00206CEF">
        <w:t>V</w:t>
      </w:r>
      <w:r w:rsidR="00F65FC9">
        <w:t xml:space="preserve"> to the present </w:t>
      </w:r>
      <w:r w:rsidR="00206CEF">
        <w:t>report</w:t>
      </w:r>
      <w:r w:rsidRPr="006308D9">
        <w:t>;</w:t>
      </w:r>
    </w:p>
    <w:p w:rsidR="00FB6DBD" w:rsidRDefault="00FB6DBD" w:rsidP="004E7D79">
      <w:pPr>
        <w:pStyle w:val="Normalpool"/>
        <w:numPr>
          <w:ilvl w:val="0"/>
          <w:numId w:val="12"/>
        </w:numPr>
        <w:tabs>
          <w:tab w:val="clear" w:pos="1253"/>
          <w:tab w:val="clear" w:pos="1814"/>
          <w:tab w:val="clear" w:pos="2376"/>
          <w:tab w:val="clear" w:pos="2952"/>
          <w:tab w:val="clear" w:pos="3514"/>
          <w:tab w:val="left" w:pos="624"/>
        </w:tabs>
        <w:spacing w:after="120"/>
        <w:ind w:left="1247" w:firstLine="624"/>
      </w:pPr>
      <w:r w:rsidRPr="006308D9">
        <w:t xml:space="preserve">To </w:t>
      </w:r>
      <w:r w:rsidRPr="000E6083">
        <w:t>reaffirm</w:t>
      </w:r>
      <w:r w:rsidRPr="006308D9">
        <w:t xml:space="preserve"> a working capital reserve at a level of 15 per cent of the annual budget to be used to meet the final expenditures under the Trust Fund; </w:t>
      </w:r>
    </w:p>
    <w:p w:rsidR="00FB6DBD" w:rsidRDefault="00FB6DBD" w:rsidP="004E7D79">
      <w:pPr>
        <w:pStyle w:val="Normalpool"/>
        <w:numPr>
          <w:ilvl w:val="0"/>
          <w:numId w:val="12"/>
        </w:numPr>
        <w:tabs>
          <w:tab w:val="clear" w:pos="1253"/>
          <w:tab w:val="clear" w:pos="1814"/>
          <w:tab w:val="clear" w:pos="2376"/>
          <w:tab w:val="clear" w:pos="2952"/>
          <w:tab w:val="clear" w:pos="3514"/>
          <w:tab w:val="left" w:pos="624"/>
        </w:tabs>
        <w:spacing w:after="120"/>
        <w:ind w:left="1247" w:firstLine="624"/>
      </w:pPr>
      <w:r w:rsidRPr="006308D9">
        <w:t xml:space="preserve">To encourage parties, non-parties and other stakeholders to contribute financially and </w:t>
      </w:r>
      <w:r>
        <w:t>through</w:t>
      </w:r>
      <w:r w:rsidRPr="006308D9">
        <w:t xml:space="preserve"> other means </w:t>
      </w:r>
      <w:r w:rsidRPr="000E6083">
        <w:t>to</w:t>
      </w:r>
      <w:r w:rsidRPr="006308D9">
        <w:t xml:space="preserve"> assist members of the three assessment panels and their subsidiary bodies with a view to ensuring their continued participation in assessment activities under the </w:t>
      </w:r>
      <w:r>
        <w:t xml:space="preserve">Montreal </w:t>
      </w:r>
      <w:r w:rsidRPr="006308D9">
        <w:t>Protocol;</w:t>
      </w:r>
    </w:p>
    <w:p w:rsidR="00FB6DBD" w:rsidRDefault="00FB6DBD" w:rsidP="004E7D79">
      <w:pPr>
        <w:pStyle w:val="Normalpool"/>
        <w:numPr>
          <w:ilvl w:val="0"/>
          <w:numId w:val="12"/>
        </w:numPr>
        <w:tabs>
          <w:tab w:val="clear" w:pos="1253"/>
          <w:tab w:val="clear" w:pos="1814"/>
          <w:tab w:val="clear" w:pos="2376"/>
          <w:tab w:val="clear" w:pos="2952"/>
          <w:tab w:val="clear" w:pos="3514"/>
          <w:tab w:val="left" w:pos="624"/>
        </w:tabs>
        <w:spacing w:after="120"/>
        <w:ind w:left="1247" w:firstLine="624"/>
      </w:pPr>
      <w:r w:rsidRPr="006308D9">
        <w:t>To note with concern that a number of parties have not paid their contributions</w:t>
      </w:r>
      <w:r w:rsidRPr="00533FB6">
        <w:t xml:space="preserve"> for 2017 and prior years, and to urge those parties to pay both their outstanding contributions and their future contributions promptly and in full</w:t>
      </w:r>
      <w:r w:rsidRPr="006308D9">
        <w:t>;</w:t>
      </w:r>
    </w:p>
    <w:p w:rsidR="00FB6DBD" w:rsidRDefault="00FB6DBD" w:rsidP="004E7D79">
      <w:pPr>
        <w:pStyle w:val="Normalpool"/>
        <w:numPr>
          <w:ilvl w:val="0"/>
          <w:numId w:val="12"/>
        </w:numPr>
        <w:tabs>
          <w:tab w:val="clear" w:pos="1253"/>
          <w:tab w:val="clear" w:pos="1814"/>
          <w:tab w:val="clear" w:pos="2376"/>
          <w:tab w:val="clear" w:pos="2952"/>
          <w:tab w:val="clear" w:pos="3514"/>
          <w:tab w:val="left" w:pos="624"/>
        </w:tabs>
        <w:spacing w:after="120"/>
        <w:ind w:left="1247" w:firstLine="624"/>
      </w:pPr>
      <w:r w:rsidRPr="004767FD">
        <w:t>To request the Executive Secretary</w:t>
      </w:r>
      <w:r>
        <w:t>,</w:t>
      </w:r>
      <w:r w:rsidRPr="004767FD">
        <w:t xml:space="preserve"> and to invite the President of the </w:t>
      </w:r>
      <w:r>
        <w:t xml:space="preserve">Bureau of the </w:t>
      </w:r>
      <w:r w:rsidRPr="004767FD">
        <w:t>Meeting of the Parties</w:t>
      </w:r>
      <w:r>
        <w:t>,</w:t>
      </w:r>
      <w:r w:rsidRPr="004767FD">
        <w:t xml:space="preserve"> to enter into discussions with any party whose contributions are outstanding for two or more years with a view to finding a way forward, and to request the Executive Secret</w:t>
      </w:r>
      <w:r>
        <w:t>ary to report to the Thirtieth</w:t>
      </w:r>
      <w:r w:rsidRPr="004767FD">
        <w:t xml:space="preserve"> Meeting of the Parties on the outcome of th</w:t>
      </w:r>
      <w:r>
        <w:t>os</w:t>
      </w:r>
      <w:r w:rsidRPr="004767FD">
        <w:t>e discussions;</w:t>
      </w:r>
    </w:p>
    <w:p w:rsidR="00FB6DBD" w:rsidRDefault="00FB6DBD" w:rsidP="004E7D79">
      <w:pPr>
        <w:pStyle w:val="Normalpool"/>
        <w:numPr>
          <w:ilvl w:val="0"/>
          <w:numId w:val="12"/>
        </w:numPr>
        <w:tabs>
          <w:tab w:val="clear" w:pos="1253"/>
          <w:tab w:val="clear" w:pos="1814"/>
          <w:tab w:val="clear" w:pos="2376"/>
          <w:tab w:val="clear" w:pos="2952"/>
          <w:tab w:val="clear" w:pos="3514"/>
          <w:tab w:val="left" w:pos="624"/>
        </w:tabs>
        <w:spacing w:after="120"/>
        <w:ind w:left="1247" w:firstLine="624"/>
      </w:pPr>
      <w:r w:rsidRPr="004767FD">
        <w:t xml:space="preserve">To further consider how to address outstanding contributions to the Trust Fund at </w:t>
      </w:r>
      <w:r>
        <w:t>the Thirtieth</w:t>
      </w:r>
      <w:r w:rsidRPr="004767FD">
        <w:t xml:space="preserve"> </w:t>
      </w:r>
      <w:r>
        <w:t>M</w:t>
      </w:r>
      <w:r w:rsidRPr="004767FD">
        <w:t>eeting</w:t>
      </w:r>
      <w:r>
        <w:t xml:space="preserve"> of the Parties,</w:t>
      </w:r>
      <w:r w:rsidRPr="004767FD">
        <w:t xml:space="preserve"> and </w:t>
      </w:r>
      <w:r>
        <w:t xml:space="preserve">to </w:t>
      </w:r>
      <w:r w:rsidRPr="004767FD">
        <w:t>request the Executive Secretary to continue to publish and regularly update information on the status of contributions to the Trust Fund;</w:t>
      </w:r>
    </w:p>
    <w:p w:rsidR="00FB6DBD" w:rsidRDefault="00FB6DBD" w:rsidP="004E7D79">
      <w:pPr>
        <w:pStyle w:val="Normalpool"/>
        <w:numPr>
          <w:ilvl w:val="0"/>
          <w:numId w:val="12"/>
        </w:numPr>
        <w:tabs>
          <w:tab w:val="clear" w:pos="1253"/>
          <w:tab w:val="clear" w:pos="1814"/>
          <w:tab w:val="clear" w:pos="2376"/>
          <w:tab w:val="clear" w:pos="2952"/>
          <w:tab w:val="clear" w:pos="3514"/>
          <w:tab w:val="left" w:pos="624"/>
        </w:tabs>
        <w:spacing w:after="120"/>
        <w:ind w:left="1247" w:firstLine="624"/>
      </w:pPr>
      <w:r w:rsidRPr="004767FD">
        <w:t>To request the Secretariat to ensure the full utilization of programme suppo</w:t>
      </w:r>
      <w:r>
        <w:t>rt costs available to it in 2018</w:t>
      </w:r>
      <w:r w:rsidRPr="004767FD">
        <w:t xml:space="preserve"> and later years</w:t>
      </w:r>
      <w:r>
        <w:t>,</w:t>
      </w:r>
      <w:r w:rsidRPr="004767FD">
        <w:t xml:space="preserve"> and where possible</w:t>
      </w:r>
      <w:r>
        <w:t>,</w:t>
      </w:r>
      <w:r w:rsidRPr="004767FD">
        <w:t xml:space="preserve"> to offset those costs against the administrative components of the approved budget;</w:t>
      </w:r>
    </w:p>
    <w:p w:rsidR="00FB6DBD" w:rsidRDefault="00FB6DBD" w:rsidP="004E7D79">
      <w:pPr>
        <w:pStyle w:val="Normalpool"/>
        <w:numPr>
          <w:ilvl w:val="0"/>
          <w:numId w:val="12"/>
        </w:numPr>
        <w:tabs>
          <w:tab w:val="clear" w:pos="1253"/>
          <w:tab w:val="clear" w:pos="1814"/>
          <w:tab w:val="clear" w:pos="2376"/>
          <w:tab w:val="clear" w:pos="2952"/>
          <w:tab w:val="clear" w:pos="3514"/>
          <w:tab w:val="left" w:pos="624"/>
        </w:tabs>
        <w:spacing w:after="120"/>
        <w:ind w:left="1247" w:firstLine="624"/>
      </w:pPr>
      <w:r>
        <w:t>Also t</w:t>
      </w:r>
      <w:r w:rsidRPr="004767FD">
        <w:t>o request the Secretariat to indicate in future financial reports of the Trust Fund the amounts of cash on hand in the section entitled “Total reserves and fund balances”</w:t>
      </w:r>
      <w:r>
        <w:t>,</w:t>
      </w:r>
      <w:r w:rsidRPr="004767FD">
        <w:t xml:space="preserve"> in addition to contributions that have not yet been received</w:t>
      </w:r>
      <w:r>
        <w:t>;</w:t>
      </w:r>
    </w:p>
    <w:p w:rsidR="00FB6DBD" w:rsidRDefault="00FB6DBD" w:rsidP="004E7D79">
      <w:pPr>
        <w:pStyle w:val="Normalpool"/>
        <w:numPr>
          <w:ilvl w:val="0"/>
          <w:numId w:val="12"/>
        </w:numPr>
        <w:tabs>
          <w:tab w:val="clear" w:pos="1253"/>
          <w:tab w:val="clear" w:pos="1814"/>
          <w:tab w:val="clear" w:pos="2376"/>
          <w:tab w:val="clear" w:pos="2952"/>
          <w:tab w:val="clear" w:pos="3514"/>
          <w:tab w:val="left" w:pos="624"/>
        </w:tabs>
        <w:spacing w:after="120"/>
        <w:ind w:left="1247" w:firstLine="624"/>
      </w:pPr>
      <w:r>
        <w:t>To r</w:t>
      </w:r>
      <w:r w:rsidRPr="000E6083">
        <w:t>equest the Executive Secretary to prepare results-based budget</w:t>
      </w:r>
      <w:r>
        <w:t>s</w:t>
      </w:r>
      <w:r w:rsidRPr="000E6083">
        <w:t xml:space="preserve"> and work programmes for the years 2019 and 2020, presenting two budget scenarios and work programmes based on the projected </w:t>
      </w:r>
      <w:r>
        <w:t>needs for the biennium in:</w:t>
      </w:r>
    </w:p>
    <w:p w:rsidR="00FB6DBD" w:rsidRPr="004E7D79" w:rsidRDefault="00FB6DBD" w:rsidP="004E7D79">
      <w:pPr>
        <w:pStyle w:val="Normalpool"/>
        <w:numPr>
          <w:ilvl w:val="0"/>
          <w:numId w:val="27"/>
        </w:numPr>
        <w:tabs>
          <w:tab w:val="clear" w:pos="1253"/>
          <w:tab w:val="clear" w:pos="1814"/>
          <w:tab w:val="clear" w:pos="2376"/>
          <w:tab w:val="clear" w:pos="2952"/>
          <w:tab w:val="clear" w:pos="3514"/>
          <w:tab w:val="left" w:pos="624"/>
        </w:tabs>
        <w:spacing w:after="120"/>
        <w:ind w:left="1247" w:firstLine="624"/>
      </w:pPr>
      <w:r w:rsidRPr="004E7D79">
        <w:t xml:space="preserve">A </w:t>
      </w:r>
      <w:r w:rsidRPr="006A1161">
        <w:t>zero</w:t>
      </w:r>
      <w:r w:rsidR="006A1161">
        <w:t xml:space="preserve"> </w:t>
      </w:r>
      <w:r w:rsidRPr="006A1161">
        <w:t>nominal</w:t>
      </w:r>
      <w:r w:rsidR="006A1161">
        <w:t xml:space="preserve"> </w:t>
      </w:r>
      <w:r w:rsidRPr="006A1161">
        <w:t>growth</w:t>
      </w:r>
      <w:r w:rsidRPr="004E7D79">
        <w:t xml:space="preserve"> scenario; </w:t>
      </w:r>
    </w:p>
    <w:p w:rsidR="00FB6DBD" w:rsidRPr="004E7D79" w:rsidRDefault="00FB6DBD" w:rsidP="004E7D79">
      <w:pPr>
        <w:pStyle w:val="Normalpool"/>
        <w:numPr>
          <w:ilvl w:val="0"/>
          <w:numId w:val="27"/>
        </w:numPr>
        <w:tabs>
          <w:tab w:val="clear" w:pos="1253"/>
          <w:tab w:val="clear" w:pos="1814"/>
          <w:tab w:val="clear" w:pos="2376"/>
          <w:tab w:val="clear" w:pos="2952"/>
          <w:tab w:val="clear" w:pos="3514"/>
          <w:tab w:val="left" w:pos="624"/>
        </w:tabs>
        <w:spacing w:after="120"/>
        <w:ind w:left="1247" w:firstLine="624"/>
      </w:pPr>
      <w:r w:rsidRPr="004E7D79">
        <w:t>A scenario based on further recommended adjustments to the above-mentioned scenario and the added costs or savings related thereto.</w:t>
      </w:r>
    </w:p>
    <w:p w:rsidR="00FB6DBD" w:rsidRPr="00FE749B" w:rsidRDefault="00BB4393" w:rsidP="004E7D79">
      <w:pPr>
        <w:pStyle w:val="CH2"/>
        <w:keepLines w:val="0"/>
        <w:spacing w:before="240"/>
      </w:pPr>
      <w:r>
        <w:tab/>
      </w:r>
      <w:r>
        <w:tab/>
      </w:r>
      <w:r w:rsidR="00FB6DBD">
        <w:t xml:space="preserve">Decision </w:t>
      </w:r>
      <w:r w:rsidR="00FB6DBD" w:rsidRPr="00FE749B">
        <w:t>XXI</w:t>
      </w:r>
      <w:r w:rsidR="00FB6DBD">
        <w:t>X</w:t>
      </w:r>
      <w:r w:rsidR="00FB6DBD" w:rsidRPr="00FE749B">
        <w:t>/</w:t>
      </w:r>
      <w:r w:rsidR="00FB6DBD">
        <w:t>25</w:t>
      </w:r>
      <w:r w:rsidR="00FB6DBD" w:rsidRPr="00FE749B">
        <w:t>: T</w:t>
      </w:r>
      <w:r w:rsidR="00FB6DBD">
        <w:t>hirtieth</w:t>
      </w:r>
      <w:r w:rsidR="00FB6DBD" w:rsidRPr="00FE749B">
        <w:t xml:space="preserve"> Meeting of the Parties to the Montreal Protocol</w:t>
      </w:r>
    </w:p>
    <w:p w:rsidR="008D6111" w:rsidRDefault="00FB6DBD" w:rsidP="004E7D79">
      <w:pPr>
        <w:pStyle w:val="Normalpool"/>
        <w:tabs>
          <w:tab w:val="clear" w:pos="1253"/>
          <w:tab w:val="clear" w:pos="1814"/>
          <w:tab w:val="clear" w:pos="2376"/>
          <w:tab w:val="clear" w:pos="2952"/>
          <w:tab w:val="clear" w:pos="3514"/>
          <w:tab w:val="left" w:pos="624"/>
        </w:tabs>
        <w:spacing w:after="120"/>
        <w:ind w:left="1247" w:firstLine="624"/>
      </w:pPr>
      <w:proofErr w:type="gramStart"/>
      <w:r w:rsidRPr="00F65FC9">
        <w:rPr>
          <w:lang w:eastAsia="zh-CN"/>
        </w:rPr>
        <w:t>To convene the Thirtieth Meeting of the Parties to the Montreal Protocol in Ecuador, in November 2018.</w:t>
      </w:r>
      <w:proofErr w:type="gramEnd"/>
    </w:p>
    <w:p w:rsidR="004C6B9D" w:rsidRPr="00DB6883" w:rsidRDefault="008D6111" w:rsidP="004E7D79">
      <w:pPr>
        <w:pStyle w:val="CH1"/>
      </w:pPr>
      <w:r w:rsidRPr="00DB6883" w:rsidDel="008D6111">
        <w:t xml:space="preserve"> </w:t>
      </w:r>
      <w:r w:rsidR="004C6B9D" w:rsidRPr="00DB6883">
        <w:tab/>
        <w:t>XI.</w:t>
      </w:r>
      <w:r w:rsidR="004C6B9D" w:rsidRPr="00DB6883">
        <w:tab/>
        <w:t>Adoption of the report of the eleventh meeting of the Conference of the Parties to the Vienna Convention and the Twenty-Ninth Meeting of the Parties to the Montreal Protocol</w:t>
      </w:r>
    </w:p>
    <w:p w:rsidR="00F60962" w:rsidRPr="00DB6883" w:rsidRDefault="00F60962" w:rsidP="004E7D79">
      <w:pPr>
        <w:pStyle w:val="Normalnumber"/>
        <w:keepNext/>
        <w:keepLines/>
        <w:tabs>
          <w:tab w:val="clear" w:pos="567"/>
          <w:tab w:val="clear" w:pos="1247"/>
          <w:tab w:val="clear" w:pos="1814"/>
          <w:tab w:val="clear" w:pos="2381"/>
          <w:tab w:val="clear" w:pos="2948"/>
          <w:tab w:val="clear" w:pos="3515"/>
          <w:tab w:val="left" w:pos="624"/>
        </w:tabs>
      </w:pPr>
      <w:r w:rsidRPr="00DB6883">
        <w:t>The parties adopted the present report on Saturday, 25 November 2017, on the basis of the draft report set out in documents UNEP/OzL.Conv.11/L.1-UNEP/OzL.Pro.29/L.1 and UNEP/OzL.Conv.11/L.1/Add.1-UNEP/OzL.Pro.29/L.1/Add.1 and UNEP/OzL.Conv.11/L.1/Add.2-UNEP/OzL.Pro.29/L.1/Add.2.</w:t>
      </w:r>
    </w:p>
    <w:p w:rsidR="004C6B9D" w:rsidRPr="00DB6883" w:rsidRDefault="004C6B9D" w:rsidP="004E7D79">
      <w:pPr>
        <w:pStyle w:val="CH1"/>
      </w:pPr>
      <w:r w:rsidRPr="00DB6883">
        <w:tab/>
        <w:t>XII.</w:t>
      </w:r>
      <w:r w:rsidRPr="00DB6883">
        <w:tab/>
        <w:t>Closure of the meeting</w:t>
      </w:r>
    </w:p>
    <w:p w:rsidR="002256FB" w:rsidRPr="00DB6883" w:rsidRDefault="002256FB" w:rsidP="004E7D79">
      <w:pPr>
        <w:pStyle w:val="Normalnumber"/>
        <w:keepNext/>
        <w:keepLines/>
        <w:tabs>
          <w:tab w:val="clear" w:pos="567"/>
          <w:tab w:val="clear" w:pos="1247"/>
          <w:tab w:val="clear" w:pos="1814"/>
          <w:tab w:val="clear" w:pos="2381"/>
          <w:tab w:val="clear" w:pos="2948"/>
          <w:tab w:val="clear" w:pos="3515"/>
          <w:tab w:val="left" w:pos="624"/>
        </w:tabs>
      </w:pPr>
      <w:r w:rsidRPr="00DB6883">
        <w:t>Following the customary exchange of courtesies, the meeting was declared closed at 1.50 a.m. on Saturday, 25 November 2017.</w:t>
      </w:r>
    </w:p>
    <w:p w:rsidR="008B7091" w:rsidRPr="00DB6883" w:rsidRDefault="008B7091" w:rsidP="008B7091">
      <w:pPr>
        <w:pStyle w:val="NormalNonumber"/>
      </w:pPr>
      <w:r w:rsidRPr="00DB6883">
        <w:br w:type="page"/>
      </w:r>
    </w:p>
    <w:p w:rsidR="00DB73D0" w:rsidRPr="00D7008A" w:rsidRDefault="00DB73D0" w:rsidP="00CD35BB">
      <w:pPr>
        <w:pStyle w:val="ZZAnxheader"/>
        <w:rPr>
          <w:lang w:eastAsia="zh-CN"/>
        </w:rPr>
      </w:pPr>
      <w:r w:rsidRPr="0010641C">
        <w:rPr>
          <w:lang w:eastAsia="zh-CN"/>
        </w:rPr>
        <w:lastRenderedPageBreak/>
        <w:t xml:space="preserve">Annex I </w:t>
      </w:r>
    </w:p>
    <w:p w:rsidR="00DB73D0" w:rsidRPr="004E7D79" w:rsidRDefault="00DB73D0" w:rsidP="00CD35BB">
      <w:pPr>
        <w:pStyle w:val="ZZAnxtitle"/>
      </w:pPr>
      <w:r w:rsidRPr="004E7D79">
        <w:t xml:space="preserve">Trust Fund for the Vienna Convention for </w:t>
      </w:r>
      <w:r w:rsidRPr="004E7D79">
        <w:rPr>
          <w:lang w:eastAsia="zh-CN"/>
        </w:rPr>
        <w:t>the</w:t>
      </w:r>
      <w:r w:rsidRPr="004E7D79">
        <w:t xml:space="preserve"> </w:t>
      </w:r>
      <w:r w:rsidRPr="004E7D79">
        <w:rPr>
          <w:lang w:eastAsia="zh-CN"/>
        </w:rPr>
        <w:t>Protection</w:t>
      </w:r>
      <w:r w:rsidRPr="004E7D79">
        <w:t xml:space="preserve"> of the Ozone Layer </w:t>
      </w:r>
    </w:p>
    <w:p w:rsidR="00DB73D0" w:rsidRPr="00E861A7" w:rsidRDefault="00DB73D0" w:rsidP="00E17AC1">
      <w:pPr>
        <w:pStyle w:val="CH2"/>
        <w:spacing w:after="0"/>
        <w:rPr>
          <w:rFonts w:eastAsia="Cambria"/>
        </w:rPr>
      </w:pPr>
      <w:r w:rsidRPr="00DF6D5C">
        <w:rPr>
          <w:rFonts w:eastAsia="Cambria"/>
        </w:rPr>
        <w:tab/>
      </w:r>
      <w:r w:rsidRPr="00DF6D5C">
        <w:rPr>
          <w:rFonts w:eastAsia="Cambria"/>
        </w:rPr>
        <w:tab/>
        <w:t>Approved revised budget for 2017 and approved budgets for 2018</w:t>
      </w:r>
      <w:r w:rsidRPr="00E861A7">
        <w:rPr>
          <w:rFonts w:eastAsia="Cambria"/>
        </w:rPr>
        <w:t xml:space="preserve">, 2019 and 2020 </w:t>
      </w:r>
    </w:p>
    <w:p w:rsidR="00DB73D0" w:rsidRPr="004E7D79" w:rsidRDefault="00DB73D0" w:rsidP="00E17AC1">
      <w:pPr>
        <w:keepNext/>
        <w:keepLines/>
        <w:tabs>
          <w:tab w:val="clear" w:pos="1247"/>
          <w:tab w:val="clear" w:pos="1814"/>
          <w:tab w:val="clear" w:pos="2381"/>
          <w:tab w:val="clear" w:pos="2948"/>
          <w:tab w:val="clear" w:pos="3515"/>
          <w:tab w:val="left" w:pos="4082"/>
        </w:tabs>
        <w:ind w:left="1247"/>
        <w:rPr>
          <w:sz w:val="17"/>
          <w:szCs w:val="17"/>
          <w:lang w:eastAsia="zh-CN"/>
        </w:rPr>
      </w:pPr>
      <w:r w:rsidRPr="004E7D79">
        <w:rPr>
          <w:sz w:val="17"/>
          <w:szCs w:val="17"/>
          <w:lang w:eastAsia="zh-CN"/>
        </w:rPr>
        <w:t>(United States dollars)</w:t>
      </w:r>
    </w:p>
    <w:p w:rsidR="00DB73D0" w:rsidRDefault="00DB73D0" w:rsidP="00E17AC1">
      <w:pPr>
        <w:pStyle w:val="Normalpool"/>
      </w:pPr>
    </w:p>
    <w:tbl>
      <w:tblPr>
        <w:tblW w:w="4941" w:type="pct"/>
        <w:jc w:val="right"/>
        <w:tblLayout w:type="fixed"/>
        <w:tblLook w:val="04A0" w:firstRow="1" w:lastRow="0" w:firstColumn="1" w:lastColumn="0" w:noHBand="0" w:noVBand="1"/>
      </w:tblPr>
      <w:tblGrid>
        <w:gridCol w:w="1053"/>
        <w:gridCol w:w="3578"/>
        <w:gridCol w:w="710"/>
        <w:gridCol w:w="1225"/>
        <w:gridCol w:w="964"/>
        <w:gridCol w:w="1012"/>
        <w:gridCol w:w="1055"/>
      </w:tblGrid>
      <w:tr w:rsidR="00E17AC1" w:rsidRPr="00DB6883" w:rsidTr="006314FD">
        <w:trPr>
          <w:tblHeader/>
          <w:jc w:val="right"/>
        </w:trPr>
        <w:tc>
          <w:tcPr>
            <w:tcW w:w="1029" w:type="dxa"/>
            <w:tcBorders>
              <w:top w:val="single" w:sz="8" w:space="0" w:color="auto"/>
              <w:left w:val="nil"/>
              <w:bottom w:val="single" w:sz="12" w:space="0" w:color="auto"/>
              <w:right w:val="nil"/>
            </w:tcBorders>
          </w:tcPr>
          <w:p w:rsidR="00E17AC1" w:rsidRPr="00DB6883" w:rsidRDefault="00E17AC1" w:rsidP="006314FD">
            <w:pPr>
              <w:keepNext/>
              <w:keepLines/>
              <w:spacing w:before="40" w:after="40"/>
              <w:rPr>
                <w:i/>
                <w:color w:val="000000"/>
                <w:sz w:val="18"/>
              </w:rPr>
            </w:pPr>
            <w:r w:rsidRPr="00DB6883">
              <w:rPr>
                <w:i/>
                <w:color w:val="000000"/>
                <w:sz w:val="18"/>
              </w:rPr>
              <w:t>Budget line</w:t>
            </w:r>
          </w:p>
        </w:tc>
        <w:tc>
          <w:tcPr>
            <w:tcW w:w="3498" w:type="dxa"/>
            <w:tcBorders>
              <w:top w:val="single" w:sz="8" w:space="0" w:color="auto"/>
              <w:left w:val="nil"/>
              <w:bottom w:val="single" w:sz="12" w:space="0" w:color="auto"/>
              <w:right w:val="nil"/>
            </w:tcBorders>
            <w:shd w:val="clear" w:color="auto" w:fill="auto"/>
            <w:hideMark/>
          </w:tcPr>
          <w:p w:rsidR="00E17AC1" w:rsidRPr="00DB6883" w:rsidRDefault="00E17AC1" w:rsidP="00947BB9">
            <w:pPr>
              <w:keepNext/>
              <w:keepLines/>
              <w:spacing w:before="40" w:after="40"/>
              <w:rPr>
                <w:i/>
                <w:color w:val="000000"/>
                <w:sz w:val="18"/>
              </w:rPr>
            </w:pPr>
            <w:r w:rsidRPr="00DB6883">
              <w:rPr>
                <w:i/>
                <w:color w:val="000000"/>
                <w:sz w:val="18"/>
              </w:rPr>
              <w:t>Cost category</w:t>
            </w:r>
          </w:p>
        </w:tc>
        <w:tc>
          <w:tcPr>
            <w:tcW w:w="694" w:type="dxa"/>
            <w:tcBorders>
              <w:top w:val="single" w:sz="8" w:space="0" w:color="auto"/>
              <w:left w:val="nil"/>
              <w:bottom w:val="single" w:sz="12" w:space="0" w:color="auto"/>
              <w:right w:val="nil"/>
            </w:tcBorders>
          </w:tcPr>
          <w:p w:rsidR="00E17AC1" w:rsidRPr="00DB6883" w:rsidRDefault="00E17AC1" w:rsidP="00947BB9">
            <w:pPr>
              <w:keepNext/>
              <w:keepLines/>
              <w:spacing w:before="40" w:after="40"/>
              <w:jc w:val="center"/>
              <w:rPr>
                <w:i/>
                <w:color w:val="000000"/>
                <w:sz w:val="18"/>
              </w:rPr>
            </w:pPr>
          </w:p>
        </w:tc>
        <w:tc>
          <w:tcPr>
            <w:tcW w:w="1198" w:type="dxa"/>
            <w:tcBorders>
              <w:top w:val="single" w:sz="8" w:space="0" w:color="auto"/>
              <w:left w:val="nil"/>
              <w:bottom w:val="single" w:sz="12" w:space="0" w:color="auto"/>
              <w:right w:val="nil"/>
            </w:tcBorders>
          </w:tcPr>
          <w:p w:rsidR="00E17AC1" w:rsidRPr="00DB6883" w:rsidRDefault="00E17AC1" w:rsidP="006314FD">
            <w:pPr>
              <w:keepNext/>
              <w:keepLines/>
              <w:spacing w:before="40" w:after="40"/>
              <w:jc w:val="center"/>
              <w:rPr>
                <w:i/>
                <w:color w:val="000000"/>
                <w:sz w:val="18"/>
              </w:rPr>
            </w:pPr>
            <w:r>
              <w:rPr>
                <w:i/>
                <w:color w:val="000000"/>
                <w:sz w:val="18"/>
              </w:rPr>
              <w:t>Approved r</w:t>
            </w:r>
            <w:r w:rsidRPr="00DB6883">
              <w:rPr>
                <w:i/>
                <w:color w:val="000000"/>
                <w:sz w:val="18"/>
              </w:rPr>
              <w:t>evised 2017</w:t>
            </w:r>
          </w:p>
        </w:tc>
        <w:tc>
          <w:tcPr>
            <w:tcW w:w="943" w:type="dxa"/>
            <w:tcBorders>
              <w:top w:val="single" w:sz="8" w:space="0" w:color="auto"/>
              <w:left w:val="nil"/>
              <w:bottom w:val="single" w:sz="12" w:space="0" w:color="auto"/>
              <w:right w:val="nil"/>
            </w:tcBorders>
            <w:shd w:val="clear" w:color="auto" w:fill="auto"/>
          </w:tcPr>
          <w:p w:rsidR="00E17AC1" w:rsidRPr="00DB6883" w:rsidRDefault="00E17AC1" w:rsidP="006314FD">
            <w:pPr>
              <w:keepNext/>
              <w:keepLines/>
              <w:spacing w:before="40" w:after="40"/>
              <w:jc w:val="center"/>
              <w:rPr>
                <w:i/>
                <w:color w:val="000000"/>
                <w:sz w:val="18"/>
              </w:rPr>
            </w:pPr>
            <w:r>
              <w:rPr>
                <w:i/>
                <w:color w:val="000000"/>
                <w:sz w:val="18"/>
              </w:rPr>
              <w:t>Approved</w:t>
            </w:r>
            <w:r w:rsidRPr="00DB6883">
              <w:rPr>
                <w:i/>
                <w:color w:val="000000"/>
                <w:sz w:val="18"/>
              </w:rPr>
              <w:t xml:space="preserve"> 2018</w:t>
            </w:r>
          </w:p>
        </w:tc>
        <w:tc>
          <w:tcPr>
            <w:tcW w:w="990" w:type="dxa"/>
            <w:tcBorders>
              <w:top w:val="single" w:sz="8" w:space="0" w:color="auto"/>
              <w:left w:val="nil"/>
              <w:bottom w:val="single" w:sz="12" w:space="0" w:color="auto"/>
              <w:right w:val="nil"/>
            </w:tcBorders>
            <w:shd w:val="clear" w:color="auto" w:fill="auto"/>
          </w:tcPr>
          <w:p w:rsidR="00E17AC1" w:rsidRPr="00DB6883" w:rsidRDefault="00E17AC1" w:rsidP="006314FD">
            <w:pPr>
              <w:keepNext/>
              <w:keepLines/>
              <w:spacing w:before="40" w:after="40"/>
              <w:jc w:val="center"/>
              <w:rPr>
                <w:i/>
                <w:color w:val="000000"/>
                <w:sz w:val="18"/>
              </w:rPr>
            </w:pPr>
            <w:r>
              <w:rPr>
                <w:i/>
                <w:color w:val="000000"/>
                <w:sz w:val="18"/>
              </w:rPr>
              <w:t>Approved</w:t>
            </w:r>
            <w:r w:rsidRPr="00DB6883">
              <w:rPr>
                <w:i/>
                <w:color w:val="000000"/>
                <w:sz w:val="18"/>
              </w:rPr>
              <w:t xml:space="preserve"> 2019</w:t>
            </w:r>
          </w:p>
        </w:tc>
        <w:tc>
          <w:tcPr>
            <w:tcW w:w="1032" w:type="dxa"/>
            <w:tcBorders>
              <w:top w:val="single" w:sz="8" w:space="0" w:color="auto"/>
              <w:left w:val="nil"/>
              <w:bottom w:val="single" w:sz="12" w:space="0" w:color="auto"/>
              <w:right w:val="nil"/>
            </w:tcBorders>
            <w:shd w:val="clear" w:color="auto" w:fill="auto"/>
          </w:tcPr>
          <w:p w:rsidR="00E17AC1" w:rsidRPr="00DB6883" w:rsidRDefault="00E17AC1" w:rsidP="006314FD">
            <w:pPr>
              <w:keepNext/>
              <w:keepLines/>
              <w:spacing w:before="40" w:after="40"/>
              <w:jc w:val="center"/>
              <w:rPr>
                <w:i/>
                <w:color w:val="000000"/>
                <w:sz w:val="18"/>
              </w:rPr>
            </w:pPr>
            <w:r>
              <w:rPr>
                <w:i/>
                <w:color w:val="000000"/>
                <w:sz w:val="18"/>
              </w:rPr>
              <w:t>Approved</w:t>
            </w:r>
            <w:r w:rsidRPr="00DB6883">
              <w:rPr>
                <w:i/>
                <w:color w:val="000000"/>
                <w:sz w:val="18"/>
              </w:rPr>
              <w:t xml:space="preserve"> 2020</w:t>
            </w:r>
          </w:p>
        </w:tc>
      </w:tr>
      <w:tr w:rsidR="00E17AC1" w:rsidRPr="00DB6883" w:rsidTr="006314FD">
        <w:trPr>
          <w:jc w:val="right"/>
        </w:trPr>
        <w:tc>
          <w:tcPr>
            <w:tcW w:w="1029" w:type="dxa"/>
            <w:tcBorders>
              <w:top w:val="single" w:sz="12" w:space="0" w:color="auto"/>
              <w:left w:val="nil"/>
              <w:bottom w:val="single" w:sz="4" w:space="0" w:color="auto"/>
              <w:right w:val="nil"/>
            </w:tcBorders>
          </w:tcPr>
          <w:p w:rsidR="00E17AC1" w:rsidRPr="00DB6883" w:rsidRDefault="00E17AC1" w:rsidP="00947BB9">
            <w:pPr>
              <w:keepNext/>
              <w:keepLines/>
              <w:spacing w:before="40" w:after="40"/>
              <w:jc w:val="right"/>
              <w:rPr>
                <w:color w:val="000000"/>
                <w:sz w:val="18"/>
              </w:rPr>
            </w:pPr>
            <w:r w:rsidRPr="00DB6883">
              <w:rPr>
                <w:color w:val="000000"/>
                <w:sz w:val="18"/>
              </w:rPr>
              <w:t>1000</w:t>
            </w:r>
          </w:p>
        </w:tc>
        <w:tc>
          <w:tcPr>
            <w:tcW w:w="3498" w:type="dxa"/>
            <w:tcBorders>
              <w:top w:val="single" w:sz="12" w:space="0" w:color="auto"/>
              <w:left w:val="nil"/>
              <w:bottom w:val="single" w:sz="4" w:space="0" w:color="auto"/>
              <w:right w:val="nil"/>
            </w:tcBorders>
            <w:shd w:val="clear" w:color="auto" w:fill="auto"/>
            <w:noWrap/>
            <w:hideMark/>
          </w:tcPr>
          <w:p w:rsidR="00E17AC1" w:rsidRPr="00DB6883" w:rsidRDefault="00E17AC1" w:rsidP="00947BB9">
            <w:pPr>
              <w:keepNext/>
              <w:keepLines/>
              <w:spacing w:before="40" w:after="40"/>
              <w:rPr>
                <w:color w:val="000000"/>
                <w:sz w:val="18"/>
              </w:rPr>
            </w:pPr>
            <w:r w:rsidRPr="00DB6883">
              <w:rPr>
                <w:color w:val="000000"/>
                <w:sz w:val="18"/>
              </w:rPr>
              <w:t>Employee salaries, allowances and benefits</w:t>
            </w:r>
          </w:p>
        </w:tc>
        <w:tc>
          <w:tcPr>
            <w:tcW w:w="694" w:type="dxa"/>
            <w:tcBorders>
              <w:top w:val="single" w:sz="12" w:space="0" w:color="auto"/>
              <w:left w:val="nil"/>
              <w:bottom w:val="single" w:sz="4" w:space="0" w:color="auto"/>
              <w:right w:val="nil"/>
            </w:tcBorders>
          </w:tcPr>
          <w:p w:rsidR="00E17AC1" w:rsidRPr="00DB6883" w:rsidRDefault="00E17AC1" w:rsidP="00947BB9">
            <w:pPr>
              <w:spacing w:before="40" w:after="40"/>
              <w:jc w:val="right"/>
              <w:rPr>
                <w:color w:val="000000"/>
                <w:sz w:val="18"/>
              </w:rPr>
            </w:pPr>
          </w:p>
        </w:tc>
        <w:tc>
          <w:tcPr>
            <w:tcW w:w="1198" w:type="dxa"/>
            <w:tcBorders>
              <w:top w:val="single" w:sz="12" w:space="0" w:color="auto"/>
              <w:left w:val="nil"/>
              <w:bottom w:val="single" w:sz="4" w:space="0" w:color="auto"/>
              <w:right w:val="nil"/>
            </w:tcBorders>
          </w:tcPr>
          <w:p w:rsidR="00E17AC1" w:rsidRPr="00DB6883" w:rsidRDefault="00E17AC1" w:rsidP="00947BB9">
            <w:pPr>
              <w:spacing w:before="40" w:after="40"/>
              <w:jc w:val="right"/>
              <w:rPr>
                <w:color w:val="000000"/>
                <w:sz w:val="18"/>
              </w:rPr>
            </w:pPr>
            <w:r w:rsidRPr="00DB6883">
              <w:rPr>
                <w:color w:val="000000"/>
                <w:sz w:val="18"/>
              </w:rPr>
              <w:t>555 875</w:t>
            </w:r>
          </w:p>
        </w:tc>
        <w:tc>
          <w:tcPr>
            <w:tcW w:w="943" w:type="dxa"/>
            <w:tcBorders>
              <w:top w:val="single" w:sz="12" w:space="0" w:color="auto"/>
              <w:left w:val="nil"/>
              <w:bottom w:val="single" w:sz="4" w:space="0" w:color="auto"/>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566 993</w:t>
            </w:r>
          </w:p>
        </w:tc>
        <w:tc>
          <w:tcPr>
            <w:tcW w:w="990" w:type="dxa"/>
            <w:tcBorders>
              <w:top w:val="single" w:sz="12" w:space="0" w:color="auto"/>
              <w:left w:val="nil"/>
              <w:bottom w:val="single" w:sz="4" w:space="0" w:color="auto"/>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578 333</w:t>
            </w:r>
          </w:p>
        </w:tc>
        <w:tc>
          <w:tcPr>
            <w:tcW w:w="1032" w:type="dxa"/>
            <w:tcBorders>
              <w:top w:val="single" w:sz="12" w:space="0" w:color="auto"/>
              <w:left w:val="nil"/>
              <w:bottom w:val="single" w:sz="4" w:space="0" w:color="auto"/>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589 898</w:t>
            </w:r>
          </w:p>
        </w:tc>
      </w:tr>
      <w:tr w:rsidR="00E17AC1" w:rsidRPr="00DB6883" w:rsidTr="006314FD">
        <w:trPr>
          <w:jc w:val="right"/>
        </w:trPr>
        <w:tc>
          <w:tcPr>
            <w:tcW w:w="9384" w:type="dxa"/>
            <w:gridSpan w:val="7"/>
            <w:tcBorders>
              <w:top w:val="single" w:sz="4" w:space="0" w:color="auto"/>
              <w:left w:val="nil"/>
              <w:bottom w:val="single" w:sz="4" w:space="0" w:color="auto"/>
            </w:tcBorders>
          </w:tcPr>
          <w:p w:rsidR="00E17AC1" w:rsidRPr="00DB6883" w:rsidRDefault="00E17AC1" w:rsidP="00947BB9">
            <w:pPr>
              <w:spacing w:before="40" w:after="40"/>
              <w:rPr>
                <w:b/>
                <w:color w:val="000000"/>
                <w:sz w:val="18"/>
              </w:rPr>
            </w:pPr>
            <w:r w:rsidRPr="00DB6883">
              <w:rPr>
                <w:b/>
                <w:color w:val="000000"/>
                <w:sz w:val="18"/>
              </w:rPr>
              <w:t>Operating costs</w:t>
            </w:r>
          </w:p>
        </w:tc>
      </w:tr>
      <w:tr w:rsidR="00E17AC1" w:rsidRPr="00DB6883" w:rsidTr="006314FD">
        <w:trPr>
          <w:jc w:val="right"/>
        </w:trPr>
        <w:tc>
          <w:tcPr>
            <w:tcW w:w="1029" w:type="dxa"/>
            <w:tcBorders>
              <w:top w:val="single" w:sz="4" w:space="0" w:color="auto"/>
              <w:left w:val="nil"/>
              <w:right w:val="nil"/>
            </w:tcBorders>
          </w:tcPr>
          <w:p w:rsidR="00E17AC1" w:rsidRPr="00DB6883" w:rsidRDefault="00E17AC1" w:rsidP="00947BB9">
            <w:pPr>
              <w:keepNext/>
              <w:keepLines/>
              <w:spacing w:before="40" w:after="40"/>
              <w:jc w:val="right"/>
              <w:rPr>
                <w:b/>
                <w:color w:val="000000"/>
                <w:sz w:val="18"/>
              </w:rPr>
            </w:pPr>
            <w:r w:rsidRPr="00DB6883">
              <w:rPr>
                <w:b/>
                <w:color w:val="000000"/>
                <w:sz w:val="18"/>
              </w:rPr>
              <w:t>1300</w:t>
            </w:r>
          </w:p>
        </w:tc>
        <w:tc>
          <w:tcPr>
            <w:tcW w:w="3498" w:type="dxa"/>
            <w:tcBorders>
              <w:top w:val="single" w:sz="4" w:space="0" w:color="auto"/>
              <w:left w:val="nil"/>
              <w:right w:val="nil"/>
            </w:tcBorders>
            <w:shd w:val="clear" w:color="auto" w:fill="auto"/>
            <w:noWrap/>
          </w:tcPr>
          <w:p w:rsidR="00E17AC1" w:rsidRPr="00DB6883" w:rsidRDefault="00E17AC1" w:rsidP="00947BB9">
            <w:pPr>
              <w:keepNext/>
              <w:keepLines/>
              <w:spacing w:before="40" w:after="40"/>
              <w:rPr>
                <w:b/>
                <w:color w:val="000000"/>
                <w:sz w:val="18"/>
              </w:rPr>
            </w:pPr>
            <w:r w:rsidRPr="00DB6883">
              <w:rPr>
                <w:b/>
                <w:color w:val="000000"/>
                <w:sz w:val="18"/>
              </w:rPr>
              <w:t xml:space="preserve">Meeting costs </w:t>
            </w:r>
          </w:p>
        </w:tc>
        <w:tc>
          <w:tcPr>
            <w:tcW w:w="4857" w:type="dxa"/>
            <w:gridSpan w:val="5"/>
            <w:tcBorders>
              <w:top w:val="single" w:sz="4" w:space="0" w:color="auto"/>
              <w:left w:val="nil"/>
              <w:right w:val="nil"/>
            </w:tcBorders>
          </w:tcPr>
          <w:p w:rsidR="00E17AC1" w:rsidRPr="00DB6883" w:rsidRDefault="00E17AC1" w:rsidP="00947BB9">
            <w:pPr>
              <w:spacing w:before="40" w:after="40"/>
              <w:jc w:val="right"/>
              <w:rPr>
                <w:color w:val="000000"/>
                <w:sz w:val="18"/>
              </w:rPr>
            </w:pPr>
          </w:p>
        </w:tc>
      </w:tr>
      <w:tr w:rsidR="00E17AC1" w:rsidRPr="00DB6883" w:rsidTr="006314FD">
        <w:trPr>
          <w:jc w:val="right"/>
        </w:trPr>
        <w:tc>
          <w:tcPr>
            <w:tcW w:w="1029" w:type="dxa"/>
            <w:tcBorders>
              <w:left w:val="nil"/>
              <w:bottom w:val="nil"/>
              <w:right w:val="nil"/>
            </w:tcBorders>
          </w:tcPr>
          <w:p w:rsidR="00E17AC1" w:rsidRPr="00DB6883" w:rsidRDefault="00E17AC1" w:rsidP="00947BB9">
            <w:pPr>
              <w:keepNext/>
              <w:keepLines/>
              <w:spacing w:before="40" w:after="40"/>
              <w:jc w:val="right"/>
              <w:rPr>
                <w:color w:val="000000"/>
                <w:sz w:val="18"/>
              </w:rPr>
            </w:pPr>
            <w:r w:rsidRPr="00DB6883">
              <w:rPr>
                <w:color w:val="000000"/>
                <w:sz w:val="18"/>
              </w:rPr>
              <w:t>1322</w:t>
            </w:r>
          </w:p>
        </w:tc>
        <w:tc>
          <w:tcPr>
            <w:tcW w:w="3498" w:type="dxa"/>
            <w:tcBorders>
              <w:left w:val="nil"/>
              <w:bottom w:val="nil"/>
              <w:right w:val="nil"/>
            </w:tcBorders>
            <w:shd w:val="clear" w:color="auto" w:fill="auto"/>
            <w:noWrap/>
          </w:tcPr>
          <w:p w:rsidR="00E17AC1" w:rsidRPr="00DB6883" w:rsidRDefault="00E17AC1" w:rsidP="00947BB9">
            <w:pPr>
              <w:keepNext/>
              <w:keepLines/>
              <w:spacing w:before="40" w:after="40"/>
              <w:rPr>
                <w:b/>
                <w:color w:val="000000"/>
                <w:sz w:val="18"/>
              </w:rPr>
            </w:pPr>
            <w:r w:rsidRPr="00DB6883">
              <w:rPr>
                <w:color w:val="000000"/>
                <w:sz w:val="18"/>
              </w:rPr>
              <w:t>Conference Services costs: preparatory meetings and meetings of the parties</w:t>
            </w:r>
          </w:p>
        </w:tc>
        <w:tc>
          <w:tcPr>
            <w:tcW w:w="694" w:type="dxa"/>
            <w:tcBorders>
              <w:left w:val="nil"/>
              <w:bottom w:val="nil"/>
              <w:right w:val="nil"/>
            </w:tcBorders>
          </w:tcPr>
          <w:p w:rsidR="00E17AC1" w:rsidRPr="00DB6883" w:rsidRDefault="00E17AC1" w:rsidP="00947BB9">
            <w:pPr>
              <w:spacing w:before="40" w:after="40"/>
              <w:jc w:val="right"/>
              <w:rPr>
                <w:color w:val="000000"/>
                <w:sz w:val="18"/>
              </w:rPr>
            </w:pPr>
          </w:p>
        </w:tc>
        <w:tc>
          <w:tcPr>
            <w:tcW w:w="1198" w:type="dxa"/>
            <w:tcBorders>
              <w:left w:val="nil"/>
              <w:bottom w:val="nil"/>
              <w:right w:val="nil"/>
            </w:tcBorders>
          </w:tcPr>
          <w:p w:rsidR="00E17AC1" w:rsidRPr="00DB6883" w:rsidRDefault="00E17AC1" w:rsidP="00947BB9">
            <w:pPr>
              <w:spacing w:before="40" w:after="40"/>
              <w:jc w:val="right"/>
              <w:rPr>
                <w:color w:val="000000"/>
                <w:sz w:val="18"/>
              </w:rPr>
            </w:pPr>
            <w:r w:rsidRPr="00DB6883">
              <w:rPr>
                <w:color w:val="000000"/>
                <w:sz w:val="18"/>
              </w:rPr>
              <w:t>252 000</w:t>
            </w:r>
          </w:p>
        </w:tc>
        <w:tc>
          <w:tcPr>
            <w:tcW w:w="943" w:type="dxa"/>
            <w:tcBorders>
              <w:left w:val="nil"/>
              <w:bottom w:val="nil"/>
              <w:right w:val="nil"/>
            </w:tcBorders>
            <w:shd w:val="clear" w:color="auto" w:fill="auto"/>
            <w:noWrap/>
          </w:tcPr>
          <w:p w:rsidR="00E17AC1" w:rsidRPr="00DF6D5C" w:rsidRDefault="00E17AC1" w:rsidP="00947BB9">
            <w:pPr>
              <w:jc w:val="right"/>
            </w:pPr>
            <w:r w:rsidRPr="00DF6D5C">
              <w:rPr>
                <w:color w:val="000000"/>
                <w:sz w:val="18"/>
              </w:rPr>
              <w:sym w:font="Symbol" w:char="F02D"/>
            </w:r>
          </w:p>
        </w:tc>
        <w:tc>
          <w:tcPr>
            <w:tcW w:w="990" w:type="dxa"/>
            <w:tcBorders>
              <w:left w:val="nil"/>
              <w:bottom w:val="nil"/>
              <w:right w:val="nil"/>
            </w:tcBorders>
            <w:shd w:val="clear" w:color="auto" w:fill="auto"/>
            <w:noWrap/>
          </w:tcPr>
          <w:p w:rsidR="00E17AC1" w:rsidRPr="00DF6D5C" w:rsidRDefault="00E17AC1" w:rsidP="00947BB9">
            <w:pPr>
              <w:jc w:val="right"/>
            </w:pPr>
            <w:r w:rsidRPr="00DF6D5C">
              <w:rPr>
                <w:color w:val="000000"/>
                <w:sz w:val="18"/>
              </w:rPr>
              <w:sym w:font="Symbol" w:char="F02D"/>
            </w:r>
          </w:p>
        </w:tc>
        <w:tc>
          <w:tcPr>
            <w:tcW w:w="1032" w:type="dxa"/>
            <w:tcBorders>
              <w:left w:val="nil"/>
              <w:bottom w:val="nil"/>
              <w:right w:val="nil"/>
            </w:tcBorders>
            <w:shd w:val="clear" w:color="auto" w:fill="auto"/>
            <w:noWrap/>
          </w:tcPr>
          <w:p w:rsidR="00E17AC1" w:rsidRPr="00E861A7" w:rsidRDefault="00E17AC1" w:rsidP="00947BB9">
            <w:pPr>
              <w:spacing w:before="40" w:after="40"/>
              <w:jc w:val="right"/>
              <w:rPr>
                <w:color w:val="000000"/>
                <w:sz w:val="18"/>
              </w:rPr>
            </w:pPr>
            <w:r w:rsidRPr="00E861A7">
              <w:rPr>
                <w:color w:val="000000"/>
                <w:sz w:val="18"/>
              </w:rPr>
              <w:t>252 000</w:t>
            </w:r>
          </w:p>
        </w:tc>
      </w:tr>
      <w:tr w:rsidR="00E17AC1" w:rsidRPr="00DB6883" w:rsidTr="006314FD">
        <w:trPr>
          <w:jc w:val="right"/>
        </w:trPr>
        <w:tc>
          <w:tcPr>
            <w:tcW w:w="1029" w:type="dxa"/>
            <w:tcBorders>
              <w:top w:val="nil"/>
              <w:left w:val="nil"/>
              <w:bottom w:val="nil"/>
              <w:right w:val="nil"/>
            </w:tcBorders>
          </w:tcPr>
          <w:p w:rsidR="00E17AC1" w:rsidRPr="00DB6883" w:rsidRDefault="00E17AC1" w:rsidP="00947BB9">
            <w:pPr>
              <w:keepNext/>
              <w:keepLines/>
              <w:spacing w:before="40" w:after="40"/>
              <w:jc w:val="right"/>
              <w:rPr>
                <w:color w:val="000000"/>
                <w:sz w:val="18"/>
              </w:rPr>
            </w:pPr>
            <w:r w:rsidRPr="00DB6883">
              <w:rPr>
                <w:color w:val="000000"/>
                <w:sz w:val="18"/>
              </w:rPr>
              <w:t>1324</w:t>
            </w:r>
          </w:p>
        </w:tc>
        <w:tc>
          <w:tcPr>
            <w:tcW w:w="3498" w:type="dxa"/>
            <w:tcBorders>
              <w:top w:val="nil"/>
              <w:left w:val="nil"/>
              <w:bottom w:val="nil"/>
              <w:right w:val="nil"/>
            </w:tcBorders>
            <w:shd w:val="clear" w:color="auto" w:fill="auto"/>
            <w:noWrap/>
          </w:tcPr>
          <w:p w:rsidR="00E17AC1" w:rsidRPr="00DB6883" w:rsidRDefault="00E17AC1" w:rsidP="00947BB9">
            <w:pPr>
              <w:keepNext/>
              <w:keepLines/>
              <w:spacing w:before="40" w:after="40"/>
              <w:rPr>
                <w:b/>
                <w:color w:val="000000"/>
                <w:sz w:val="18"/>
              </w:rPr>
            </w:pPr>
            <w:r w:rsidRPr="00DB6883">
              <w:rPr>
                <w:color w:val="000000"/>
                <w:sz w:val="18"/>
              </w:rPr>
              <w:t>Conference Services costs: Bureau meetings</w:t>
            </w:r>
          </w:p>
        </w:tc>
        <w:tc>
          <w:tcPr>
            <w:tcW w:w="694" w:type="dxa"/>
            <w:tcBorders>
              <w:top w:val="nil"/>
              <w:left w:val="nil"/>
              <w:bottom w:val="nil"/>
              <w:right w:val="nil"/>
            </w:tcBorders>
          </w:tcPr>
          <w:p w:rsidR="00E17AC1" w:rsidRPr="00DB6883" w:rsidRDefault="00E17AC1" w:rsidP="00947BB9">
            <w:pPr>
              <w:spacing w:before="40" w:after="40"/>
              <w:jc w:val="right"/>
              <w:rPr>
                <w:color w:val="000000"/>
                <w:sz w:val="18"/>
              </w:rPr>
            </w:pPr>
          </w:p>
        </w:tc>
        <w:tc>
          <w:tcPr>
            <w:tcW w:w="1198" w:type="dxa"/>
            <w:tcBorders>
              <w:top w:val="nil"/>
              <w:left w:val="nil"/>
              <w:bottom w:val="nil"/>
              <w:right w:val="nil"/>
            </w:tcBorders>
          </w:tcPr>
          <w:p w:rsidR="00E17AC1" w:rsidRPr="00DB6883" w:rsidRDefault="00E17AC1" w:rsidP="00947BB9">
            <w:pPr>
              <w:spacing w:before="40" w:after="40"/>
              <w:jc w:val="right"/>
              <w:rPr>
                <w:color w:val="000000"/>
                <w:sz w:val="18"/>
              </w:rPr>
            </w:pPr>
            <w:r w:rsidRPr="00DB6883">
              <w:rPr>
                <w:color w:val="000000"/>
                <w:sz w:val="18"/>
              </w:rPr>
              <w:t>20 000</w:t>
            </w:r>
          </w:p>
        </w:tc>
        <w:tc>
          <w:tcPr>
            <w:tcW w:w="943" w:type="dxa"/>
            <w:tcBorders>
              <w:top w:val="nil"/>
              <w:left w:val="nil"/>
              <w:bottom w:val="nil"/>
              <w:right w:val="nil"/>
            </w:tcBorders>
            <w:shd w:val="clear" w:color="auto" w:fill="auto"/>
            <w:noWrap/>
          </w:tcPr>
          <w:p w:rsidR="00E17AC1" w:rsidRPr="00DF6D5C" w:rsidRDefault="00E17AC1" w:rsidP="00947BB9">
            <w:pPr>
              <w:jc w:val="right"/>
            </w:pPr>
            <w:r w:rsidRPr="00DF6D5C">
              <w:rPr>
                <w:color w:val="000000"/>
                <w:sz w:val="18"/>
              </w:rPr>
              <w:sym w:font="Symbol" w:char="F02D"/>
            </w:r>
          </w:p>
        </w:tc>
        <w:tc>
          <w:tcPr>
            <w:tcW w:w="990" w:type="dxa"/>
            <w:tcBorders>
              <w:top w:val="nil"/>
              <w:left w:val="nil"/>
              <w:bottom w:val="nil"/>
              <w:right w:val="nil"/>
            </w:tcBorders>
            <w:shd w:val="clear" w:color="auto" w:fill="auto"/>
            <w:noWrap/>
          </w:tcPr>
          <w:p w:rsidR="00E17AC1" w:rsidRPr="00DF6D5C" w:rsidRDefault="00E17AC1" w:rsidP="00947BB9">
            <w:pPr>
              <w:jc w:val="right"/>
            </w:pPr>
            <w:r w:rsidRPr="00DF6D5C">
              <w:rPr>
                <w:color w:val="000000"/>
                <w:sz w:val="18"/>
              </w:rPr>
              <w:sym w:font="Symbol" w:char="F02D"/>
            </w:r>
          </w:p>
        </w:tc>
        <w:tc>
          <w:tcPr>
            <w:tcW w:w="1032" w:type="dxa"/>
            <w:tcBorders>
              <w:top w:val="nil"/>
              <w:left w:val="nil"/>
              <w:bottom w:val="nil"/>
              <w:right w:val="nil"/>
            </w:tcBorders>
            <w:shd w:val="clear" w:color="auto" w:fill="auto"/>
            <w:noWrap/>
          </w:tcPr>
          <w:p w:rsidR="00E17AC1" w:rsidRPr="00E861A7" w:rsidRDefault="00E17AC1" w:rsidP="00947BB9">
            <w:pPr>
              <w:spacing w:before="40" w:after="40"/>
              <w:jc w:val="right"/>
              <w:rPr>
                <w:color w:val="000000"/>
                <w:sz w:val="18"/>
              </w:rPr>
            </w:pPr>
            <w:r w:rsidRPr="00E861A7">
              <w:rPr>
                <w:color w:val="000000"/>
                <w:sz w:val="18"/>
              </w:rPr>
              <w:t>20 000</w:t>
            </w:r>
          </w:p>
        </w:tc>
      </w:tr>
      <w:tr w:rsidR="00E17AC1" w:rsidRPr="00DB6883" w:rsidTr="006314FD">
        <w:trPr>
          <w:jc w:val="right"/>
        </w:trPr>
        <w:tc>
          <w:tcPr>
            <w:tcW w:w="1029" w:type="dxa"/>
            <w:tcBorders>
              <w:top w:val="nil"/>
              <w:left w:val="nil"/>
              <w:bottom w:val="nil"/>
              <w:right w:val="nil"/>
            </w:tcBorders>
          </w:tcPr>
          <w:p w:rsidR="00E17AC1" w:rsidRPr="00DB6883" w:rsidRDefault="00E17AC1" w:rsidP="00947BB9">
            <w:pPr>
              <w:spacing w:before="40" w:after="40"/>
              <w:jc w:val="right"/>
              <w:rPr>
                <w:color w:val="000000"/>
                <w:sz w:val="18"/>
              </w:rPr>
            </w:pPr>
            <w:r w:rsidRPr="00DB6883">
              <w:rPr>
                <w:color w:val="000000"/>
                <w:sz w:val="18"/>
              </w:rPr>
              <w:t>1327</w:t>
            </w:r>
          </w:p>
        </w:tc>
        <w:tc>
          <w:tcPr>
            <w:tcW w:w="3498" w:type="dxa"/>
            <w:tcBorders>
              <w:top w:val="nil"/>
              <w:left w:val="nil"/>
              <w:bottom w:val="nil"/>
              <w:right w:val="nil"/>
            </w:tcBorders>
            <w:shd w:val="clear" w:color="auto" w:fill="auto"/>
            <w:noWrap/>
          </w:tcPr>
          <w:p w:rsidR="00E17AC1" w:rsidRPr="00DB6883" w:rsidRDefault="00E17AC1" w:rsidP="00947BB9">
            <w:pPr>
              <w:spacing w:before="40" w:after="40"/>
              <w:rPr>
                <w:b/>
                <w:color w:val="000000"/>
                <w:sz w:val="18"/>
              </w:rPr>
            </w:pPr>
            <w:r w:rsidRPr="00DB6883">
              <w:rPr>
                <w:color w:val="000000"/>
                <w:sz w:val="18"/>
              </w:rPr>
              <w:t>Conference Services costs: Ozone Research Managers meeting</w:t>
            </w:r>
          </w:p>
        </w:tc>
        <w:tc>
          <w:tcPr>
            <w:tcW w:w="694" w:type="dxa"/>
            <w:tcBorders>
              <w:top w:val="nil"/>
              <w:left w:val="nil"/>
              <w:bottom w:val="nil"/>
              <w:right w:val="nil"/>
            </w:tcBorders>
          </w:tcPr>
          <w:p w:rsidR="00E17AC1" w:rsidRPr="00DB6883" w:rsidRDefault="00E17AC1" w:rsidP="00947BB9">
            <w:pPr>
              <w:spacing w:before="40" w:after="40"/>
              <w:jc w:val="right"/>
              <w:rPr>
                <w:color w:val="000000"/>
                <w:sz w:val="18"/>
              </w:rPr>
            </w:pPr>
          </w:p>
        </w:tc>
        <w:tc>
          <w:tcPr>
            <w:tcW w:w="1198" w:type="dxa"/>
            <w:tcBorders>
              <w:top w:val="nil"/>
              <w:left w:val="nil"/>
              <w:bottom w:val="nil"/>
              <w:right w:val="nil"/>
            </w:tcBorders>
          </w:tcPr>
          <w:p w:rsidR="00E17AC1" w:rsidRPr="00DB6883" w:rsidRDefault="00E17AC1" w:rsidP="00947BB9">
            <w:pPr>
              <w:spacing w:before="40" w:after="40"/>
              <w:jc w:val="right"/>
              <w:rPr>
                <w:color w:val="000000"/>
                <w:sz w:val="18"/>
              </w:rPr>
            </w:pPr>
            <w:r w:rsidRPr="00DB6883">
              <w:rPr>
                <w:color w:val="000000"/>
                <w:sz w:val="18"/>
              </w:rPr>
              <w:t>15 000</w:t>
            </w:r>
          </w:p>
        </w:tc>
        <w:tc>
          <w:tcPr>
            <w:tcW w:w="943" w:type="dxa"/>
            <w:tcBorders>
              <w:top w:val="nil"/>
              <w:left w:val="nil"/>
              <w:bottom w:val="nil"/>
              <w:right w:val="nil"/>
            </w:tcBorders>
            <w:shd w:val="clear" w:color="auto" w:fill="auto"/>
            <w:noWrap/>
          </w:tcPr>
          <w:p w:rsidR="00E17AC1" w:rsidRPr="00DF6D5C" w:rsidRDefault="00E17AC1" w:rsidP="00947BB9">
            <w:pPr>
              <w:jc w:val="right"/>
            </w:pPr>
            <w:r w:rsidRPr="00DF6D5C">
              <w:rPr>
                <w:color w:val="000000"/>
                <w:sz w:val="18"/>
              </w:rPr>
              <w:sym w:font="Symbol" w:char="F02D"/>
            </w:r>
          </w:p>
        </w:tc>
        <w:tc>
          <w:tcPr>
            <w:tcW w:w="990" w:type="dxa"/>
            <w:tcBorders>
              <w:top w:val="nil"/>
              <w:left w:val="nil"/>
              <w:bottom w:val="nil"/>
              <w:right w:val="nil"/>
            </w:tcBorders>
            <w:shd w:val="clear" w:color="auto" w:fill="auto"/>
            <w:noWrap/>
          </w:tcPr>
          <w:p w:rsidR="00E17AC1" w:rsidRPr="00DF6D5C" w:rsidRDefault="00E17AC1" w:rsidP="00947BB9">
            <w:pPr>
              <w:jc w:val="right"/>
            </w:pPr>
            <w:r w:rsidRPr="00DF6D5C">
              <w:rPr>
                <w:color w:val="000000"/>
                <w:sz w:val="18"/>
              </w:rPr>
              <w:sym w:font="Symbol" w:char="F02D"/>
            </w:r>
          </w:p>
        </w:tc>
        <w:tc>
          <w:tcPr>
            <w:tcW w:w="1032" w:type="dxa"/>
            <w:tcBorders>
              <w:top w:val="nil"/>
              <w:left w:val="nil"/>
              <w:bottom w:val="nil"/>
              <w:right w:val="nil"/>
            </w:tcBorders>
            <w:shd w:val="clear" w:color="auto" w:fill="auto"/>
            <w:noWrap/>
          </w:tcPr>
          <w:p w:rsidR="00E17AC1" w:rsidRPr="00E861A7" w:rsidRDefault="00E17AC1" w:rsidP="00947BB9">
            <w:pPr>
              <w:spacing w:before="40" w:after="40"/>
              <w:jc w:val="right"/>
              <w:rPr>
                <w:color w:val="000000"/>
                <w:sz w:val="18"/>
              </w:rPr>
            </w:pPr>
            <w:r w:rsidRPr="00E861A7">
              <w:rPr>
                <w:color w:val="000000"/>
                <w:sz w:val="18"/>
              </w:rPr>
              <w:t>20 000</w:t>
            </w:r>
          </w:p>
        </w:tc>
      </w:tr>
      <w:tr w:rsidR="00E17AC1" w:rsidRPr="00DB6883" w:rsidTr="006314FD">
        <w:trPr>
          <w:jc w:val="right"/>
        </w:trPr>
        <w:tc>
          <w:tcPr>
            <w:tcW w:w="1029" w:type="dxa"/>
            <w:tcBorders>
              <w:top w:val="nil"/>
              <w:left w:val="nil"/>
              <w:bottom w:val="nil"/>
              <w:right w:val="nil"/>
            </w:tcBorders>
          </w:tcPr>
          <w:p w:rsidR="00E17AC1" w:rsidRPr="00DB6883" w:rsidRDefault="00E17AC1" w:rsidP="00947BB9">
            <w:pPr>
              <w:spacing w:before="40" w:after="40"/>
              <w:jc w:val="right"/>
              <w:rPr>
                <w:color w:val="000000"/>
                <w:sz w:val="18"/>
              </w:rPr>
            </w:pPr>
            <w:r w:rsidRPr="00DB6883">
              <w:rPr>
                <w:color w:val="000000"/>
                <w:sz w:val="18"/>
              </w:rPr>
              <w:t>1328</w:t>
            </w:r>
          </w:p>
        </w:tc>
        <w:tc>
          <w:tcPr>
            <w:tcW w:w="3498" w:type="dxa"/>
            <w:tcBorders>
              <w:top w:val="nil"/>
              <w:left w:val="nil"/>
              <w:bottom w:val="nil"/>
              <w:right w:val="nil"/>
            </w:tcBorders>
            <w:shd w:val="clear" w:color="auto" w:fill="auto"/>
            <w:noWrap/>
          </w:tcPr>
          <w:p w:rsidR="00E17AC1" w:rsidRPr="00DB6883" w:rsidRDefault="00E17AC1" w:rsidP="00947BB9">
            <w:pPr>
              <w:spacing w:before="40" w:after="40"/>
              <w:rPr>
                <w:color w:val="000000"/>
                <w:sz w:val="18"/>
              </w:rPr>
            </w:pPr>
            <w:r w:rsidRPr="00DB6883">
              <w:rPr>
                <w:color w:val="000000"/>
                <w:sz w:val="18"/>
              </w:rPr>
              <w:t>Promotional activities for the protection of the ozone layer</w:t>
            </w:r>
          </w:p>
        </w:tc>
        <w:tc>
          <w:tcPr>
            <w:tcW w:w="694" w:type="dxa"/>
            <w:tcBorders>
              <w:top w:val="nil"/>
              <w:left w:val="nil"/>
              <w:bottom w:val="nil"/>
              <w:right w:val="nil"/>
            </w:tcBorders>
          </w:tcPr>
          <w:p w:rsidR="00E17AC1" w:rsidRPr="00DB6883" w:rsidRDefault="00E17AC1" w:rsidP="00947BB9">
            <w:pPr>
              <w:spacing w:before="40" w:after="40"/>
              <w:jc w:val="right"/>
              <w:rPr>
                <w:color w:val="000000"/>
                <w:sz w:val="18"/>
              </w:rPr>
            </w:pPr>
          </w:p>
        </w:tc>
        <w:tc>
          <w:tcPr>
            <w:tcW w:w="1198" w:type="dxa"/>
            <w:tcBorders>
              <w:top w:val="nil"/>
              <w:left w:val="nil"/>
              <w:bottom w:val="nil"/>
              <w:right w:val="nil"/>
            </w:tcBorders>
          </w:tcPr>
          <w:p w:rsidR="00E17AC1" w:rsidRPr="00DB6883" w:rsidRDefault="00E17AC1" w:rsidP="00947BB9">
            <w:pPr>
              <w:spacing w:before="40" w:after="40"/>
              <w:jc w:val="right"/>
              <w:rPr>
                <w:color w:val="000000"/>
                <w:sz w:val="18"/>
              </w:rPr>
            </w:pPr>
            <w:r w:rsidRPr="00DB6883">
              <w:rPr>
                <w:color w:val="000000"/>
                <w:sz w:val="18"/>
              </w:rPr>
              <w:t>10 000</w:t>
            </w:r>
          </w:p>
        </w:tc>
        <w:tc>
          <w:tcPr>
            <w:tcW w:w="943" w:type="dxa"/>
            <w:tcBorders>
              <w:top w:val="nil"/>
              <w:left w:val="nil"/>
              <w:bottom w:val="nil"/>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10 000</w:t>
            </w:r>
          </w:p>
        </w:tc>
        <w:tc>
          <w:tcPr>
            <w:tcW w:w="990" w:type="dxa"/>
            <w:tcBorders>
              <w:top w:val="nil"/>
              <w:left w:val="nil"/>
              <w:bottom w:val="nil"/>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10 000</w:t>
            </w:r>
          </w:p>
        </w:tc>
        <w:tc>
          <w:tcPr>
            <w:tcW w:w="1032" w:type="dxa"/>
            <w:tcBorders>
              <w:top w:val="nil"/>
              <w:left w:val="nil"/>
              <w:bottom w:val="nil"/>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10 000</w:t>
            </w:r>
          </w:p>
        </w:tc>
      </w:tr>
      <w:tr w:rsidR="00E17AC1" w:rsidRPr="00DB6883" w:rsidTr="006314FD">
        <w:trPr>
          <w:jc w:val="right"/>
        </w:trPr>
        <w:tc>
          <w:tcPr>
            <w:tcW w:w="1029" w:type="dxa"/>
            <w:tcBorders>
              <w:top w:val="nil"/>
              <w:left w:val="nil"/>
              <w:bottom w:val="single" w:sz="8" w:space="0" w:color="auto"/>
              <w:right w:val="nil"/>
            </w:tcBorders>
          </w:tcPr>
          <w:p w:rsidR="00E17AC1" w:rsidRPr="00DB6883" w:rsidRDefault="00E17AC1" w:rsidP="00947BB9">
            <w:pPr>
              <w:spacing w:before="40" w:after="40"/>
              <w:jc w:val="right"/>
              <w:rPr>
                <w:color w:val="000000"/>
                <w:sz w:val="18"/>
              </w:rPr>
            </w:pPr>
            <w:r w:rsidRPr="00DB6883">
              <w:rPr>
                <w:color w:val="000000"/>
                <w:sz w:val="18"/>
              </w:rPr>
              <w:t>5401</w:t>
            </w:r>
          </w:p>
        </w:tc>
        <w:tc>
          <w:tcPr>
            <w:tcW w:w="3498" w:type="dxa"/>
            <w:tcBorders>
              <w:top w:val="nil"/>
              <w:left w:val="nil"/>
              <w:bottom w:val="single" w:sz="8" w:space="0" w:color="auto"/>
              <w:right w:val="nil"/>
            </w:tcBorders>
            <w:shd w:val="clear" w:color="auto" w:fill="auto"/>
            <w:noWrap/>
          </w:tcPr>
          <w:p w:rsidR="00E17AC1" w:rsidRPr="00DB6883" w:rsidRDefault="00E17AC1" w:rsidP="00947BB9">
            <w:pPr>
              <w:spacing w:before="40" w:after="40"/>
              <w:rPr>
                <w:color w:val="000000"/>
                <w:sz w:val="18"/>
              </w:rPr>
            </w:pPr>
            <w:r w:rsidRPr="00DB6883">
              <w:rPr>
                <w:color w:val="000000"/>
                <w:sz w:val="18"/>
              </w:rPr>
              <w:t>Hospitality</w:t>
            </w:r>
          </w:p>
        </w:tc>
        <w:tc>
          <w:tcPr>
            <w:tcW w:w="694" w:type="dxa"/>
            <w:tcBorders>
              <w:top w:val="nil"/>
              <w:left w:val="nil"/>
              <w:bottom w:val="single" w:sz="8" w:space="0" w:color="auto"/>
              <w:right w:val="nil"/>
            </w:tcBorders>
          </w:tcPr>
          <w:p w:rsidR="00E17AC1" w:rsidRPr="00DB6883" w:rsidRDefault="00E17AC1" w:rsidP="00947BB9">
            <w:pPr>
              <w:spacing w:before="40" w:after="40"/>
              <w:jc w:val="right"/>
              <w:rPr>
                <w:color w:val="000000"/>
                <w:sz w:val="18"/>
              </w:rPr>
            </w:pPr>
          </w:p>
        </w:tc>
        <w:tc>
          <w:tcPr>
            <w:tcW w:w="1198" w:type="dxa"/>
            <w:tcBorders>
              <w:top w:val="nil"/>
              <w:left w:val="nil"/>
              <w:bottom w:val="single" w:sz="8" w:space="0" w:color="auto"/>
              <w:right w:val="nil"/>
            </w:tcBorders>
          </w:tcPr>
          <w:p w:rsidR="00E17AC1" w:rsidRPr="00DB6883" w:rsidRDefault="00E17AC1" w:rsidP="00947BB9">
            <w:pPr>
              <w:spacing w:before="40" w:after="40"/>
              <w:jc w:val="right"/>
              <w:rPr>
                <w:color w:val="000000"/>
                <w:sz w:val="18"/>
              </w:rPr>
            </w:pPr>
            <w:r w:rsidRPr="00DB6883">
              <w:rPr>
                <w:color w:val="000000"/>
                <w:sz w:val="18"/>
              </w:rPr>
              <w:t>10 000</w:t>
            </w:r>
          </w:p>
        </w:tc>
        <w:tc>
          <w:tcPr>
            <w:tcW w:w="943" w:type="dxa"/>
            <w:tcBorders>
              <w:top w:val="nil"/>
              <w:left w:val="nil"/>
              <w:bottom w:val="single" w:sz="8" w:space="0" w:color="auto"/>
              <w:right w:val="nil"/>
            </w:tcBorders>
            <w:shd w:val="clear" w:color="auto" w:fill="auto"/>
            <w:noWrap/>
          </w:tcPr>
          <w:p w:rsidR="00E17AC1" w:rsidRPr="00DF6D5C" w:rsidRDefault="00E17AC1" w:rsidP="00947BB9">
            <w:pPr>
              <w:jc w:val="right"/>
            </w:pPr>
            <w:r w:rsidRPr="00DF6D5C">
              <w:rPr>
                <w:color w:val="000000"/>
                <w:sz w:val="18"/>
              </w:rPr>
              <w:sym w:font="Symbol" w:char="F02D"/>
            </w:r>
          </w:p>
        </w:tc>
        <w:tc>
          <w:tcPr>
            <w:tcW w:w="990" w:type="dxa"/>
            <w:tcBorders>
              <w:top w:val="nil"/>
              <w:left w:val="nil"/>
              <w:bottom w:val="single" w:sz="8" w:space="0" w:color="auto"/>
              <w:right w:val="nil"/>
            </w:tcBorders>
            <w:shd w:val="clear" w:color="auto" w:fill="auto"/>
            <w:noWrap/>
          </w:tcPr>
          <w:p w:rsidR="00E17AC1" w:rsidRPr="00DF6D5C" w:rsidRDefault="00E17AC1" w:rsidP="00947BB9">
            <w:pPr>
              <w:jc w:val="right"/>
            </w:pPr>
            <w:r w:rsidRPr="00DF6D5C">
              <w:rPr>
                <w:color w:val="000000"/>
                <w:sz w:val="18"/>
              </w:rPr>
              <w:sym w:font="Symbol" w:char="F02D"/>
            </w:r>
          </w:p>
        </w:tc>
        <w:tc>
          <w:tcPr>
            <w:tcW w:w="1032" w:type="dxa"/>
            <w:tcBorders>
              <w:top w:val="nil"/>
              <w:left w:val="nil"/>
              <w:bottom w:val="single" w:sz="8" w:space="0" w:color="auto"/>
              <w:right w:val="nil"/>
            </w:tcBorders>
            <w:shd w:val="clear" w:color="auto" w:fill="auto"/>
            <w:noWrap/>
          </w:tcPr>
          <w:p w:rsidR="00E17AC1" w:rsidRPr="00E861A7" w:rsidRDefault="00E17AC1" w:rsidP="00947BB9">
            <w:pPr>
              <w:spacing w:before="40" w:after="40"/>
              <w:jc w:val="right"/>
              <w:rPr>
                <w:color w:val="000000"/>
                <w:sz w:val="18"/>
              </w:rPr>
            </w:pPr>
            <w:r w:rsidRPr="00E861A7">
              <w:rPr>
                <w:color w:val="000000"/>
                <w:sz w:val="18"/>
              </w:rPr>
              <w:t>15 000</w:t>
            </w:r>
          </w:p>
        </w:tc>
      </w:tr>
      <w:tr w:rsidR="00E17AC1" w:rsidRPr="00DB6883" w:rsidTr="006314FD">
        <w:trPr>
          <w:jc w:val="right"/>
        </w:trPr>
        <w:tc>
          <w:tcPr>
            <w:tcW w:w="4527" w:type="dxa"/>
            <w:gridSpan w:val="2"/>
            <w:tcBorders>
              <w:top w:val="single" w:sz="8" w:space="0" w:color="auto"/>
              <w:left w:val="nil"/>
              <w:bottom w:val="single" w:sz="4" w:space="0" w:color="auto"/>
              <w:right w:val="nil"/>
            </w:tcBorders>
          </w:tcPr>
          <w:p w:rsidR="00E17AC1" w:rsidRPr="00DB6883" w:rsidRDefault="00E17AC1" w:rsidP="00947BB9">
            <w:pPr>
              <w:spacing w:before="40" w:after="40"/>
              <w:ind w:left="1077"/>
              <w:rPr>
                <w:b/>
                <w:color w:val="000000"/>
                <w:sz w:val="18"/>
              </w:rPr>
            </w:pPr>
            <w:r w:rsidRPr="00DB6883">
              <w:rPr>
                <w:b/>
                <w:color w:val="000000"/>
                <w:sz w:val="18"/>
              </w:rPr>
              <w:t>Subtotal, meeting costs</w:t>
            </w:r>
          </w:p>
        </w:tc>
        <w:tc>
          <w:tcPr>
            <w:tcW w:w="694" w:type="dxa"/>
            <w:tcBorders>
              <w:top w:val="single" w:sz="8" w:space="0" w:color="auto"/>
              <w:left w:val="nil"/>
              <w:bottom w:val="single" w:sz="4" w:space="0" w:color="auto"/>
              <w:right w:val="nil"/>
            </w:tcBorders>
          </w:tcPr>
          <w:p w:rsidR="00E17AC1" w:rsidRPr="00DB6883" w:rsidRDefault="00E17AC1" w:rsidP="00947BB9">
            <w:pPr>
              <w:spacing w:before="40" w:after="40"/>
              <w:jc w:val="right"/>
              <w:rPr>
                <w:b/>
                <w:color w:val="000000"/>
                <w:sz w:val="18"/>
              </w:rPr>
            </w:pPr>
          </w:p>
        </w:tc>
        <w:tc>
          <w:tcPr>
            <w:tcW w:w="1198" w:type="dxa"/>
            <w:tcBorders>
              <w:top w:val="single" w:sz="8" w:space="0" w:color="auto"/>
              <w:left w:val="nil"/>
              <w:bottom w:val="single" w:sz="4" w:space="0" w:color="auto"/>
              <w:right w:val="nil"/>
            </w:tcBorders>
          </w:tcPr>
          <w:p w:rsidR="00E17AC1" w:rsidRPr="00DB6883" w:rsidRDefault="00E17AC1" w:rsidP="00947BB9">
            <w:pPr>
              <w:spacing w:before="40" w:after="40"/>
              <w:jc w:val="right"/>
              <w:rPr>
                <w:b/>
                <w:color w:val="000000"/>
                <w:sz w:val="18"/>
              </w:rPr>
            </w:pPr>
            <w:r w:rsidRPr="00DB6883">
              <w:rPr>
                <w:b/>
                <w:color w:val="000000"/>
                <w:sz w:val="18"/>
              </w:rPr>
              <w:t>307 000</w:t>
            </w:r>
          </w:p>
        </w:tc>
        <w:tc>
          <w:tcPr>
            <w:tcW w:w="943" w:type="dxa"/>
            <w:tcBorders>
              <w:top w:val="single" w:sz="8" w:space="0" w:color="auto"/>
              <w:left w:val="nil"/>
              <w:bottom w:val="single" w:sz="4" w:space="0" w:color="auto"/>
              <w:right w:val="nil"/>
            </w:tcBorders>
            <w:shd w:val="clear" w:color="auto" w:fill="auto"/>
            <w:noWrap/>
          </w:tcPr>
          <w:p w:rsidR="00E17AC1" w:rsidRPr="00DB6883" w:rsidRDefault="00E17AC1" w:rsidP="00947BB9">
            <w:pPr>
              <w:spacing w:before="40" w:after="40"/>
              <w:jc w:val="right"/>
              <w:rPr>
                <w:b/>
                <w:color w:val="000000"/>
                <w:sz w:val="18"/>
              </w:rPr>
            </w:pPr>
            <w:r w:rsidRPr="00DB6883">
              <w:rPr>
                <w:b/>
                <w:color w:val="000000"/>
                <w:sz w:val="18"/>
              </w:rPr>
              <w:t>10 000</w:t>
            </w:r>
          </w:p>
        </w:tc>
        <w:tc>
          <w:tcPr>
            <w:tcW w:w="990" w:type="dxa"/>
            <w:tcBorders>
              <w:top w:val="single" w:sz="8" w:space="0" w:color="auto"/>
              <w:left w:val="nil"/>
              <w:bottom w:val="single" w:sz="4" w:space="0" w:color="auto"/>
              <w:right w:val="nil"/>
            </w:tcBorders>
            <w:shd w:val="clear" w:color="auto" w:fill="auto"/>
            <w:noWrap/>
          </w:tcPr>
          <w:p w:rsidR="00E17AC1" w:rsidRPr="00DB6883" w:rsidRDefault="00E17AC1" w:rsidP="00947BB9">
            <w:pPr>
              <w:spacing w:before="40" w:after="40"/>
              <w:jc w:val="right"/>
              <w:rPr>
                <w:b/>
                <w:color w:val="000000"/>
                <w:sz w:val="18"/>
              </w:rPr>
            </w:pPr>
            <w:r w:rsidRPr="00DB6883">
              <w:rPr>
                <w:b/>
                <w:color w:val="000000"/>
                <w:sz w:val="18"/>
              </w:rPr>
              <w:t>10 000</w:t>
            </w:r>
          </w:p>
        </w:tc>
        <w:tc>
          <w:tcPr>
            <w:tcW w:w="1032" w:type="dxa"/>
            <w:tcBorders>
              <w:top w:val="single" w:sz="8" w:space="0" w:color="auto"/>
              <w:left w:val="nil"/>
              <w:bottom w:val="single" w:sz="4" w:space="0" w:color="auto"/>
              <w:right w:val="nil"/>
            </w:tcBorders>
            <w:shd w:val="clear" w:color="auto" w:fill="auto"/>
            <w:noWrap/>
          </w:tcPr>
          <w:p w:rsidR="00E17AC1" w:rsidRPr="00DB6883" w:rsidRDefault="00E17AC1" w:rsidP="00947BB9">
            <w:pPr>
              <w:spacing w:before="40" w:after="40"/>
              <w:jc w:val="right"/>
              <w:rPr>
                <w:b/>
                <w:color w:val="000000"/>
                <w:sz w:val="18"/>
              </w:rPr>
            </w:pPr>
            <w:r w:rsidRPr="00DB6883">
              <w:rPr>
                <w:b/>
                <w:color w:val="000000"/>
                <w:sz w:val="18"/>
              </w:rPr>
              <w:t>317 000</w:t>
            </w:r>
          </w:p>
        </w:tc>
      </w:tr>
      <w:tr w:rsidR="00E17AC1" w:rsidRPr="00DB6883" w:rsidTr="006314FD">
        <w:trPr>
          <w:jc w:val="right"/>
        </w:trPr>
        <w:tc>
          <w:tcPr>
            <w:tcW w:w="1029" w:type="dxa"/>
            <w:tcBorders>
              <w:top w:val="single" w:sz="4" w:space="0" w:color="auto"/>
              <w:left w:val="nil"/>
              <w:bottom w:val="nil"/>
              <w:right w:val="nil"/>
            </w:tcBorders>
          </w:tcPr>
          <w:p w:rsidR="00E17AC1" w:rsidRPr="00DB6883" w:rsidRDefault="00E17AC1" w:rsidP="00947BB9">
            <w:pPr>
              <w:spacing w:before="40" w:after="40"/>
              <w:jc w:val="right"/>
              <w:rPr>
                <w:b/>
                <w:color w:val="000000"/>
                <w:sz w:val="18"/>
              </w:rPr>
            </w:pPr>
            <w:r w:rsidRPr="00DB6883">
              <w:rPr>
                <w:b/>
                <w:color w:val="000000"/>
                <w:sz w:val="18"/>
              </w:rPr>
              <w:t>3300</w:t>
            </w:r>
          </w:p>
        </w:tc>
        <w:tc>
          <w:tcPr>
            <w:tcW w:w="3498" w:type="dxa"/>
            <w:tcBorders>
              <w:top w:val="single" w:sz="4" w:space="0" w:color="auto"/>
              <w:left w:val="nil"/>
              <w:bottom w:val="nil"/>
              <w:right w:val="nil"/>
            </w:tcBorders>
          </w:tcPr>
          <w:p w:rsidR="00E17AC1" w:rsidRPr="00DB6883" w:rsidRDefault="00E17AC1" w:rsidP="00947BB9">
            <w:pPr>
              <w:spacing w:before="40" w:after="40"/>
              <w:rPr>
                <w:b/>
                <w:color w:val="000000"/>
                <w:sz w:val="18"/>
              </w:rPr>
            </w:pPr>
            <w:r w:rsidRPr="00DB6883">
              <w:rPr>
                <w:b/>
                <w:color w:val="000000"/>
                <w:sz w:val="18"/>
              </w:rPr>
              <w:t>Travel of Article 5 parties</w:t>
            </w:r>
          </w:p>
        </w:tc>
        <w:tc>
          <w:tcPr>
            <w:tcW w:w="4857" w:type="dxa"/>
            <w:gridSpan w:val="5"/>
            <w:tcBorders>
              <w:top w:val="single" w:sz="4" w:space="0" w:color="auto"/>
              <w:left w:val="nil"/>
              <w:bottom w:val="nil"/>
              <w:right w:val="nil"/>
            </w:tcBorders>
          </w:tcPr>
          <w:p w:rsidR="00E17AC1" w:rsidRPr="00DB6883" w:rsidRDefault="00E17AC1" w:rsidP="00947BB9">
            <w:pPr>
              <w:spacing w:before="40" w:after="40"/>
              <w:rPr>
                <w:color w:val="000000"/>
                <w:sz w:val="18"/>
              </w:rPr>
            </w:pPr>
          </w:p>
        </w:tc>
      </w:tr>
      <w:tr w:rsidR="00E17AC1" w:rsidRPr="00DB6883" w:rsidTr="006314FD">
        <w:trPr>
          <w:jc w:val="right"/>
        </w:trPr>
        <w:tc>
          <w:tcPr>
            <w:tcW w:w="1029" w:type="dxa"/>
            <w:tcBorders>
              <w:top w:val="nil"/>
              <w:left w:val="nil"/>
              <w:bottom w:val="nil"/>
              <w:right w:val="nil"/>
            </w:tcBorders>
          </w:tcPr>
          <w:p w:rsidR="00E17AC1" w:rsidRPr="00DB6883" w:rsidRDefault="00E17AC1" w:rsidP="00947BB9">
            <w:pPr>
              <w:spacing w:before="40" w:after="40"/>
              <w:jc w:val="right"/>
              <w:rPr>
                <w:color w:val="000000"/>
                <w:sz w:val="18"/>
              </w:rPr>
            </w:pPr>
            <w:r w:rsidRPr="00DB6883">
              <w:rPr>
                <w:color w:val="000000"/>
                <w:sz w:val="18"/>
              </w:rPr>
              <w:t>3304</w:t>
            </w:r>
          </w:p>
        </w:tc>
        <w:tc>
          <w:tcPr>
            <w:tcW w:w="3498" w:type="dxa"/>
            <w:tcBorders>
              <w:top w:val="nil"/>
              <w:left w:val="nil"/>
              <w:bottom w:val="nil"/>
              <w:right w:val="nil"/>
            </w:tcBorders>
            <w:shd w:val="clear" w:color="auto" w:fill="auto"/>
            <w:noWrap/>
          </w:tcPr>
          <w:p w:rsidR="00E17AC1" w:rsidRPr="00DB6883" w:rsidRDefault="00E17AC1" w:rsidP="00947BB9">
            <w:pPr>
              <w:spacing w:before="40" w:after="40"/>
              <w:rPr>
                <w:color w:val="000000"/>
                <w:sz w:val="18"/>
              </w:rPr>
            </w:pPr>
            <w:r w:rsidRPr="00DB6883">
              <w:rPr>
                <w:color w:val="000000"/>
                <w:sz w:val="18"/>
              </w:rPr>
              <w:t>Travel of Article 5 parties: Bureau meetings</w:t>
            </w:r>
          </w:p>
        </w:tc>
        <w:tc>
          <w:tcPr>
            <w:tcW w:w="694" w:type="dxa"/>
            <w:tcBorders>
              <w:top w:val="nil"/>
              <w:left w:val="nil"/>
              <w:bottom w:val="nil"/>
              <w:right w:val="nil"/>
            </w:tcBorders>
          </w:tcPr>
          <w:p w:rsidR="00E17AC1" w:rsidRPr="00DB6883" w:rsidRDefault="00E17AC1" w:rsidP="00947BB9">
            <w:pPr>
              <w:spacing w:before="40" w:after="40"/>
              <w:jc w:val="right"/>
              <w:rPr>
                <w:color w:val="000000"/>
                <w:sz w:val="18"/>
              </w:rPr>
            </w:pPr>
          </w:p>
        </w:tc>
        <w:tc>
          <w:tcPr>
            <w:tcW w:w="1198" w:type="dxa"/>
            <w:tcBorders>
              <w:top w:val="nil"/>
              <w:left w:val="nil"/>
              <w:bottom w:val="nil"/>
              <w:right w:val="nil"/>
            </w:tcBorders>
          </w:tcPr>
          <w:p w:rsidR="00E17AC1" w:rsidRPr="00DB6883" w:rsidRDefault="00E17AC1" w:rsidP="00947BB9">
            <w:pPr>
              <w:spacing w:before="40" w:after="40"/>
              <w:jc w:val="right"/>
              <w:rPr>
                <w:color w:val="000000"/>
                <w:sz w:val="18"/>
              </w:rPr>
            </w:pPr>
            <w:r w:rsidRPr="00DB6883">
              <w:rPr>
                <w:color w:val="000000"/>
                <w:sz w:val="18"/>
              </w:rPr>
              <w:t>20 000</w:t>
            </w:r>
          </w:p>
        </w:tc>
        <w:tc>
          <w:tcPr>
            <w:tcW w:w="943" w:type="dxa"/>
            <w:tcBorders>
              <w:top w:val="nil"/>
              <w:left w:val="nil"/>
              <w:bottom w:val="nil"/>
              <w:right w:val="nil"/>
            </w:tcBorders>
            <w:shd w:val="clear" w:color="auto" w:fill="auto"/>
            <w:noWrap/>
          </w:tcPr>
          <w:p w:rsidR="00E17AC1" w:rsidRPr="00DF6D5C" w:rsidRDefault="00E17AC1" w:rsidP="00947BB9">
            <w:pPr>
              <w:jc w:val="right"/>
            </w:pPr>
            <w:r w:rsidRPr="00DF6D5C">
              <w:rPr>
                <w:color w:val="000000"/>
                <w:sz w:val="18"/>
              </w:rPr>
              <w:sym w:font="Symbol" w:char="F02D"/>
            </w:r>
          </w:p>
        </w:tc>
        <w:tc>
          <w:tcPr>
            <w:tcW w:w="990" w:type="dxa"/>
            <w:tcBorders>
              <w:top w:val="nil"/>
              <w:left w:val="nil"/>
              <w:bottom w:val="nil"/>
              <w:right w:val="nil"/>
            </w:tcBorders>
            <w:shd w:val="clear" w:color="auto" w:fill="auto"/>
            <w:noWrap/>
          </w:tcPr>
          <w:p w:rsidR="00E17AC1" w:rsidRPr="00DF6D5C" w:rsidRDefault="00E17AC1" w:rsidP="00947BB9">
            <w:pPr>
              <w:jc w:val="right"/>
            </w:pPr>
            <w:r w:rsidRPr="00DF6D5C">
              <w:rPr>
                <w:color w:val="000000"/>
                <w:sz w:val="18"/>
              </w:rPr>
              <w:sym w:font="Symbol" w:char="F02D"/>
            </w:r>
          </w:p>
        </w:tc>
        <w:tc>
          <w:tcPr>
            <w:tcW w:w="1032" w:type="dxa"/>
            <w:tcBorders>
              <w:top w:val="nil"/>
              <w:left w:val="nil"/>
              <w:bottom w:val="nil"/>
              <w:right w:val="nil"/>
            </w:tcBorders>
            <w:shd w:val="clear" w:color="auto" w:fill="auto"/>
            <w:noWrap/>
          </w:tcPr>
          <w:p w:rsidR="00E17AC1" w:rsidRPr="00E861A7" w:rsidRDefault="00E17AC1" w:rsidP="00947BB9">
            <w:pPr>
              <w:spacing w:before="40" w:after="40"/>
              <w:jc w:val="right"/>
              <w:rPr>
                <w:color w:val="000000"/>
                <w:sz w:val="18"/>
              </w:rPr>
            </w:pPr>
            <w:r w:rsidRPr="00E861A7">
              <w:rPr>
                <w:color w:val="000000"/>
                <w:sz w:val="18"/>
              </w:rPr>
              <w:t>20 000</w:t>
            </w:r>
          </w:p>
        </w:tc>
      </w:tr>
      <w:tr w:rsidR="00E17AC1" w:rsidRPr="00DB6883" w:rsidTr="006314FD">
        <w:trPr>
          <w:jc w:val="right"/>
        </w:trPr>
        <w:tc>
          <w:tcPr>
            <w:tcW w:w="1029" w:type="dxa"/>
            <w:tcBorders>
              <w:top w:val="nil"/>
              <w:left w:val="nil"/>
              <w:bottom w:val="nil"/>
              <w:right w:val="nil"/>
            </w:tcBorders>
          </w:tcPr>
          <w:p w:rsidR="00E17AC1" w:rsidRPr="00DB6883" w:rsidRDefault="00E17AC1" w:rsidP="00947BB9">
            <w:pPr>
              <w:spacing w:before="40" w:after="40"/>
              <w:jc w:val="right"/>
              <w:rPr>
                <w:color w:val="000000"/>
                <w:sz w:val="18"/>
              </w:rPr>
            </w:pPr>
            <w:r w:rsidRPr="00DB6883">
              <w:rPr>
                <w:color w:val="000000"/>
                <w:sz w:val="18"/>
              </w:rPr>
              <w:t>3307</w:t>
            </w:r>
          </w:p>
        </w:tc>
        <w:tc>
          <w:tcPr>
            <w:tcW w:w="3498" w:type="dxa"/>
            <w:tcBorders>
              <w:top w:val="nil"/>
              <w:left w:val="nil"/>
              <w:bottom w:val="nil"/>
              <w:right w:val="nil"/>
            </w:tcBorders>
            <w:shd w:val="clear" w:color="auto" w:fill="auto"/>
            <w:noWrap/>
          </w:tcPr>
          <w:p w:rsidR="00E17AC1" w:rsidRPr="00DB6883" w:rsidRDefault="00E17AC1" w:rsidP="00947BB9">
            <w:pPr>
              <w:spacing w:before="40" w:after="40"/>
              <w:rPr>
                <w:color w:val="000000"/>
                <w:sz w:val="18"/>
              </w:rPr>
            </w:pPr>
            <w:r w:rsidRPr="00DB6883">
              <w:rPr>
                <w:color w:val="000000"/>
                <w:sz w:val="18"/>
              </w:rPr>
              <w:t>Travel of Article 5 parties: Ozone Research Managers meeting</w:t>
            </w:r>
          </w:p>
        </w:tc>
        <w:tc>
          <w:tcPr>
            <w:tcW w:w="694" w:type="dxa"/>
            <w:tcBorders>
              <w:top w:val="nil"/>
              <w:left w:val="nil"/>
              <w:bottom w:val="nil"/>
              <w:right w:val="nil"/>
            </w:tcBorders>
          </w:tcPr>
          <w:p w:rsidR="00E17AC1" w:rsidRPr="00DB6883" w:rsidRDefault="00E17AC1" w:rsidP="00947BB9">
            <w:pPr>
              <w:spacing w:before="40" w:after="40"/>
              <w:jc w:val="right"/>
              <w:rPr>
                <w:color w:val="000000"/>
                <w:sz w:val="18"/>
              </w:rPr>
            </w:pPr>
          </w:p>
        </w:tc>
        <w:tc>
          <w:tcPr>
            <w:tcW w:w="1198" w:type="dxa"/>
            <w:tcBorders>
              <w:top w:val="nil"/>
              <w:left w:val="nil"/>
              <w:bottom w:val="nil"/>
              <w:right w:val="nil"/>
            </w:tcBorders>
          </w:tcPr>
          <w:p w:rsidR="00E17AC1" w:rsidRPr="00DB6883" w:rsidRDefault="00E17AC1" w:rsidP="00947BB9">
            <w:pPr>
              <w:spacing w:before="40" w:after="40"/>
              <w:jc w:val="right"/>
              <w:rPr>
                <w:color w:val="000000"/>
                <w:sz w:val="18"/>
              </w:rPr>
            </w:pPr>
            <w:r w:rsidRPr="00DB6883">
              <w:rPr>
                <w:color w:val="000000"/>
                <w:sz w:val="18"/>
              </w:rPr>
              <w:t>150 000</w:t>
            </w:r>
          </w:p>
        </w:tc>
        <w:tc>
          <w:tcPr>
            <w:tcW w:w="943" w:type="dxa"/>
            <w:tcBorders>
              <w:top w:val="nil"/>
              <w:left w:val="nil"/>
              <w:bottom w:val="nil"/>
              <w:right w:val="nil"/>
            </w:tcBorders>
            <w:shd w:val="clear" w:color="auto" w:fill="auto"/>
            <w:noWrap/>
          </w:tcPr>
          <w:p w:rsidR="00E17AC1" w:rsidRPr="00DF6D5C" w:rsidRDefault="00E17AC1" w:rsidP="00947BB9">
            <w:pPr>
              <w:jc w:val="right"/>
            </w:pPr>
            <w:r w:rsidRPr="00DF6D5C">
              <w:rPr>
                <w:color w:val="000000"/>
                <w:sz w:val="18"/>
              </w:rPr>
              <w:sym w:font="Symbol" w:char="F02D"/>
            </w:r>
          </w:p>
        </w:tc>
        <w:tc>
          <w:tcPr>
            <w:tcW w:w="990" w:type="dxa"/>
            <w:tcBorders>
              <w:top w:val="nil"/>
              <w:left w:val="nil"/>
              <w:bottom w:val="nil"/>
              <w:right w:val="nil"/>
            </w:tcBorders>
            <w:shd w:val="clear" w:color="auto" w:fill="auto"/>
            <w:noWrap/>
          </w:tcPr>
          <w:p w:rsidR="00E17AC1" w:rsidRPr="00DF6D5C" w:rsidRDefault="00E17AC1" w:rsidP="00947BB9">
            <w:pPr>
              <w:jc w:val="right"/>
            </w:pPr>
            <w:r w:rsidRPr="00DF6D5C">
              <w:rPr>
                <w:color w:val="000000"/>
                <w:sz w:val="18"/>
              </w:rPr>
              <w:sym w:font="Symbol" w:char="F02D"/>
            </w:r>
          </w:p>
        </w:tc>
        <w:tc>
          <w:tcPr>
            <w:tcW w:w="1032" w:type="dxa"/>
            <w:tcBorders>
              <w:top w:val="nil"/>
              <w:left w:val="nil"/>
              <w:bottom w:val="nil"/>
              <w:right w:val="nil"/>
            </w:tcBorders>
            <w:shd w:val="clear" w:color="auto" w:fill="auto"/>
            <w:noWrap/>
          </w:tcPr>
          <w:p w:rsidR="00E17AC1" w:rsidRPr="00E861A7" w:rsidRDefault="00E17AC1" w:rsidP="00947BB9">
            <w:pPr>
              <w:spacing w:before="40" w:after="40"/>
              <w:jc w:val="right"/>
              <w:rPr>
                <w:color w:val="000000"/>
                <w:sz w:val="18"/>
              </w:rPr>
            </w:pPr>
            <w:r w:rsidRPr="00E861A7">
              <w:rPr>
                <w:color w:val="000000"/>
                <w:sz w:val="18"/>
              </w:rPr>
              <w:t>160 000</w:t>
            </w:r>
          </w:p>
        </w:tc>
      </w:tr>
      <w:tr w:rsidR="00E17AC1" w:rsidRPr="00DB6883" w:rsidTr="006314FD">
        <w:trPr>
          <w:jc w:val="right"/>
        </w:trPr>
        <w:tc>
          <w:tcPr>
            <w:tcW w:w="4527" w:type="dxa"/>
            <w:gridSpan w:val="2"/>
            <w:tcBorders>
              <w:top w:val="single" w:sz="8" w:space="0" w:color="auto"/>
              <w:left w:val="nil"/>
              <w:bottom w:val="single" w:sz="8" w:space="0" w:color="auto"/>
              <w:right w:val="nil"/>
            </w:tcBorders>
          </w:tcPr>
          <w:p w:rsidR="00E17AC1" w:rsidRPr="00DB6883" w:rsidRDefault="00E17AC1" w:rsidP="00947BB9">
            <w:pPr>
              <w:spacing w:before="40" w:after="40"/>
              <w:ind w:left="1077"/>
              <w:rPr>
                <w:b/>
                <w:color w:val="000000"/>
                <w:sz w:val="18"/>
              </w:rPr>
            </w:pPr>
            <w:r w:rsidRPr="00DB6883">
              <w:rPr>
                <w:b/>
                <w:color w:val="000000"/>
                <w:sz w:val="18"/>
              </w:rPr>
              <w:t>Subtotal, travel of Article 5 parties</w:t>
            </w:r>
          </w:p>
        </w:tc>
        <w:tc>
          <w:tcPr>
            <w:tcW w:w="694" w:type="dxa"/>
            <w:tcBorders>
              <w:top w:val="single" w:sz="8" w:space="0" w:color="auto"/>
              <w:left w:val="nil"/>
              <w:bottom w:val="single" w:sz="8" w:space="0" w:color="auto"/>
              <w:right w:val="nil"/>
            </w:tcBorders>
          </w:tcPr>
          <w:p w:rsidR="00E17AC1" w:rsidRPr="00DB6883" w:rsidRDefault="00E17AC1" w:rsidP="00947BB9">
            <w:pPr>
              <w:spacing w:before="40" w:after="40"/>
              <w:jc w:val="right"/>
              <w:rPr>
                <w:b/>
                <w:color w:val="000000"/>
                <w:sz w:val="18"/>
              </w:rPr>
            </w:pPr>
          </w:p>
        </w:tc>
        <w:tc>
          <w:tcPr>
            <w:tcW w:w="1198" w:type="dxa"/>
            <w:tcBorders>
              <w:top w:val="single" w:sz="8" w:space="0" w:color="auto"/>
              <w:left w:val="nil"/>
              <w:bottom w:val="single" w:sz="8" w:space="0" w:color="auto"/>
              <w:right w:val="nil"/>
            </w:tcBorders>
          </w:tcPr>
          <w:p w:rsidR="00E17AC1" w:rsidRPr="00DB6883" w:rsidRDefault="00E17AC1" w:rsidP="00947BB9">
            <w:pPr>
              <w:spacing w:before="40" w:after="40"/>
              <w:jc w:val="right"/>
              <w:rPr>
                <w:b/>
                <w:color w:val="000000"/>
                <w:sz w:val="18"/>
              </w:rPr>
            </w:pPr>
            <w:r w:rsidRPr="00DB6883">
              <w:rPr>
                <w:b/>
                <w:color w:val="000000"/>
                <w:sz w:val="18"/>
              </w:rPr>
              <w:t>170 000</w:t>
            </w:r>
          </w:p>
        </w:tc>
        <w:tc>
          <w:tcPr>
            <w:tcW w:w="943" w:type="dxa"/>
            <w:tcBorders>
              <w:top w:val="single" w:sz="8" w:space="0" w:color="auto"/>
              <w:left w:val="nil"/>
              <w:bottom w:val="single" w:sz="8" w:space="0" w:color="auto"/>
              <w:right w:val="nil"/>
            </w:tcBorders>
            <w:shd w:val="clear" w:color="auto" w:fill="auto"/>
            <w:noWrap/>
          </w:tcPr>
          <w:p w:rsidR="00E17AC1" w:rsidRPr="00DF6D5C" w:rsidRDefault="00E17AC1" w:rsidP="00947BB9">
            <w:pPr>
              <w:jc w:val="right"/>
            </w:pPr>
            <w:r w:rsidRPr="00DF6D5C">
              <w:rPr>
                <w:color w:val="000000"/>
                <w:sz w:val="18"/>
              </w:rPr>
              <w:sym w:font="Symbol" w:char="F02D"/>
            </w:r>
          </w:p>
        </w:tc>
        <w:tc>
          <w:tcPr>
            <w:tcW w:w="990" w:type="dxa"/>
            <w:tcBorders>
              <w:top w:val="single" w:sz="8" w:space="0" w:color="auto"/>
              <w:left w:val="nil"/>
              <w:bottom w:val="single" w:sz="8" w:space="0" w:color="auto"/>
              <w:right w:val="nil"/>
            </w:tcBorders>
            <w:shd w:val="clear" w:color="auto" w:fill="auto"/>
            <w:noWrap/>
          </w:tcPr>
          <w:p w:rsidR="00E17AC1" w:rsidRPr="00DF6D5C" w:rsidRDefault="00E17AC1" w:rsidP="00947BB9">
            <w:pPr>
              <w:jc w:val="right"/>
            </w:pPr>
            <w:r w:rsidRPr="00DF6D5C">
              <w:rPr>
                <w:color w:val="000000"/>
                <w:sz w:val="18"/>
              </w:rPr>
              <w:sym w:font="Symbol" w:char="F02D"/>
            </w:r>
          </w:p>
        </w:tc>
        <w:tc>
          <w:tcPr>
            <w:tcW w:w="1032" w:type="dxa"/>
            <w:tcBorders>
              <w:top w:val="single" w:sz="8" w:space="0" w:color="auto"/>
              <w:left w:val="nil"/>
              <w:bottom w:val="single" w:sz="8" w:space="0" w:color="auto"/>
              <w:right w:val="nil"/>
            </w:tcBorders>
            <w:shd w:val="clear" w:color="auto" w:fill="auto"/>
            <w:noWrap/>
          </w:tcPr>
          <w:p w:rsidR="00E17AC1" w:rsidRPr="00E861A7" w:rsidRDefault="00E17AC1" w:rsidP="00947BB9">
            <w:pPr>
              <w:spacing w:before="40" w:after="40"/>
              <w:jc w:val="right"/>
              <w:rPr>
                <w:b/>
                <w:color w:val="000000"/>
                <w:sz w:val="18"/>
              </w:rPr>
            </w:pPr>
            <w:r w:rsidRPr="00E861A7">
              <w:rPr>
                <w:b/>
                <w:color w:val="000000"/>
                <w:sz w:val="18"/>
              </w:rPr>
              <w:t>180 000</w:t>
            </w:r>
          </w:p>
        </w:tc>
      </w:tr>
      <w:tr w:rsidR="00E17AC1" w:rsidRPr="00DB6883" w:rsidTr="006314FD">
        <w:trPr>
          <w:jc w:val="right"/>
        </w:trPr>
        <w:tc>
          <w:tcPr>
            <w:tcW w:w="1029" w:type="dxa"/>
            <w:tcBorders>
              <w:top w:val="nil"/>
              <w:left w:val="nil"/>
              <w:bottom w:val="single" w:sz="4" w:space="0" w:color="auto"/>
              <w:right w:val="nil"/>
            </w:tcBorders>
          </w:tcPr>
          <w:p w:rsidR="00E17AC1" w:rsidRPr="00DB6883" w:rsidRDefault="00E17AC1" w:rsidP="00947BB9">
            <w:pPr>
              <w:spacing w:before="40" w:after="40"/>
              <w:jc w:val="right"/>
              <w:rPr>
                <w:color w:val="000000"/>
                <w:sz w:val="18"/>
              </w:rPr>
            </w:pPr>
            <w:r w:rsidRPr="00DB6883">
              <w:rPr>
                <w:color w:val="000000"/>
                <w:sz w:val="18"/>
              </w:rPr>
              <w:t>1600</w:t>
            </w:r>
          </w:p>
        </w:tc>
        <w:tc>
          <w:tcPr>
            <w:tcW w:w="3498" w:type="dxa"/>
            <w:tcBorders>
              <w:top w:val="nil"/>
              <w:left w:val="nil"/>
              <w:bottom w:val="single" w:sz="4" w:space="0" w:color="auto"/>
              <w:right w:val="nil"/>
            </w:tcBorders>
            <w:shd w:val="clear" w:color="auto" w:fill="auto"/>
            <w:noWrap/>
          </w:tcPr>
          <w:p w:rsidR="00E17AC1" w:rsidRPr="00DB6883" w:rsidRDefault="00E17AC1" w:rsidP="00947BB9">
            <w:pPr>
              <w:spacing w:before="40" w:after="40"/>
              <w:rPr>
                <w:color w:val="000000"/>
                <w:sz w:val="18"/>
              </w:rPr>
            </w:pPr>
            <w:r w:rsidRPr="00DB6883">
              <w:rPr>
                <w:color w:val="000000"/>
                <w:sz w:val="18"/>
              </w:rPr>
              <w:t>Staff travel on official business</w:t>
            </w:r>
          </w:p>
        </w:tc>
        <w:tc>
          <w:tcPr>
            <w:tcW w:w="694" w:type="dxa"/>
            <w:tcBorders>
              <w:top w:val="nil"/>
              <w:left w:val="nil"/>
              <w:bottom w:val="single" w:sz="4" w:space="0" w:color="auto"/>
              <w:right w:val="nil"/>
            </w:tcBorders>
          </w:tcPr>
          <w:p w:rsidR="00E17AC1" w:rsidRPr="00DB6883" w:rsidRDefault="00E17AC1" w:rsidP="00947BB9">
            <w:pPr>
              <w:spacing w:before="40" w:after="40"/>
              <w:jc w:val="right"/>
              <w:rPr>
                <w:color w:val="000000"/>
                <w:sz w:val="18"/>
              </w:rPr>
            </w:pPr>
          </w:p>
        </w:tc>
        <w:tc>
          <w:tcPr>
            <w:tcW w:w="1198" w:type="dxa"/>
            <w:tcBorders>
              <w:top w:val="nil"/>
              <w:left w:val="nil"/>
              <w:bottom w:val="single" w:sz="4" w:space="0" w:color="auto"/>
              <w:right w:val="nil"/>
            </w:tcBorders>
          </w:tcPr>
          <w:p w:rsidR="00E17AC1" w:rsidRPr="00DB6883" w:rsidRDefault="00E17AC1" w:rsidP="00947BB9">
            <w:pPr>
              <w:spacing w:before="40" w:after="40"/>
              <w:jc w:val="right"/>
              <w:rPr>
                <w:color w:val="000000"/>
                <w:sz w:val="18"/>
              </w:rPr>
            </w:pPr>
            <w:r w:rsidRPr="00DB6883">
              <w:rPr>
                <w:color w:val="000000"/>
                <w:sz w:val="18"/>
              </w:rPr>
              <w:t>30 000</w:t>
            </w:r>
          </w:p>
        </w:tc>
        <w:tc>
          <w:tcPr>
            <w:tcW w:w="943" w:type="dxa"/>
            <w:tcBorders>
              <w:top w:val="nil"/>
              <w:left w:val="nil"/>
              <w:bottom w:val="single" w:sz="4" w:space="0" w:color="auto"/>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30 000</w:t>
            </w:r>
          </w:p>
        </w:tc>
        <w:tc>
          <w:tcPr>
            <w:tcW w:w="990" w:type="dxa"/>
            <w:tcBorders>
              <w:top w:val="nil"/>
              <w:left w:val="nil"/>
              <w:bottom w:val="single" w:sz="4" w:space="0" w:color="auto"/>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30 000</w:t>
            </w:r>
          </w:p>
        </w:tc>
        <w:tc>
          <w:tcPr>
            <w:tcW w:w="1032" w:type="dxa"/>
            <w:tcBorders>
              <w:top w:val="nil"/>
              <w:left w:val="nil"/>
              <w:bottom w:val="single" w:sz="4" w:space="0" w:color="auto"/>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30 000</w:t>
            </w:r>
          </w:p>
        </w:tc>
      </w:tr>
      <w:tr w:rsidR="00E17AC1" w:rsidRPr="00DB6883" w:rsidTr="006314FD">
        <w:trPr>
          <w:jc w:val="right"/>
        </w:trPr>
        <w:tc>
          <w:tcPr>
            <w:tcW w:w="9384" w:type="dxa"/>
            <w:gridSpan w:val="7"/>
            <w:tcBorders>
              <w:top w:val="single" w:sz="4" w:space="0" w:color="auto"/>
              <w:left w:val="nil"/>
              <w:bottom w:val="single" w:sz="4" w:space="0" w:color="auto"/>
              <w:right w:val="nil"/>
            </w:tcBorders>
          </w:tcPr>
          <w:p w:rsidR="00E17AC1" w:rsidRPr="00DB6883" w:rsidRDefault="00E17AC1" w:rsidP="00947BB9">
            <w:pPr>
              <w:spacing w:before="40" w:after="40"/>
              <w:rPr>
                <w:b/>
                <w:color w:val="000000"/>
                <w:sz w:val="18"/>
              </w:rPr>
            </w:pPr>
            <w:r w:rsidRPr="00DB6883">
              <w:rPr>
                <w:b/>
                <w:color w:val="000000"/>
                <w:sz w:val="18"/>
              </w:rPr>
              <w:t xml:space="preserve">Other operating costs: consumables and supplies </w:t>
            </w:r>
          </w:p>
        </w:tc>
      </w:tr>
      <w:tr w:rsidR="00E17AC1" w:rsidRPr="00DB6883" w:rsidTr="006314FD">
        <w:trPr>
          <w:jc w:val="right"/>
        </w:trPr>
        <w:tc>
          <w:tcPr>
            <w:tcW w:w="1029" w:type="dxa"/>
            <w:tcBorders>
              <w:top w:val="single" w:sz="4" w:space="0" w:color="auto"/>
              <w:left w:val="nil"/>
              <w:bottom w:val="nil"/>
              <w:right w:val="nil"/>
            </w:tcBorders>
          </w:tcPr>
          <w:p w:rsidR="00E17AC1" w:rsidRPr="00DB6883" w:rsidRDefault="00E17AC1" w:rsidP="00947BB9">
            <w:pPr>
              <w:spacing w:before="40" w:after="40"/>
              <w:jc w:val="right"/>
              <w:rPr>
                <w:color w:val="000000"/>
                <w:sz w:val="18"/>
              </w:rPr>
            </w:pPr>
            <w:r w:rsidRPr="00DB6883">
              <w:rPr>
                <w:color w:val="000000"/>
                <w:sz w:val="18"/>
              </w:rPr>
              <w:t>4100</w:t>
            </w:r>
          </w:p>
        </w:tc>
        <w:tc>
          <w:tcPr>
            <w:tcW w:w="3498" w:type="dxa"/>
            <w:tcBorders>
              <w:top w:val="single" w:sz="4" w:space="0" w:color="auto"/>
              <w:left w:val="nil"/>
              <w:bottom w:val="nil"/>
              <w:right w:val="nil"/>
            </w:tcBorders>
            <w:shd w:val="clear" w:color="auto" w:fill="auto"/>
            <w:noWrap/>
            <w:hideMark/>
          </w:tcPr>
          <w:p w:rsidR="00E17AC1" w:rsidRPr="00DB6883" w:rsidRDefault="00E17AC1" w:rsidP="00947BB9">
            <w:pPr>
              <w:spacing w:before="40" w:after="40"/>
              <w:rPr>
                <w:color w:val="000000"/>
                <w:sz w:val="18"/>
              </w:rPr>
            </w:pPr>
            <w:r w:rsidRPr="00DB6883">
              <w:rPr>
                <w:color w:val="000000"/>
                <w:sz w:val="18"/>
              </w:rPr>
              <w:t>Expendable equipment</w:t>
            </w:r>
          </w:p>
        </w:tc>
        <w:tc>
          <w:tcPr>
            <w:tcW w:w="694" w:type="dxa"/>
            <w:tcBorders>
              <w:top w:val="single" w:sz="4" w:space="0" w:color="auto"/>
              <w:left w:val="nil"/>
              <w:bottom w:val="nil"/>
              <w:right w:val="nil"/>
            </w:tcBorders>
          </w:tcPr>
          <w:p w:rsidR="00E17AC1" w:rsidRPr="00DB6883" w:rsidRDefault="00E17AC1" w:rsidP="00947BB9">
            <w:pPr>
              <w:spacing w:before="40" w:after="40"/>
              <w:jc w:val="right"/>
              <w:rPr>
                <w:color w:val="000000"/>
                <w:sz w:val="18"/>
              </w:rPr>
            </w:pPr>
          </w:p>
        </w:tc>
        <w:tc>
          <w:tcPr>
            <w:tcW w:w="1198" w:type="dxa"/>
            <w:tcBorders>
              <w:top w:val="single" w:sz="4" w:space="0" w:color="auto"/>
              <w:left w:val="nil"/>
              <w:bottom w:val="nil"/>
              <w:right w:val="nil"/>
            </w:tcBorders>
          </w:tcPr>
          <w:p w:rsidR="00E17AC1" w:rsidRPr="00DB6883" w:rsidRDefault="00E17AC1" w:rsidP="00947BB9">
            <w:pPr>
              <w:spacing w:before="40" w:after="40"/>
              <w:jc w:val="right"/>
              <w:rPr>
                <w:color w:val="000000"/>
                <w:sz w:val="18"/>
              </w:rPr>
            </w:pPr>
            <w:r w:rsidRPr="00DB6883">
              <w:rPr>
                <w:color w:val="000000"/>
                <w:sz w:val="18"/>
              </w:rPr>
              <w:t>8 000</w:t>
            </w:r>
          </w:p>
        </w:tc>
        <w:tc>
          <w:tcPr>
            <w:tcW w:w="943" w:type="dxa"/>
            <w:tcBorders>
              <w:top w:val="single" w:sz="4" w:space="0" w:color="auto"/>
              <w:left w:val="nil"/>
              <w:bottom w:val="nil"/>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8 000</w:t>
            </w:r>
          </w:p>
        </w:tc>
        <w:tc>
          <w:tcPr>
            <w:tcW w:w="990" w:type="dxa"/>
            <w:tcBorders>
              <w:top w:val="single" w:sz="4" w:space="0" w:color="auto"/>
              <w:left w:val="nil"/>
              <w:bottom w:val="nil"/>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8 000</w:t>
            </w:r>
          </w:p>
        </w:tc>
        <w:tc>
          <w:tcPr>
            <w:tcW w:w="1032" w:type="dxa"/>
            <w:tcBorders>
              <w:top w:val="single" w:sz="4" w:space="0" w:color="auto"/>
              <w:left w:val="nil"/>
              <w:bottom w:val="nil"/>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8 000</w:t>
            </w:r>
          </w:p>
        </w:tc>
      </w:tr>
      <w:tr w:rsidR="00E17AC1" w:rsidRPr="00DB6883" w:rsidTr="006314FD">
        <w:trPr>
          <w:jc w:val="right"/>
        </w:trPr>
        <w:tc>
          <w:tcPr>
            <w:tcW w:w="1029" w:type="dxa"/>
            <w:tcBorders>
              <w:top w:val="nil"/>
              <w:left w:val="nil"/>
              <w:bottom w:val="nil"/>
              <w:right w:val="nil"/>
            </w:tcBorders>
          </w:tcPr>
          <w:p w:rsidR="00E17AC1" w:rsidRPr="00DB6883" w:rsidRDefault="00E17AC1" w:rsidP="00947BB9">
            <w:pPr>
              <w:spacing w:before="40" w:after="40"/>
              <w:jc w:val="right"/>
              <w:rPr>
                <w:color w:val="000000"/>
                <w:sz w:val="18"/>
              </w:rPr>
            </w:pPr>
            <w:r w:rsidRPr="00DB6883">
              <w:rPr>
                <w:color w:val="000000"/>
                <w:sz w:val="18"/>
              </w:rPr>
              <w:t>4203</w:t>
            </w:r>
          </w:p>
        </w:tc>
        <w:tc>
          <w:tcPr>
            <w:tcW w:w="3498" w:type="dxa"/>
            <w:tcBorders>
              <w:top w:val="nil"/>
              <w:left w:val="nil"/>
              <w:bottom w:val="nil"/>
              <w:right w:val="nil"/>
            </w:tcBorders>
            <w:shd w:val="clear" w:color="auto" w:fill="auto"/>
            <w:noWrap/>
            <w:hideMark/>
          </w:tcPr>
          <w:p w:rsidR="00E17AC1" w:rsidRPr="00DB6883" w:rsidRDefault="00E17AC1" w:rsidP="00947BB9">
            <w:pPr>
              <w:spacing w:before="40" w:after="40"/>
              <w:rPr>
                <w:color w:val="000000"/>
                <w:sz w:val="18"/>
              </w:rPr>
            </w:pPr>
            <w:r w:rsidRPr="00DB6883">
              <w:rPr>
                <w:color w:val="000000"/>
                <w:sz w:val="18"/>
              </w:rPr>
              <w:t>Other office equipment</w:t>
            </w:r>
          </w:p>
        </w:tc>
        <w:tc>
          <w:tcPr>
            <w:tcW w:w="694" w:type="dxa"/>
            <w:tcBorders>
              <w:top w:val="nil"/>
              <w:left w:val="nil"/>
              <w:bottom w:val="nil"/>
              <w:right w:val="nil"/>
            </w:tcBorders>
          </w:tcPr>
          <w:p w:rsidR="00E17AC1" w:rsidRPr="00DB6883" w:rsidRDefault="00E17AC1" w:rsidP="00947BB9">
            <w:pPr>
              <w:spacing w:before="40" w:after="40"/>
              <w:jc w:val="right"/>
              <w:rPr>
                <w:color w:val="000000"/>
                <w:sz w:val="18"/>
              </w:rPr>
            </w:pPr>
          </w:p>
        </w:tc>
        <w:tc>
          <w:tcPr>
            <w:tcW w:w="1198" w:type="dxa"/>
            <w:tcBorders>
              <w:top w:val="nil"/>
              <w:left w:val="nil"/>
              <w:bottom w:val="nil"/>
              <w:right w:val="nil"/>
            </w:tcBorders>
          </w:tcPr>
          <w:p w:rsidR="00E17AC1" w:rsidRPr="00DB6883" w:rsidRDefault="00E17AC1" w:rsidP="00947BB9">
            <w:pPr>
              <w:spacing w:before="40" w:after="40"/>
              <w:jc w:val="right"/>
              <w:rPr>
                <w:color w:val="000000"/>
                <w:sz w:val="18"/>
              </w:rPr>
            </w:pPr>
            <w:r w:rsidRPr="00DB6883">
              <w:rPr>
                <w:color w:val="000000"/>
                <w:sz w:val="18"/>
              </w:rPr>
              <w:t>5 000</w:t>
            </w:r>
          </w:p>
        </w:tc>
        <w:tc>
          <w:tcPr>
            <w:tcW w:w="943" w:type="dxa"/>
            <w:tcBorders>
              <w:top w:val="nil"/>
              <w:left w:val="nil"/>
              <w:bottom w:val="nil"/>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5 000</w:t>
            </w:r>
          </w:p>
        </w:tc>
        <w:tc>
          <w:tcPr>
            <w:tcW w:w="990" w:type="dxa"/>
            <w:tcBorders>
              <w:top w:val="nil"/>
              <w:left w:val="nil"/>
              <w:bottom w:val="nil"/>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5 000</w:t>
            </w:r>
          </w:p>
        </w:tc>
        <w:tc>
          <w:tcPr>
            <w:tcW w:w="1032" w:type="dxa"/>
            <w:tcBorders>
              <w:top w:val="nil"/>
              <w:left w:val="nil"/>
              <w:bottom w:val="nil"/>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5 000</w:t>
            </w:r>
          </w:p>
        </w:tc>
      </w:tr>
      <w:tr w:rsidR="00E17AC1" w:rsidRPr="00DB6883" w:rsidTr="006314FD">
        <w:trPr>
          <w:jc w:val="right"/>
        </w:trPr>
        <w:tc>
          <w:tcPr>
            <w:tcW w:w="1029" w:type="dxa"/>
            <w:tcBorders>
              <w:top w:val="nil"/>
              <w:left w:val="nil"/>
              <w:bottom w:val="nil"/>
              <w:right w:val="nil"/>
            </w:tcBorders>
          </w:tcPr>
          <w:p w:rsidR="00E17AC1" w:rsidRPr="00DB6883" w:rsidRDefault="00E17AC1" w:rsidP="00947BB9">
            <w:pPr>
              <w:spacing w:before="40" w:after="40"/>
              <w:jc w:val="right"/>
              <w:rPr>
                <w:color w:val="000000"/>
                <w:sz w:val="18"/>
              </w:rPr>
            </w:pPr>
            <w:r w:rsidRPr="00DB6883">
              <w:rPr>
                <w:color w:val="000000"/>
                <w:sz w:val="18"/>
              </w:rPr>
              <w:t>4205</w:t>
            </w:r>
          </w:p>
        </w:tc>
        <w:tc>
          <w:tcPr>
            <w:tcW w:w="3498" w:type="dxa"/>
            <w:tcBorders>
              <w:top w:val="nil"/>
              <w:left w:val="nil"/>
              <w:bottom w:val="nil"/>
              <w:right w:val="nil"/>
            </w:tcBorders>
            <w:shd w:val="clear" w:color="auto" w:fill="auto"/>
            <w:noWrap/>
          </w:tcPr>
          <w:p w:rsidR="00E17AC1" w:rsidRPr="00DB6883" w:rsidRDefault="00E17AC1" w:rsidP="00947BB9">
            <w:pPr>
              <w:spacing w:before="40" w:after="40"/>
              <w:rPr>
                <w:color w:val="000000"/>
                <w:sz w:val="18"/>
              </w:rPr>
            </w:pPr>
            <w:r w:rsidRPr="00DB6883">
              <w:rPr>
                <w:color w:val="000000"/>
                <w:sz w:val="18"/>
              </w:rPr>
              <w:t>Equipment and peripherals for paperless conferences</w:t>
            </w:r>
          </w:p>
        </w:tc>
        <w:tc>
          <w:tcPr>
            <w:tcW w:w="694" w:type="dxa"/>
            <w:tcBorders>
              <w:top w:val="nil"/>
              <w:left w:val="nil"/>
              <w:bottom w:val="nil"/>
              <w:right w:val="nil"/>
            </w:tcBorders>
          </w:tcPr>
          <w:p w:rsidR="00E17AC1" w:rsidRPr="00DB6883" w:rsidRDefault="00E17AC1" w:rsidP="00947BB9">
            <w:pPr>
              <w:spacing w:before="40" w:after="40"/>
              <w:jc w:val="right"/>
              <w:rPr>
                <w:color w:val="000000"/>
                <w:sz w:val="18"/>
              </w:rPr>
            </w:pPr>
          </w:p>
        </w:tc>
        <w:tc>
          <w:tcPr>
            <w:tcW w:w="1198" w:type="dxa"/>
            <w:tcBorders>
              <w:top w:val="nil"/>
              <w:left w:val="nil"/>
              <w:bottom w:val="nil"/>
              <w:right w:val="nil"/>
            </w:tcBorders>
          </w:tcPr>
          <w:p w:rsidR="00E17AC1" w:rsidRPr="00DB6883" w:rsidRDefault="00E17AC1" w:rsidP="00947BB9">
            <w:pPr>
              <w:spacing w:before="40" w:after="40"/>
              <w:jc w:val="right"/>
              <w:rPr>
                <w:color w:val="000000"/>
                <w:sz w:val="18"/>
              </w:rPr>
            </w:pPr>
            <w:r w:rsidRPr="00DB6883">
              <w:rPr>
                <w:color w:val="000000"/>
                <w:sz w:val="18"/>
              </w:rPr>
              <w:t>5 000</w:t>
            </w:r>
          </w:p>
        </w:tc>
        <w:tc>
          <w:tcPr>
            <w:tcW w:w="943" w:type="dxa"/>
            <w:tcBorders>
              <w:top w:val="nil"/>
              <w:left w:val="nil"/>
              <w:bottom w:val="nil"/>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5 000</w:t>
            </w:r>
          </w:p>
        </w:tc>
        <w:tc>
          <w:tcPr>
            <w:tcW w:w="990" w:type="dxa"/>
            <w:tcBorders>
              <w:top w:val="nil"/>
              <w:left w:val="nil"/>
              <w:bottom w:val="nil"/>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5 000</w:t>
            </w:r>
          </w:p>
        </w:tc>
        <w:tc>
          <w:tcPr>
            <w:tcW w:w="1032" w:type="dxa"/>
            <w:tcBorders>
              <w:top w:val="nil"/>
              <w:left w:val="nil"/>
              <w:bottom w:val="nil"/>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5 000</w:t>
            </w:r>
          </w:p>
        </w:tc>
      </w:tr>
      <w:tr w:rsidR="00E17AC1" w:rsidRPr="00DB6883" w:rsidTr="006314FD">
        <w:trPr>
          <w:jc w:val="right"/>
        </w:trPr>
        <w:tc>
          <w:tcPr>
            <w:tcW w:w="1029" w:type="dxa"/>
            <w:tcBorders>
              <w:top w:val="nil"/>
              <w:left w:val="nil"/>
              <w:bottom w:val="nil"/>
              <w:right w:val="nil"/>
            </w:tcBorders>
          </w:tcPr>
          <w:p w:rsidR="00E17AC1" w:rsidRPr="00DB6883" w:rsidRDefault="00E17AC1" w:rsidP="00947BB9">
            <w:pPr>
              <w:spacing w:before="40" w:after="40"/>
              <w:jc w:val="right"/>
              <w:rPr>
                <w:color w:val="000000"/>
                <w:sz w:val="18"/>
              </w:rPr>
            </w:pPr>
            <w:r w:rsidRPr="00DB6883">
              <w:rPr>
                <w:color w:val="000000"/>
                <w:sz w:val="18"/>
              </w:rPr>
              <w:t>4300</w:t>
            </w:r>
          </w:p>
        </w:tc>
        <w:tc>
          <w:tcPr>
            <w:tcW w:w="3498" w:type="dxa"/>
            <w:tcBorders>
              <w:top w:val="nil"/>
              <w:left w:val="nil"/>
              <w:bottom w:val="nil"/>
              <w:right w:val="nil"/>
            </w:tcBorders>
            <w:shd w:val="clear" w:color="auto" w:fill="auto"/>
            <w:noWrap/>
            <w:hideMark/>
          </w:tcPr>
          <w:p w:rsidR="00E17AC1" w:rsidRPr="00DB6883" w:rsidRDefault="00E17AC1" w:rsidP="00947BB9">
            <w:pPr>
              <w:spacing w:before="40" w:after="40"/>
              <w:rPr>
                <w:color w:val="000000"/>
                <w:sz w:val="18"/>
              </w:rPr>
            </w:pPr>
            <w:r w:rsidRPr="00DB6883">
              <w:rPr>
                <w:color w:val="000000"/>
                <w:sz w:val="18"/>
              </w:rPr>
              <w:t>Rental of premises</w:t>
            </w:r>
          </w:p>
        </w:tc>
        <w:tc>
          <w:tcPr>
            <w:tcW w:w="694" w:type="dxa"/>
            <w:tcBorders>
              <w:top w:val="nil"/>
              <w:left w:val="nil"/>
              <w:bottom w:val="nil"/>
              <w:right w:val="nil"/>
            </w:tcBorders>
          </w:tcPr>
          <w:p w:rsidR="00E17AC1" w:rsidRPr="00DB6883" w:rsidRDefault="00E17AC1" w:rsidP="00947BB9">
            <w:pPr>
              <w:spacing w:before="40" w:after="40"/>
              <w:jc w:val="right"/>
              <w:rPr>
                <w:color w:val="000000"/>
                <w:sz w:val="18"/>
              </w:rPr>
            </w:pPr>
          </w:p>
        </w:tc>
        <w:tc>
          <w:tcPr>
            <w:tcW w:w="1198" w:type="dxa"/>
            <w:tcBorders>
              <w:top w:val="nil"/>
              <w:left w:val="nil"/>
              <w:bottom w:val="nil"/>
              <w:right w:val="nil"/>
            </w:tcBorders>
          </w:tcPr>
          <w:p w:rsidR="00E17AC1" w:rsidRPr="00DB6883" w:rsidRDefault="00E17AC1" w:rsidP="00947BB9">
            <w:pPr>
              <w:spacing w:before="40" w:after="40"/>
              <w:jc w:val="right"/>
              <w:rPr>
                <w:color w:val="000000"/>
                <w:sz w:val="18"/>
              </w:rPr>
            </w:pPr>
            <w:r w:rsidRPr="00DB6883">
              <w:rPr>
                <w:color w:val="000000"/>
                <w:sz w:val="18"/>
              </w:rPr>
              <w:t>17 500</w:t>
            </w:r>
          </w:p>
        </w:tc>
        <w:tc>
          <w:tcPr>
            <w:tcW w:w="943" w:type="dxa"/>
            <w:tcBorders>
              <w:top w:val="nil"/>
              <w:left w:val="nil"/>
              <w:bottom w:val="nil"/>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17 500</w:t>
            </w:r>
          </w:p>
        </w:tc>
        <w:tc>
          <w:tcPr>
            <w:tcW w:w="990" w:type="dxa"/>
            <w:tcBorders>
              <w:top w:val="nil"/>
              <w:left w:val="nil"/>
              <w:bottom w:val="nil"/>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17 500</w:t>
            </w:r>
          </w:p>
        </w:tc>
        <w:tc>
          <w:tcPr>
            <w:tcW w:w="1032" w:type="dxa"/>
            <w:tcBorders>
              <w:top w:val="nil"/>
              <w:left w:val="nil"/>
              <w:bottom w:val="nil"/>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17 500</w:t>
            </w:r>
          </w:p>
        </w:tc>
      </w:tr>
      <w:tr w:rsidR="00E17AC1" w:rsidRPr="00DB6883" w:rsidTr="006314FD">
        <w:trPr>
          <w:jc w:val="right"/>
        </w:trPr>
        <w:tc>
          <w:tcPr>
            <w:tcW w:w="1029" w:type="dxa"/>
            <w:tcBorders>
              <w:top w:val="nil"/>
              <w:left w:val="nil"/>
              <w:bottom w:val="nil"/>
              <w:right w:val="nil"/>
            </w:tcBorders>
          </w:tcPr>
          <w:p w:rsidR="00E17AC1" w:rsidRPr="00DB6883" w:rsidRDefault="00E17AC1" w:rsidP="00947BB9">
            <w:pPr>
              <w:spacing w:before="40" w:after="40"/>
              <w:jc w:val="right"/>
              <w:rPr>
                <w:color w:val="000000"/>
                <w:sz w:val="18"/>
              </w:rPr>
            </w:pPr>
            <w:r w:rsidRPr="00DB6883">
              <w:rPr>
                <w:color w:val="000000"/>
                <w:sz w:val="18"/>
              </w:rPr>
              <w:t>5100</w:t>
            </w:r>
          </w:p>
        </w:tc>
        <w:tc>
          <w:tcPr>
            <w:tcW w:w="3498" w:type="dxa"/>
            <w:tcBorders>
              <w:top w:val="nil"/>
              <w:left w:val="nil"/>
              <w:bottom w:val="nil"/>
              <w:right w:val="nil"/>
            </w:tcBorders>
            <w:shd w:val="clear" w:color="auto" w:fill="auto"/>
            <w:noWrap/>
            <w:hideMark/>
          </w:tcPr>
          <w:p w:rsidR="00E17AC1" w:rsidRPr="00DB6883" w:rsidRDefault="00E17AC1" w:rsidP="00947BB9">
            <w:pPr>
              <w:spacing w:before="40" w:after="40"/>
              <w:rPr>
                <w:color w:val="000000"/>
                <w:sz w:val="18"/>
              </w:rPr>
            </w:pPr>
            <w:r w:rsidRPr="00DB6883">
              <w:rPr>
                <w:color w:val="000000"/>
                <w:sz w:val="18"/>
              </w:rPr>
              <w:t>Operation and maintenance of equipment</w:t>
            </w:r>
          </w:p>
        </w:tc>
        <w:tc>
          <w:tcPr>
            <w:tcW w:w="694" w:type="dxa"/>
            <w:tcBorders>
              <w:top w:val="nil"/>
              <w:left w:val="nil"/>
              <w:bottom w:val="nil"/>
              <w:right w:val="nil"/>
            </w:tcBorders>
          </w:tcPr>
          <w:p w:rsidR="00E17AC1" w:rsidRPr="00DB6883" w:rsidRDefault="00E17AC1" w:rsidP="00947BB9">
            <w:pPr>
              <w:spacing w:before="40" w:after="40"/>
              <w:jc w:val="right"/>
              <w:rPr>
                <w:color w:val="000000"/>
                <w:sz w:val="18"/>
              </w:rPr>
            </w:pPr>
          </w:p>
        </w:tc>
        <w:tc>
          <w:tcPr>
            <w:tcW w:w="1198" w:type="dxa"/>
            <w:tcBorders>
              <w:top w:val="nil"/>
              <w:left w:val="nil"/>
              <w:bottom w:val="nil"/>
              <w:right w:val="nil"/>
            </w:tcBorders>
          </w:tcPr>
          <w:p w:rsidR="00E17AC1" w:rsidRPr="00DB6883" w:rsidRDefault="00E17AC1" w:rsidP="00947BB9">
            <w:pPr>
              <w:spacing w:before="40" w:after="40"/>
              <w:jc w:val="right"/>
              <w:rPr>
                <w:color w:val="000000"/>
                <w:sz w:val="18"/>
              </w:rPr>
            </w:pPr>
            <w:r w:rsidRPr="00DB6883">
              <w:rPr>
                <w:color w:val="000000"/>
                <w:sz w:val="18"/>
              </w:rPr>
              <w:t>7 500</w:t>
            </w:r>
          </w:p>
        </w:tc>
        <w:tc>
          <w:tcPr>
            <w:tcW w:w="943" w:type="dxa"/>
            <w:tcBorders>
              <w:top w:val="nil"/>
              <w:left w:val="nil"/>
              <w:bottom w:val="nil"/>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7 500</w:t>
            </w:r>
          </w:p>
        </w:tc>
        <w:tc>
          <w:tcPr>
            <w:tcW w:w="990" w:type="dxa"/>
            <w:tcBorders>
              <w:top w:val="nil"/>
              <w:left w:val="nil"/>
              <w:bottom w:val="nil"/>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7 500</w:t>
            </w:r>
          </w:p>
        </w:tc>
        <w:tc>
          <w:tcPr>
            <w:tcW w:w="1032" w:type="dxa"/>
            <w:tcBorders>
              <w:top w:val="nil"/>
              <w:left w:val="nil"/>
              <w:bottom w:val="nil"/>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7 500</w:t>
            </w:r>
          </w:p>
        </w:tc>
      </w:tr>
      <w:tr w:rsidR="00E17AC1" w:rsidRPr="00DB6883" w:rsidTr="006314FD">
        <w:trPr>
          <w:jc w:val="right"/>
        </w:trPr>
        <w:tc>
          <w:tcPr>
            <w:tcW w:w="1029" w:type="dxa"/>
            <w:tcBorders>
              <w:top w:val="nil"/>
              <w:left w:val="nil"/>
              <w:bottom w:val="nil"/>
              <w:right w:val="nil"/>
            </w:tcBorders>
          </w:tcPr>
          <w:p w:rsidR="00E17AC1" w:rsidRPr="00DB6883" w:rsidRDefault="00E17AC1" w:rsidP="00947BB9">
            <w:pPr>
              <w:spacing w:before="40" w:after="40"/>
              <w:jc w:val="right"/>
              <w:rPr>
                <w:color w:val="000000"/>
                <w:sz w:val="18"/>
              </w:rPr>
            </w:pPr>
            <w:r w:rsidRPr="00DB6883">
              <w:rPr>
                <w:color w:val="000000"/>
                <w:sz w:val="18"/>
              </w:rPr>
              <w:t>5200</w:t>
            </w:r>
          </w:p>
        </w:tc>
        <w:tc>
          <w:tcPr>
            <w:tcW w:w="3498" w:type="dxa"/>
            <w:tcBorders>
              <w:top w:val="nil"/>
              <w:left w:val="nil"/>
              <w:bottom w:val="nil"/>
              <w:right w:val="nil"/>
            </w:tcBorders>
            <w:shd w:val="clear" w:color="auto" w:fill="auto"/>
            <w:noWrap/>
            <w:hideMark/>
          </w:tcPr>
          <w:p w:rsidR="00E17AC1" w:rsidRPr="00DB6883" w:rsidRDefault="00E17AC1" w:rsidP="00947BB9">
            <w:pPr>
              <w:spacing w:before="40" w:after="40"/>
              <w:rPr>
                <w:color w:val="000000"/>
                <w:sz w:val="18"/>
              </w:rPr>
            </w:pPr>
            <w:r w:rsidRPr="00DB6883">
              <w:rPr>
                <w:color w:val="000000"/>
                <w:sz w:val="18"/>
              </w:rPr>
              <w:t>Reporting costs</w:t>
            </w:r>
          </w:p>
        </w:tc>
        <w:tc>
          <w:tcPr>
            <w:tcW w:w="694" w:type="dxa"/>
            <w:tcBorders>
              <w:top w:val="nil"/>
              <w:left w:val="nil"/>
              <w:bottom w:val="nil"/>
              <w:right w:val="nil"/>
            </w:tcBorders>
          </w:tcPr>
          <w:p w:rsidR="00E17AC1" w:rsidRPr="00DB6883" w:rsidRDefault="00E17AC1" w:rsidP="00947BB9">
            <w:pPr>
              <w:spacing w:before="40" w:after="40"/>
              <w:jc w:val="right"/>
              <w:rPr>
                <w:color w:val="000000"/>
                <w:sz w:val="18"/>
              </w:rPr>
            </w:pPr>
          </w:p>
        </w:tc>
        <w:tc>
          <w:tcPr>
            <w:tcW w:w="1198" w:type="dxa"/>
            <w:tcBorders>
              <w:top w:val="nil"/>
              <w:left w:val="nil"/>
              <w:bottom w:val="nil"/>
              <w:right w:val="nil"/>
            </w:tcBorders>
          </w:tcPr>
          <w:p w:rsidR="00E17AC1" w:rsidRPr="00DB6883" w:rsidRDefault="00E17AC1" w:rsidP="00947BB9">
            <w:pPr>
              <w:spacing w:before="40" w:after="40"/>
              <w:jc w:val="right"/>
              <w:rPr>
                <w:color w:val="000000"/>
                <w:sz w:val="18"/>
              </w:rPr>
            </w:pPr>
            <w:r w:rsidRPr="00DB6883">
              <w:rPr>
                <w:color w:val="000000"/>
                <w:sz w:val="18"/>
              </w:rPr>
              <w:t>7 500</w:t>
            </w:r>
          </w:p>
        </w:tc>
        <w:tc>
          <w:tcPr>
            <w:tcW w:w="943" w:type="dxa"/>
            <w:tcBorders>
              <w:top w:val="nil"/>
              <w:left w:val="nil"/>
              <w:bottom w:val="nil"/>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7 500</w:t>
            </w:r>
          </w:p>
        </w:tc>
        <w:tc>
          <w:tcPr>
            <w:tcW w:w="990" w:type="dxa"/>
            <w:tcBorders>
              <w:top w:val="nil"/>
              <w:left w:val="nil"/>
              <w:bottom w:val="nil"/>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7 500</w:t>
            </w:r>
          </w:p>
        </w:tc>
        <w:tc>
          <w:tcPr>
            <w:tcW w:w="1032" w:type="dxa"/>
            <w:tcBorders>
              <w:top w:val="nil"/>
              <w:left w:val="nil"/>
              <w:bottom w:val="nil"/>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7 500</w:t>
            </w:r>
          </w:p>
        </w:tc>
      </w:tr>
      <w:tr w:rsidR="00E17AC1" w:rsidRPr="00DB6883" w:rsidTr="006314FD">
        <w:trPr>
          <w:jc w:val="right"/>
        </w:trPr>
        <w:tc>
          <w:tcPr>
            <w:tcW w:w="1029" w:type="dxa"/>
            <w:tcBorders>
              <w:top w:val="nil"/>
              <w:left w:val="nil"/>
              <w:right w:val="nil"/>
            </w:tcBorders>
          </w:tcPr>
          <w:p w:rsidR="00E17AC1" w:rsidRPr="00DB6883" w:rsidRDefault="00E17AC1" w:rsidP="00947BB9">
            <w:pPr>
              <w:spacing w:before="40" w:after="40"/>
              <w:jc w:val="right"/>
              <w:rPr>
                <w:color w:val="000000"/>
                <w:sz w:val="18"/>
              </w:rPr>
            </w:pPr>
            <w:r w:rsidRPr="00DB6883">
              <w:rPr>
                <w:color w:val="000000"/>
                <w:sz w:val="18"/>
              </w:rPr>
              <w:t>5202</w:t>
            </w:r>
          </w:p>
        </w:tc>
        <w:tc>
          <w:tcPr>
            <w:tcW w:w="3498" w:type="dxa"/>
            <w:tcBorders>
              <w:top w:val="nil"/>
              <w:left w:val="nil"/>
              <w:right w:val="nil"/>
            </w:tcBorders>
            <w:shd w:val="clear" w:color="auto" w:fill="auto"/>
            <w:noWrap/>
          </w:tcPr>
          <w:p w:rsidR="00E17AC1" w:rsidRPr="00DB6883" w:rsidRDefault="00E17AC1" w:rsidP="00947BB9">
            <w:pPr>
              <w:spacing w:before="40" w:after="40"/>
              <w:rPr>
                <w:color w:val="000000"/>
                <w:sz w:val="18"/>
              </w:rPr>
            </w:pPr>
            <w:r w:rsidRPr="00DB6883">
              <w:rPr>
                <w:color w:val="000000"/>
                <w:sz w:val="18"/>
              </w:rPr>
              <w:t>Reporting costs (Ozone Research Managers)</w:t>
            </w:r>
          </w:p>
        </w:tc>
        <w:tc>
          <w:tcPr>
            <w:tcW w:w="694" w:type="dxa"/>
            <w:tcBorders>
              <w:top w:val="nil"/>
              <w:left w:val="nil"/>
              <w:right w:val="nil"/>
            </w:tcBorders>
          </w:tcPr>
          <w:p w:rsidR="00E17AC1" w:rsidRPr="00DB6883" w:rsidRDefault="00E17AC1" w:rsidP="00947BB9">
            <w:pPr>
              <w:spacing w:before="40" w:after="40"/>
              <w:jc w:val="right"/>
              <w:rPr>
                <w:color w:val="000000"/>
                <w:sz w:val="18"/>
              </w:rPr>
            </w:pPr>
          </w:p>
        </w:tc>
        <w:tc>
          <w:tcPr>
            <w:tcW w:w="1198" w:type="dxa"/>
            <w:tcBorders>
              <w:top w:val="nil"/>
              <w:left w:val="nil"/>
              <w:right w:val="nil"/>
            </w:tcBorders>
          </w:tcPr>
          <w:p w:rsidR="00E17AC1" w:rsidRPr="00DB6883" w:rsidRDefault="00E17AC1" w:rsidP="00947BB9">
            <w:pPr>
              <w:spacing w:before="40" w:after="40"/>
              <w:jc w:val="right"/>
              <w:rPr>
                <w:color w:val="000000"/>
                <w:sz w:val="18"/>
              </w:rPr>
            </w:pPr>
            <w:r w:rsidRPr="00DB6883">
              <w:rPr>
                <w:color w:val="000000"/>
                <w:sz w:val="18"/>
              </w:rPr>
              <w:t>5 000</w:t>
            </w:r>
          </w:p>
        </w:tc>
        <w:tc>
          <w:tcPr>
            <w:tcW w:w="943" w:type="dxa"/>
            <w:tcBorders>
              <w:top w:val="nil"/>
              <w:left w:val="nil"/>
              <w:right w:val="nil"/>
            </w:tcBorders>
            <w:shd w:val="clear" w:color="auto" w:fill="auto"/>
            <w:noWrap/>
          </w:tcPr>
          <w:p w:rsidR="00E17AC1" w:rsidRPr="00DF6D5C" w:rsidRDefault="00E17AC1" w:rsidP="00947BB9">
            <w:pPr>
              <w:jc w:val="right"/>
            </w:pPr>
            <w:r w:rsidRPr="00DF6D5C">
              <w:rPr>
                <w:color w:val="000000"/>
                <w:sz w:val="18"/>
              </w:rPr>
              <w:sym w:font="Symbol" w:char="F02D"/>
            </w:r>
          </w:p>
        </w:tc>
        <w:tc>
          <w:tcPr>
            <w:tcW w:w="990" w:type="dxa"/>
            <w:tcBorders>
              <w:top w:val="nil"/>
              <w:left w:val="nil"/>
              <w:right w:val="nil"/>
            </w:tcBorders>
            <w:shd w:val="clear" w:color="auto" w:fill="auto"/>
            <w:noWrap/>
          </w:tcPr>
          <w:p w:rsidR="00E17AC1" w:rsidRPr="00DF6D5C" w:rsidRDefault="00E17AC1" w:rsidP="00947BB9">
            <w:pPr>
              <w:jc w:val="right"/>
            </w:pPr>
            <w:r w:rsidRPr="00DF6D5C">
              <w:rPr>
                <w:color w:val="000000"/>
                <w:sz w:val="18"/>
              </w:rPr>
              <w:sym w:font="Symbol" w:char="F02D"/>
            </w:r>
          </w:p>
        </w:tc>
        <w:tc>
          <w:tcPr>
            <w:tcW w:w="1032" w:type="dxa"/>
            <w:tcBorders>
              <w:top w:val="nil"/>
              <w:left w:val="nil"/>
              <w:right w:val="nil"/>
            </w:tcBorders>
            <w:shd w:val="clear" w:color="auto" w:fill="auto"/>
            <w:noWrap/>
          </w:tcPr>
          <w:p w:rsidR="00E17AC1" w:rsidRPr="00E861A7" w:rsidRDefault="00E17AC1" w:rsidP="00947BB9">
            <w:pPr>
              <w:spacing w:before="40" w:after="40"/>
              <w:jc w:val="right"/>
              <w:rPr>
                <w:color w:val="000000"/>
                <w:sz w:val="18"/>
              </w:rPr>
            </w:pPr>
            <w:r w:rsidRPr="00E861A7">
              <w:rPr>
                <w:color w:val="000000"/>
                <w:sz w:val="18"/>
              </w:rPr>
              <w:t>5 000</w:t>
            </w:r>
          </w:p>
        </w:tc>
      </w:tr>
      <w:tr w:rsidR="00E17AC1" w:rsidRPr="00DB6883" w:rsidTr="006314FD">
        <w:trPr>
          <w:jc w:val="right"/>
        </w:trPr>
        <w:tc>
          <w:tcPr>
            <w:tcW w:w="1029" w:type="dxa"/>
            <w:tcBorders>
              <w:top w:val="nil"/>
              <w:left w:val="nil"/>
              <w:bottom w:val="single" w:sz="8" w:space="0" w:color="auto"/>
              <w:right w:val="nil"/>
            </w:tcBorders>
          </w:tcPr>
          <w:p w:rsidR="00E17AC1" w:rsidRPr="00DB6883" w:rsidRDefault="00E17AC1" w:rsidP="00947BB9">
            <w:pPr>
              <w:spacing w:before="40" w:after="40"/>
              <w:jc w:val="right"/>
              <w:rPr>
                <w:color w:val="000000"/>
                <w:sz w:val="18"/>
              </w:rPr>
            </w:pPr>
            <w:r w:rsidRPr="00DB6883">
              <w:rPr>
                <w:color w:val="000000"/>
                <w:sz w:val="18"/>
              </w:rPr>
              <w:t>5300</w:t>
            </w:r>
          </w:p>
        </w:tc>
        <w:tc>
          <w:tcPr>
            <w:tcW w:w="3498" w:type="dxa"/>
            <w:tcBorders>
              <w:top w:val="nil"/>
              <w:left w:val="nil"/>
              <w:bottom w:val="single" w:sz="8" w:space="0" w:color="auto"/>
              <w:right w:val="nil"/>
            </w:tcBorders>
            <w:shd w:val="clear" w:color="auto" w:fill="auto"/>
            <w:noWrap/>
            <w:hideMark/>
          </w:tcPr>
          <w:p w:rsidR="00E17AC1" w:rsidRPr="00DB6883" w:rsidRDefault="00E17AC1" w:rsidP="00947BB9">
            <w:pPr>
              <w:spacing w:before="40" w:after="40"/>
              <w:rPr>
                <w:color w:val="000000"/>
                <w:sz w:val="18"/>
              </w:rPr>
            </w:pPr>
            <w:r w:rsidRPr="00DB6883">
              <w:rPr>
                <w:color w:val="000000"/>
                <w:sz w:val="18"/>
              </w:rPr>
              <w:t>Sundry</w:t>
            </w:r>
          </w:p>
        </w:tc>
        <w:tc>
          <w:tcPr>
            <w:tcW w:w="694" w:type="dxa"/>
            <w:tcBorders>
              <w:top w:val="nil"/>
              <w:left w:val="nil"/>
              <w:bottom w:val="single" w:sz="8" w:space="0" w:color="auto"/>
              <w:right w:val="nil"/>
            </w:tcBorders>
          </w:tcPr>
          <w:p w:rsidR="00E17AC1" w:rsidRPr="00DB6883" w:rsidRDefault="00E17AC1" w:rsidP="00947BB9">
            <w:pPr>
              <w:spacing w:before="40" w:after="40"/>
              <w:jc w:val="right"/>
              <w:rPr>
                <w:color w:val="000000"/>
                <w:sz w:val="18"/>
              </w:rPr>
            </w:pPr>
          </w:p>
        </w:tc>
        <w:tc>
          <w:tcPr>
            <w:tcW w:w="1198" w:type="dxa"/>
            <w:tcBorders>
              <w:top w:val="nil"/>
              <w:left w:val="nil"/>
              <w:bottom w:val="single" w:sz="8" w:space="0" w:color="auto"/>
              <w:right w:val="nil"/>
            </w:tcBorders>
          </w:tcPr>
          <w:p w:rsidR="00E17AC1" w:rsidRPr="00DB6883" w:rsidRDefault="00E17AC1" w:rsidP="00947BB9">
            <w:pPr>
              <w:spacing w:before="40" w:after="40"/>
              <w:jc w:val="right"/>
              <w:rPr>
                <w:color w:val="000000"/>
                <w:sz w:val="18"/>
              </w:rPr>
            </w:pPr>
            <w:r w:rsidRPr="00DB6883">
              <w:rPr>
                <w:color w:val="000000"/>
                <w:sz w:val="18"/>
              </w:rPr>
              <w:t>40 000</w:t>
            </w:r>
          </w:p>
        </w:tc>
        <w:tc>
          <w:tcPr>
            <w:tcW w:w="943" w:type="dxa"/>
            <w:tcBorders>
              <w:top w:val="nil"/>
              <w:left w:val="nil"/>
              <w:bottom w:val="single" w:sz="8" w:space="0" w:color="auto"/>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40 000</w:t>
            </w:r>
          </w:p>
        </w:tc>
        <w:tc>
          <w:tcPr>
            <w:tcW w:w="990" w:type="dxa"/>
            <w:tcBorders>
              <w:top w:val="nil"/>
              <w:left w:val="nil"/>
              <w:bottom w:val="single" w:sz="8" w:space="0" w:color="auto"/>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40 000</w:t>
            </w:r>
          </w:p>
        </w:tc>
        <w:tc>
          <w:tcPr>
            <w:tcW w:w="1032" w:type="dxa"/>
            <w:tcBorders>
              <w:top w:val="nil"/>
              <w:left w:val="nil"/>
              <w:bottom w:val="single" w:sz="8" w:space="0" w:color="auto"/>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40 000</w:t>
            </w:r>
          </w:p>
        </w:tc>
      </w:tr>
      <w:tr w:rsidR="00E17AC1" w:rsidRPr="00DB6883" w:rsidTr="006314FD">
        <w:trPr>
          <w:jc w:val="right"/>
        </w:trPr>
        <w:tc>
          <w:tcPr>
            <w:tcW w:w="4527" w:type="dxa"/>
            <w:gridSpan w:val="2"/>
            <w:tcBorders>
              <w:top w:val="single" w:sz="8" w:space="0" w:color="auto"/>
              <w:left w:val="nil"/>
              <w:bottom w:val="single" w:sz="8" w:space="0" w:color="auto"/>
              <w:right w:val="nil"/>
            </w:tcBorders>
          </w:tcPr>
          <w:p w:rsidR="00E17AC1" w:rsidRPr="00DB6883" w:rsidRDefault="00E17AC1" w:rsidP="00947BB9">
            <w:pPr>
              <w:spacing w:before="40" w:after="40"/>
              <w:ind w:left="1077"/>
              <w:rPr>
                <w:b/>
                <w:color w:val="000000"/>
                <w:sz w:val="18"/>
              </w:rPr>
            </w:pPr>
            <w:r w:rsidRPr="00DB6883">
              <w:rPr>
                <w:b/>
                <w:color w:val="000000"/>
                <w:sz w:val="18"/>
              </w:rPr>
              <w:t>Subtotal, other operating costs: supplies and consumables</w:t>
            </w:r>
          </w:p>
        </w:tc>
        <w:tc>
          <w:tcPr>
            <w:tcW w:w="694" w:type="dxa"/>
            <w:tcBorders>
              <w:top w:val="single" w:sz="8" w:space="0" w:color="auto"/>
              <w:left w:val="nil"/>
              <w:bottom w:val="single" w:sz="8" w:space="0" w:color="auto"/>
              <w:right w:val="nil"/>
            </w:tcBorders>
          </w:tcPr>
          <w:p w:rsidR="00E17AC1" w:rsidRPr="00DB6883" w:rsidRDefault="00E17AC1" w:rsidP="00947BB9">
            <w:pPr>
              <w:spacing w:before="40" w:after="40"/>
              <w:jc w:val="right"/>
              <w:rPr>
                <w:b/>
                <w:color w:val="000000"/>
                <w:sz w:val="18"/>
              </w:rPr>
            </w:pPr>
          </w:p>
        </w:tc>
        <w:tc>
          <w:tcPr>
            <w:tcW w:w="1198" w:type="dxa"/>
            <w:tcBorders>
              <w:top w:val="single" w:sz="8" w:space="0" w:color="auto"/>
              <w:left w:val="nil"/>
              <w:bottom w:val="single" w:sz="8" w:space="0" w:color="auto"/>
              <w:right w:val="nil"/>
            </w:tcBorders>
          </w:tcPr>
          <w:p w:rsidR="00E17AC1" w:rsidRPr="00DB6883" w:rsidRDefault="00E17AC1" w:rsidP="00947BB9">
            <w:pPr>
              <w:spacing w:before="40" w:after="40"/>
              <w:jc w:val="right"/>
              <w:rPr>
                <w:b/>
                <w:color w:val="000000"/>
                <w:sz w:val="18"/>
              </w:rPr>
            </w:pPr>
            <w:r w:rsidRPr="00DB6883">
              <w:rPr>
                <w:b/>
                <w:color w:val="000000"/>
                <w:sz w:val="18"/>
              </w:rPr>
              <w:t>95 500</w:t>
            </w:r>
          </w:p>
        </w:tc>
        <w:tc>
          <w:tcPr>
            <w:tcW w:w="943" w:type="dxa"/>
            <w:tcBorders>
              <w:top w:val="single" w:sz="8" w:space="0" w:color="auto"/>
              <w:left w:val="nil"/>
              <w:bottom w:val="single" w:sz="8" w:space="0" w:color="auto"/>
              <w:right w:val="nil"/>
            </w:tcBorders>
            <w:shd w:val="clear" w:color="auto" w:fill="auto"/>
            <w:noWrap/>
          </w:tcPr>
          <w:p w:rsidR="00E17AC1" w:rsidRPr="00DB6883" w:rsidRDefault="00E17AC1" w:rsidP="00947BB9">
            <w:pPr>
              <w:spacing w:before="40" w:after="40"/>
              <w:jc w:val="right"/>
              <w:rPr>
                <w:b/>
                <w:color w:val="000000"/>
                <w:sz w:val="18"/>
              </w:rPr>
            </w:pPr>
            <w:r w:rsidRPr="00DB6883">
              <w:rPr>
                <w:b/>
                <w:color w:val="000000"/>
                <w:sz w:val="18"/>
              </w:rPr>
              <w:t>90 500</w:t>
            </w:r>
          </w:p>
        </w:tc>
        <w:tc>
          <w:tcPr>
            <w:tcW w:w="990" w:type="dxa"/>
            <w:tcBorders>
              <w:top w:val="single" w:sz="8" w:space="0" w:color="auto"/>
              <w:left w:val="nil"/>
              <w:bottom w:val="single" w:sz="8" w:space="0" w:color="auto"/>
              <w:right w:val="nil"/>
            </w:tcBorders>
            <w:shd w:val="clear" w:color="auto" w:fill="auto"/>
            <w:noWrap/>
          </w:tcPr>
          <w:p w:rsidR="00E17AC1" w:rsidRPr="00DB6883" w:rsidRDefault="00E17AC1" w:rsidP="00947BB9">
            <w:pPr>
              <w:spacing w:before="40" w:after="40"/>
              <w:jc w:val="right"/>
              <w:rPr>
                <w:b/>
                <w:color w:val="000000"/>
                <w:sz w:val="18"/>
              </w:rPr>
            </w:pPr>
            <w:r w:rsidRPr="00DB6883">
              <w:rPr>
                <w:b/>
                <w:color w:val="000000"/>
                <w:sz w:val="18"/>
              </w:rPr>
              <w:t>90 500</w:t>
            </w:r>
          </w:p>
        </w:tc>
        <w:tc>
          <w:tcPr>
            <w:tcW w:w="1032" w:type="dxa"/>
            <w:tcBorders>
              <w:top w:val="single" w:sz="8" w:space="0" w:color="auto"/>
              <w:left w:val="nil"/>
              <w:bottom w:val="single" w:sz="8" w:space="0" w:color="auto"/>
              <w:right w:val="nil"/>
            </w:tcBorders>
            <w:shd w:val="clear" w:color="auto" w:fill="auto"/>
            <w:noWrap/>
          </w:tcPr>
          <w:p w:rsidR="00E17AC1" w:rsidRPr="00DB6883" w:rsidRDefault="00E17AC1" w:rsidP="00947BB9">
            <w:pPr>
              <w:spacing w:before="40" w:after="40"/>
              <w:jc w:val="right"/>
              <w:rPr>
                <w:b/>
                <w:color w:val="000000"/>
                <w:sz w:val="18"/>
              </w:rPr>
            </w:pPr>
            <w:r w:rsidRPr="00DB6883">
              <w:rPr>
                <w:b/>
                <w:color w:val="000000"/>
                <w:sz w:val="18"/>
              </w:rPr>
              <w:t>95 500</w:t>
            </w:r>
          </w:p>
        </w:tc>
      </w:tr>
      <w:tr w:rsidR="00E17AC1" w:rsidRPr="00DB6883" w:rsidTr="006314FD">
        <w:trPr>
          <w:jc w:val="right"/>
        </w:trPr>
        <w:tc>
          <w:tcPr>
            <w:tcW w:w="4527" w:type="dxa"/>
            <w:gridSpan w:val="2"/>
            <w:tcBorders>
              <w:top w:val="single" w:sz="8" w:space="0" w:color="auto"/>
              <w:left w:val="nil"/>
              <w:bottom w:val="single" w:sz="8" w:space="0" w:color="auto"/>
              <w:right w:val="nil"/>
            </w:tcBorders>
          </w:tcPr>
          <w:p w:rsidR="00E17AC1" w:rsidRPr="00DB6883" w:rsidRDefault="00E17AC1" w:rsidP="00947BB9">
            <w:pPr>
              <w:spacing w:before="40" w:after="40"/>
              <w:ind w:left="1077"/>
              <w:rPr>
                <w:b/>
                <w:color w:val="000000"/>
                <w:sz w:val="18"/>
              </w:rPr>
            </w:pPr>
            <w:r w:rsidRPr="00DB6883">
              <w:rPr>
                <w:b/>
                <w:color w:val="000000"/>
                <w:sz w:val="18"/>
              </w:rPr>
              <w:t>Total direct costs</w:t>
            </w:r>
          </w:p>
        </w:tc>
        <w:tc>
          <w:tcPr>
            <w:tcW w:w="694" w:type="dxa"/>
            <w:tcBorders>
              <w:top w:val="single" w:sz="8" w:space="0" w:color="auto"/>
              <w:left w:val="nil"/>
              <w:bottom w:val="single" w:sz="8" w:space="0" w:color="auto"/>
              <w:right w:val="nil"/>
            </w:tcBorders>
          </w:tcPr>
          <w:p w:rsidR="00E17AC1" w:rsidRPr="00DB6883" w:rsidRDefault="00E17AC1" w:rsidP="00947BB9">
            <w:pPr>
              <w:spacing w:before="40" w:after="40"/>
              <w:jc w:val="right"/>
              <w:rPr>
                <w:b/>
                <w:color w:val="000000"/>
                <w:sz w:val="18"/>
              </w:rPr>
            </w:pPr>
          </w:p>
        </w:tc>
        <w:tc>
          <w:tcPr>
            <w:tcW w:w="1198" w:type="dxa"/>
            <w:tcBorders>
              <w:top w:val="single" w:sz="8" w:space="0" w:color="auto"/>
              <w:left w:val="nil"/>
              <w:bottom w:val="single" w:sz="8" w:space="0" w:color="auto"/>
              <w:right w:val="nil"/>
            </w:tcBorders>
          </w:tcPr>
          <w:p w:rsidR="00E17AC1" w:rsidRPr="00DB6883" w:rsidRDefault="00E17AC1" w:rsidP="00947BB9">
            <w:pPr>
              <w:tabs>
                <w:tab w:val="clear" w:pos="1247"/>
                <w:tab w:val="clear" w:pos="1814"/>
                <w:tab w:val="clear" w:pos="2381"/>
                <w:tab w:val="clear" w:pos="2948"/>
                <w:tab w:val="clear" w:pos="3515"/>
              </w:tabs>
              <w:spacing w:before="40" w:after="40"/>
              <w:jc w:val="right"/>
              <w:rPr>
                <w:b/>
                <w:color w:val="000000"/>
                <w:sz w:val="18"/>
              </w:rPr>
            </w:pPr>
            <w:r w:rsidRPr="00DB6883">
              <w:rPr>
                <w:b/>
                <w:color w:val="000000"/>
                <w:sz w:val="18"/>
              </w:rPr>
              <w:t>1 158 375</w:t>
            </w:r>
          </w:p>
        </w:tc>
        <w:tc>
          <w:tcPr>
            <w:tcW w:w="943" w:type="dxa"/>
            <w:tcBorders>
              <w:top w:val="single" w:sz="8" w:space="0" w:color="auto"/>
              <w:left w:val="nil"/>
              <w:bottom w:val="single" w:sz="8" w:space="0" w:color="auto"/>
              <w:right w:val="nil"/>
            </w:tcBorders>
            <w:shd w:val="clear" w:color="auto" w:fill="auto"/>
            <w:noWrap/>
          </w:tcPr>
          <w:p w:rsidR="00E17AC1" w:rsidRPr="00DB6883" w:rsidRDefault="00E17AC1" w:rsidP="00947BB9">
            <w:pPr>
              <w:spacing w:before="40" w:after="40"/>
              <w:jc w:val="right"/>
              <w:rPr>
                <w:b/>
                <w:color w:val="000000"/>
                <w:sz w:val="18"/>
              </w:rPr>
            </w:pPr>
            <w:r w:rsidRPr="00DB6883">
              <w:rPr>
                <w:b/>
                <w:color w:val="000000"/>
                <w:sz w:val="18"/>
              </w:rPr>
              <w:t>697 493</w:t>
            </w:r>
          </w:p>
        </w:tc>
        <w:tc>
          <w:tcPr>
            <w:tcW w:w="990" w:type="dxa"/>
            <w:tcBorders>
              <w:top w:val="single" w:sz="8" w:space="0" w:color="auto"/>
              <w:left w:val="nil"/>
              <w:bottom w:val="single" w:sz="8" w:space="0" w:color="auto"/>
              <w:right w:val="nil"/>
            </w:tcBorders>
            <w:shd w:val="clear" w:color="auto" w:fill="auto"/>
            <w:noWrap/>
          </w:tcPr>
          <w:p w:rsidR="00E17AC1" w:rsidRPr="00DB6883" w:rsidRDefault="00E17AC1" w:rsidP="00947BB9">
            <w:pPr>
              <w:spacing w:before="40" w:after="40"/>
              <w:jc w:val="right"/>
              <w:rPr>
                <w:b/>
                <w:color w:val="000000"/>
                <w:sz w:val="18"/>
              </w:rPr>
            </w:pPr>
            <w:r w:rsidRPr="00DB6883">
              <w:rPr>
                <w:b/>
                <w:color w:val="000000"/>
                <w:sz w:val="18"/>
              </w:rPr>
              <w:t>708 833</w:t>
            </w:r>
          </w:p>
        </w:tc>
        <w:tc>
          <w:tcPr>
            <w:tcW w:w="1032" w:type="dxa"/>
            <w:tcBorders>
              <w:top w:val="single" w:sz="8" w:space="0" w:color="auto"/>
              <w:left w:val="nil"/>
              <w:bottom w:val="single" w:sz="8" w:space="0" w:color="auto"/>
              <w:right w:val="nil"/>
            </w:tcBorders>
            <w:shd w:val="clear" w:color="auto" w:fill="auto"/>
            <w:noWrap/>
          </w:tcPr>
          <w:p w:rsidR="00E17AC1" w:rsidRPr="00DB6883" w:rsidRDefault="00E17AC1" w:rsidP="00947BB9">
            <w:pPr>
              <w:spacing w:before="40" w:after="40"/>
              <w:jc w:val="right"/>
              <w:rPr>
                <w:b/>
                <w:color w:val="000000"/>
                <w:sz w:val="18"/>
              </w:rPr>
            </w:pPr>
            <w:r w:rsidRPr="00DB6883">
              <w:rPr>
                <w:b/>
                <w:color w:val="000000"/>
                <w:sz w:val="18"/>
              </w:rPr>
              <w:t>1 212 398</w:t>
            </w:r>
          </w:p>
        </w:tc>
      </w:tr>
      <w:tr w:rsidR="00E17AC1" w:rsidRPr="00DB6883" w:rsidTr="006314FD">
        <w:trPr>
          <w:jc w:val="right"/>
        </w:trPr>
        <w:tc>
          <w:tcPr>
            <w:tcW w:w="1029" w:type="dxa"/>
            <w:tcBorders>
              <w:top w:val="single" w:sz="8" w:space="0" w:color="auto"/>
              <w:left w:val="nil"/>
              <w:bottom w:val="single" w:sz="8" w:space="0" w:color="auto"/>
              <w:right w:val="nil"/>
            </w:tcBorders>
          </w:tcPr>
          <w:p w:rsidR="00E17AC1" w:rsidRPr="00DB6883" w:rsidRDefault="00E17AC1" w:rsidP="00947BB9">
            <w:pPr>
              <w:spacing w:before="40" w:after="40"/>
              <w:jc w:val="right"/>
              <w:rPr>
                <w:color w:val="000000"/>
                <w:sz w:val="18"/>
              </w:rPr>
            </w:pPr>
          </w:p>
        </w:tc>
        <w:tc>
          <w:tcPr>
            <w:tcW w:w="3498" w:type="dxa"/>
            <w:tcBorders>
              <w:top w:val="single" w:sz="8" w:space="0" w:color="auto"/>
              <w:left w:val="nil"/>
              <w:bottom w:val="single" w:sz="8" w:space="0" w:color="auto"/>
              <w:right w:val="nil"/>
            </w:tcBorders>
            <w:shd w:val="clear" w:color="auto" w:fill="auto"/>
            <w:noWrap/>
            <w:hideMark/>
          </w:tcPr>
          <w:p w:rsidR="00E17AC1" w:rsidRPr="00DB6883" w:rsidRDefault="00E17AC1" w:rsidP="00947BB9">
            <w:pPr>
              <w:spacing w:before="40" w:after="40"/>
              <w:rPr>
                <w:color w:val="000000"/>
                <w:sz w:val="18"/>
              </w:rPr>
            </w:pPr>
            <w:r w:rsidRPr="00DB6883">
              <w:rPr>
                <w:color w:val="000000"/>
                <w:sz w:val="18"/>
              </w:rPr>
              <w:t>Programme support costs (13 per cent)</w:t>
            </w:r>
          </w:p>
        </w:tc>
        <w:tc>
          <w:tcPr>
            <w:tcW w:w="694" w:type="dxa"/>
            <w:tcBorders>
              <w:top w:val="single" w:sz="8" w:space="0" w:color="auto"/>
              <w:left w:val="nil"/>
              <w:bottom w:val="single" w:sz="8" w:space="0" w:color="auto"/>
              <w:right w:val="nil"/>
            </w:tcBorders>
          </w:tcPr>
          <w:p w:rsidR="00E17AC1" w:rsidRPr="00DB6883" w:rsidRDefault="00E17AC1" w:rsidP="00947BB9">
            <w:pPr>
              <w:spacing w:before="40" w:after="40"/>
              <w:jc w:val="right"/>
              <w:rPr>
                <w:color w:val="000000"/>
                <w:sz w:val="18"/>
              </w:rPr>
            </w:pPr>
          </w:p>
        </w:tc>
        <w:tc>
          <w:tcPr>
            <w:tcW w:w="1198" w:type="dxa"/>
            <w:tcBorders>
              <w:top w:val="single" w:sz="8" w:space="0" w:color="auto"/>
              <w:left w:val="nil"/>
              <w:bottom w:val="single" w:sz="8" w:space="0" w:color="auto"/>
              <w:right w:val="nil"/>
            </w:tcBorders>
          </w:tcPr>
          <w:p w:rsidR="00E17AC1" w:rsidRPr="00DB6883" w:rsidRDefault="00E17AC1" w:rsidP="00947BB9">
            <w:pPr>
              <w:spacing w:before="40" w:after="40"/>
              <w:jc w:val="right"/>
              <w:rPr>
                <w:color w:val="000000"/>
                <w:sz w:val="18"/>
              </w:rPr>
            </w:pPr>
            <w:r w:rsidRPr="00DB6883">
              <w:rPr>
                <w:color w:val="000000"/>
                <w:sz w:val="18"/>
              </w:rPr>
              <w:t>150 589</w:t>
            </w:r>
          </w:p>
        </w:tc>
        <w:tc>
          <w:tcPr>
            <w:tcW w:w="943" w:type="dxa"/>
            <w:tcBorders>
              <w:top w:val="single" w:sz="8" w:space="0" w:color="auto"/>
              <w:left w:val="nil"/>
              <w:bottom w:val="single" w:sz="8" w:space="0" w:color="auto"/>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90 674</w:t>
            </w:r>
          </w:p>
        </w:tc>
        <w:tc>
          <w:tcPr>
            <w:tcW w:w="990" w:type="dxa"/>
            <w:tcBorders>
              <w:top w:val="single" w:sz="8" w:space="0" w:color="auto"/>
              <w:left w:val="nil"/>
              <w:bottom w:val="single" w:sz="8" w:space="0" w:color="auto"/>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92 148</w:t>
            </w:r>
          </w:p>
        </w:tc>
        <w:tc>
          <w:tcPr>
            <w:tcW w:w="1032" w:type="dxa"/>
            <w:tcBorders>
              <w:top w:val="single" w:sz="8" w:space="0" w:color="auto"/>
              <w:left w:val="nil"/>
              <w:bottom w:val="single" w:sz="8" w:space="0" w:color="auto"/>
              <w:right w:val="nil"/>
            </w:tcBorders>
            <w:shd w:val="clear" w:color="auto" w:fill="auto"/>
            <w:noWrap/>
          </w:tcPr>
          <w:p w:rsidR="00E17AC1" w:rsidRPr="00DB6883" w:rsidRDefault="00E17AC1" w:rsidP="00947BB9">
            <w:pPr>
              <w:spacing w:before="40" w:after="40"/>
              <w:jc w:val="right"/>
              <w:rPr>
                <w:color w:val="000000"/>
                <w:sz w:val="18"/>
              </w:rPr>
            </w:pPr>
            <w:r w:rsidRPr="00DB6883">
              <w:rPr>
                <w:color w:val="000000"/>
                <w:sz w:val="18"/>
              </w:rPr>
              <w:t>157 612</w:t>
            </w:r>
          </w:p>
        </w:tc>
      </w:tr>
      <w:tr w:rsidR="00E17AC1" w:rsidRPr="00DB6883" w:rsidTr="006314FD">
        <w:trPr>
          <w:jc w:val="right"/>
        </w:trPr>
        <w:tc>
          <w:tcPr>
            <w:tcW w:w="4527" w:type="dxa"/>
            <w:gridSpan w:val="2"/>
            <w:tcBorders>
              <w:top w:val="single" w:sz="8" w:space="0" w:color="auto"/>
              <w:left w:val="nil"/>
              <w:bottom w:val="single" w:sz="12" w:space="0" w:color="auto"/>
              <w:right w:val="nil"/>
            </w:tcBorders>
          </w:tcPr>
          <w:p w:rsidR="00E17AC1" w:rsidRPr="00DB6883" w:rsidRDefault="00E17AC1" w:rsidP="00947BB9">
            <w:pPr>
              <w:spacing w:before="40" w:after="40"/>
              <w:ind w:left="1077"/>
              <w:rPr>
                <w:b/>
                <w:color w:val="000000"/>
                <w:sz w:val="18"/>
              </w:rPr>
            </w:pPr>
            <w:r w:rsidRPr="00DB6883">
              <w:rPr>
                <w:b/>
                <w:color w:val="000000"/>
                <w:sz w:val="18"/>
              </w:rPr>
              <w:t>Grand total</w:t>
            </w:r>
          </w:p>
        </w:tc>
        <w:tc>
          <w:tcPr>
            <w:tcW w:w="694" w:type="dxa"/>
            <w:tcBorders>
              <w:top w:val="single" w:sz="8" w:space="0" w:color="auto"/>
              <w:left w:val="nil"/>
              <w:bottom w:val="single" w:sz="12" w:space="0" w:color="auto"/>
              <w:right w:val="nil"/>
            </w:tcBorders>
          </w:tcPr>
          <w:p w:rsidR="00E17AC1" w:rsidRPr="00DB6883" w:rsidRDefault="00E17AC1" w:rsidP="00947BB9">
            <w:pPr>
              <w:spacing w:before="40" w:after="40"/>
              <w:jc w:val="right"/>
              <w:rPr>
                <w:b/>
                <w:color w:val="000000"/>
                <w:sz w:val="18"/>
              </w:rPr>
            </w:pPr>
          </w:p>
        </w:tc>
        <w:tc>
          <w:tcPr>
            <w:tcW w:w="1198" w:type="dxa"/>
            <w:tcBorders>
              <w:top w:val="single" w:sz="8" w:space="0" w:color="auto"/>
              <w:left w:val="nil"/>
              <w:bottom w:val="single" w:sz="12" w:space="0" w:color="auto"/>
              <w:right w:val="nil"/>
            </w:tcBorders>
          </w:tcPr>
          <w:p w:rsidR="00E17AC1" w:rsidRPr="00CD35BB" w:rsidRDefault="00E17AC1" w:rsidP="00947BB9">
            <w:pPr>
              <w:spacing w:before="40" w:after="40"/>
              <w:jc w:val="right"/>
              <w:rPr>
                <w:b/>
                <w:color w:val="000000"/>
                <w:sz w:val="17"/>
                <w:szCs w:val="17"/>
              </w:rPr>
            </w:pPr>
            <w:r w:rsidRPr="00CD35BB">
              <w:rPr>
                <w:b/>
                <w:color w:val="000000"/>
                <w:sz w:val="17"/>
                <w:szCs w:val="17"/>
              </w:rPr>
              <w:t>1 308 964</w:t>
            </w:r>
          </w:p>
        </w:tc>
        <w:tc>
          <w:tcPr>
            <w:tcW w:w="943" w:type="dxa"/>
            <w:tcBorders>
              <w:top w:val="single" w:sz="8" w:space="0" w:color="auto"/>
              <w:left w:val="nil"/>
              <w:bottom w:val="single" w:sz="12" w:space="0" w:color="auto"/>
              <w:right w:val="nil"/>
            </w:tcBorders>
            <w:shd w:val="clear" w:color="auto" w:fill="auto"/>
            <w:noWrap/>
          </w:tcPr>
          <w:p w:rsidR="00E17AC1" w:rsidRPr="00DB6883" w:rsidRDefault="00E17AC1" w:rsidP="00947BB9">
            <w:pPr>
              <w:spacing w:before="40" w:after="40"/>
              <w:jc w:val="right"/>
              <w:rPr>
                <w:b/>
                <w:color w:val="000000"/>
                <w:sz w:val="18"/>
              </w:rPr>
            </w:pPr>
            <w:r w:rsidRPr="00DB6883">
              <w:rPr>
                <w:b/>
                <w:color w:val="000000"/>
                <w:sz w:val="18"/>
              </w:rPr>
              <w:t>788 167</w:t>
            </w:r>
          </w:p>
        </w:tc>
        <w:tc>
          <w:tcPr>
            <w:tcW w:w="990" w:type="dxa"/>
            <w:tcBorders>
              <w:top w:val="single" w:sz="8" w:space="0" w:color="auto"/>
              <w:left w:val="nil"/>
              <w:bottom w:val="single" w:sz="12" w:space="0" w:color="auto"/>
              <w:right w:val="nil"/>
            </w:tcBorders>
            <w:shd w:val="clear" w:color="auto" w:fill="auto"/>
            <w:noWrap/>
          </w:tcPr>
          <w:p w:rsidR="00E17AC1" w:rsidRPr="00DB6883" w:rsidRDefault="00E17AC1" w:rsidP="00947BB9">
            <w:pPr>
              <w:spacing w:before="40" w:after="40"/>
              <w:jc w:val="right"/>
              <w:rPr>
                <w:b/>
                <w:color w:val="000000"/>
                <w:sz w:val="18"/>
              </w:rPr>
            </w:pPr>
            <w:r w:rsidRPr="00DB6883">
              <w:rPr>
                <w:b/>
                <w:color w:val="000000"/>
                <w:sz w:val="18"/>
              </w:rPr>
              <w:t>800 981</w:t>
            </w:r>
          </w:p>
        </w:tc>
        <w:tc>
          <w:tcPr>
            <w:tcW w:w="1032" w:type="dxa"/>
            <w:tcBorders>
              <w:top w:val="single" w:sz="8" w:space="0" w:color="auto"/>
              <w:left w:val="nil"/>
              <w:bottom w:val="single" w:sz="12" w:space="0" w:color="auto"/>
              <w:right w:val="nil"/>
            </w:tcBorders>
            <w:shd w:val="clear" w:color="auto" w:fill="auto"/>
            <w:noWrap/>
          </w:tcPr>
          <w:p w:rsidR="00E17AC1" w:rsidRPr="00DB6883" w:rsidRDefault="00E17AC1" w:rsidP="00947BB9">
            <w:pPr>
              <w:spacing w:before="40" w:after="40"/>
              <w:jc w:val="right"/>
              <w:rPr>
                <w:b/>
                <w:color w:val="000000"/>
                <w:sz w:val="18"/>
              </w:rPr>
            </w:pPr>
            <w:r w:rsidRPr="00DB6883">
              <w:rPr>
                <w:b/>
                <w:color w:val="000000"/>
                <w:sz w:val="18"/>
              </w:rPr>
              <w:t>1 370 010</w:t>
            </w:r>
          </w:p>
        </w:tc>
      </w:tr>
    </w:tbl>
    <w:p w:rsidR="00E17AC1" w:rsidRDefault="00E17AC1" w:rsidP="00E17AC1">
      <w:pPr>
        <w:pStyle w:val="Normalpool"/>
      </w:pPr>
    </w:p>
    <w:p w:rsidR="00E17AC1" w:rsidRPr="00DB6883" w:rsidRDefault="00E17AC1" w:rsidP="00E17AC1">
      <w:pPr>
        <w:pStyle w:val="Normalpool"/>
      </w:pPr>
    </w:p>
    <w:p w:rsidR="00DB73D0" w:rsidRPr="00DB6883" w:rsidRDefault="00DB73D0" w:rsidP="00DB73D0">
      <w:pPr>
        <w:pStyle w:val="Title"/>
        <w:spacing w:after="120"/>
        <w:ind w:left="0"/>
        <w:rPr>
          <w:sz w:val="16"/>
          <w:szCs w:val="16"/>
        </w:rPr>
      </w:pPr>
      <w:r w:rsidRPr="00DB6883">
        <w:rPr>
          <w:sz w:val="16"/>
          <w:szCs w:val="16"/>
        </w:rPr>
        <w:br w:type="page"/>
      </w:r>
    </w:p>
    <w:p w:rsidR="00DB73D0" w:rsidRPr="008119D1" w:rsidRDefault="00DB73D0">
      <w:pPr>
        <w:pStyle w:val="CH2"/>
      </w:pPr>
      <w:r w:rsidRPr="008119D1">
        <w:lastRenderedPageBreak/>
        <w:tab/>
      </w:r>
      <w:r w:rsidRPr="008119D1">
        <w:tab/>
        <w:t>Explanatory notes for the proposed revision to the approved budget for 2017 and the proposed budgets for 2018, 2019 and 2020 for the Trust Fund for the Vienna Convention for the Protection of the Ozone Layer</w:t>
      </w:r>
    </w:p>
    <w:tbl>
      <w:tblPr>
        <w:tblW w:w="9786" w:type="dxa"/>
        <w:jc w:val="right"/>
        <w:tblBorders>
          <w:insideV w:val="single" w:sz="4" w:space="0" w:color="auto"/>
        </w:tblBorders>
        <w:tblLayout w:type="fixed"/>
        <w:tblLook w:val="0000" w:firstRow="0" w:lastRow="0" w:firstColumn="0" w:lastColumn="0" w:noHBand="0" w:noVBand="0"/>
      </w:tblPr>
      <w:tblGrid>
        <w:gridCol w:w="1843"/>
        <w:gridCol w:w="1553"/>
        <w:gridCol w:w="6390"/>
      </w:tblGrid>
      <w:tr w:rsidR="00DB73D0" w:rsidRPr="00DB6883" w:rsidTr="00E17AC1">
        <w:trPr>
          <w:trHeight w:val="230"/>
          <w:tblHeader/>
          <w:jc w:val="right"/>
        </w:trPr>
        <w:tc>
          <w:tcPr>
            <w:tcW w:w="1843" w:type="dxa"/>
            <w:tcBorders>
              <w:top w:val="single" w:sz="4" w:space="0" w:color="auto"/>
              <w:bottom w:val="single" w:sz="12" w:space="0" w:color="auto"/>
              <w:right w:val="nil"/>
            </w:tcBorders>
          </w:tcPr>
          <w:p w:rsidR="00DB73D0" w:rsidRPr="00CD35BB" w:rsidRDefault="00DB73D0" w:rsidP="00E17AC1">
            <w:pPr>
              <w:pStyle w:val="Heading1"/>
              <w:keepNext w:val="0"/>
              <w:tabs>
                <w:tab w:val="clear" w:pos="1247"/>
                <w:tab w:val="clear" w:pos="1814"/>
                <w:tab w:val="clear" w:pos="2381"/>
                <w:tab w:val="clear" w:pos="2948"/>
                <w:tab w:val="clear" w:pos="3515"/>
              </w:tabs>
              <w:spacing w:before="40" w:after="40"/>
              <w:ind w:left="0" w:firstLine="0"/>
              <w:rPr>
                <w:b w:val="0"/>
                <w:i/>
                <w:sz w:val="18"/>
                <w:szCs w:val="18"/>
              </w:rPr>
            </w:pPr>
            <w:r w:rsidRPr="00CD35BB">
              <w:rPr>
                <w:b w:val="0"/>
                <w:i/>
                <w:sz w:val="18"/>
                <w:szCs w:val="18"/>
              </w:rPr>
              <w:t>Cost category</w:t>
            </w:r>
          </w:p>
        </w:tc>
        <w:tc>
          <w:tcPr>
            <w:tcW w:w="1553" w:type="dxa"/>
            <w:tcBorders>
              <w:top w:val="single" w:sz="4" w:space="0" w:color="auto"/>
              <w:bottom w:val="single" w:sz="12" w:space="0" w:color="auto"/>
              <w:right w:val="nil"/>
            </w:tcBorders>
          </w:tcPr>
          <w:p w:rsidR="00DB73D0" w:rsidRPr="00CD35BB" w:rsidRDefault="00DB73D0" w:rsidP="00E17AC1">
            <w:pPr>
              <w:pStyle w:val="Heading1"/>
              <w:keepNext w:val="0"/>
              <w:tabs>
                <w:tab w:val="clear" w:pos="1247"/>
                <w:tab w:val="clear" w:pos="1814"/>
                <w:tab w:val="clear" w:pos="2381"/>
                <w:tab w:val="clear" w:pos="2948"/>
                <w:tab w:val="clear" w:pos="3515"/>
              </w:tabs>
              <w:spacing w:before="40" w:after="40"/>
              <w:ind w:left="0" w:firstLine="0"/>
              <w:rPr>
                <w:b w:val="0"/>
                <w:i/>
                <w:sz w:val="18"/>
                <w:szCs w:val="18"/>
              </w:rPr>
            </w:pPr>
            <w:r w:rsidRPr="00CD35BB">
              <w:rPr>
                <w:b w:val="0"/>
                <w:i/>
                <w:sz w:val="18"/>
                <w:szCs w:val="18"/>
              </w:rPr>
              <w:t>Budget line</w:t>
            </w:r>
          </w:p>
        </w:tc>
        <w:tc>
          <w:tcPr>
            <w:tcW w:w="6390" w:type="dxa"/>
            <w:tcBorders>
              <w:top w:val="single" w:sz="4" w:space="0" w:color="auto"/>
              <w:left w:val="nil"/>
              <w:bottom w:val="single" w:sz="12" w:space="0" w:color="auto"/>
            </w:tcBorders>
          </w:tcPr>
          <w:p w:rsidR="00DB73D0" w:rsidRPr="00CD35BB" w:rsidRDefault="00DB73D0" w:rsidP="00E17AC1">
            <w:pPr>
              <w:pStyle w:val="Heading2"/>
              <w:keepNext w:val="0"/>
              <w:tabs>
                <w:tab w:val="clear" w:pos="1247"/>
                <w:tab w:val="clear" w:pos="1814"/>
                <w:tab w:val="clear" w:pos="2381"/>
                <w:tab w:val="clear" w:pos="2948"/>
                <w:tab w:val="clear" w:pos="3515"/>
              </w:tabs>
              <w:spacing w:before="40" w:after="40"/>
              <w:ind w:left="680"/>
              <w:rPr>
                <w:b w:val="0"/>
                <w:i/>
                <w:sz w:val="18"/>
                <w:szCs w:val="18"/>
              </w:rPr>
            </w:pPr>
            <w:r w:rsidRPr="00CD35BB">
              <w:rPr>
                <w:b w:val="0"/>
                <w:i/>
                <w:sz w:val="18"/>
                <w:szCs w:val="18"/>
              </w:rPr>
              <w:t>Comment</w:t>
            </w:r>
          </w:p>
        </w:tc>
      </w:tr>
      <w:tr w:rsidR="00DB73D0" w:rsidRPr="00DB6883" w:rsidTr="00E17AC1">
        <w:trPr>
          <w:jc w:val="right"/>
        </w:trPr>
        <w:tc>
          <w:tcPr>
            <w:tcW w:w="1843" w:type="dxa"/>
            <w:tcBorders>
              <w:top w:val="single" w:sz="12" w:space="0" w:color="auto"/>
              <w:right w:val="nil"/>
            </w:tcBorders>
          </w:tcPr>
          <w:p w:rsidR="00DB73D0" w:rsidRPr="00CD35BB" w:rsidRDefault="00DB73D0" w:rsidP="00E17AC1">
            <w:pPr>
              <w:spacing w:before="40" w:after="40"/>
              <w:rPr>
                <w:sz w:val="18"/>
                <w:szCs w:val="18"/>
              </w:rPr>
            </w:pPr>
            <w:r w:rsidRPr="00CD35BB">
              <w:rPr>
                <w:sz w:val="18"/>
                <w:szCs w:val="18"/>
              </w:rPr>
              <w:t>Employee salaries, allowances and benefits</w:t>
            </w:r>
          </w:p>
        </w:tc>
        <w:tc>
          <w:tcPr>
            <w:tcW w:w="1553" w:type="dxa"/>
            <w:tcBorders>
              <w:top w:val="single" w:sz="12" w:space="0" w:color="auto"/>
              <w:right w:val="nil"/>
            </w:tcBorders>
          </w:tcPr>
          <w:p w:rsidR="00DB73D0" w:rsidRPr="00CD35BB" w:rsidRDefault="00DB73D0" w:rsidP="00E17AC1">
            <w:pPr>
              <w:pStyle w:val="Normalpool"/>
              <w:spacing w:before="40" w:after="40"/>
              <w:rPr>
                <w:sz w:val="18"/>
                <w:szCs w:val="18"/>
              </w:rPr>
            </w:pPr>
            <w:r w:rsidRPr="00CD35BB">
              <w:rPr>
                <w:sz w:val="18"/>
                <w:szCs w:val="18"/>
              </w:rPr>
              <w:t>1000</w:t>
            </w:r>
          </w:p>
        </w:tc>
        <w:tc>
          <w:tcPr>
            <w:tcW w:w="6390" w:type="dxa"/>
            <w:tcBorders>
              <w:top w:val="single" w:sz="12" w:space="0" w:color="auto"/>
              <w:left w:val="nil"/>
            </w:tcBorders>
          </w:tcPr>
          <w:p w:rsidR="00DB73D0" w:rsidRPr="00CD35BB" w:rsidRDefault="00DB73D0" w:rsidP="00E17AC1">
            <w:pPr>
              <w:spacing w:before="40" w:after="40"/>
              <w:rPr>
                <w:sz w:val="18"/>
                <w:szCs w:val="18"/>
              </w:rPr>
            </w:pPr>
            <w:r w:rsidRPr="00CD35BB">
              <w:rPr>
                <w:sz w:val="18"/>
                <w:szCs w:val="18"/>
              </w:rPr>
              <w:t>The 2017 costs include a decrease of $21,000, representing the cost of the abolished post of Research Assistant and an increase of $16,855 to align the costs to 2017 salary costs.</w:t>
            </w:r>
          </w:p>
          <w:p w:rsidR="00DB73D0" w:rsidRPr="00CD35BB" w:rsidRDefault="00DB73D0" w:rsidP="00E17AC1">
            <w:pPr>
              <w:spacing w:before="40" w:after="40"/>
              <w:rPr>
                <w:sz w:val="18"/>
                <w:szCs w:val="18"/>
              </w:rPr>
            </w:pPr>
            <w:r w:rsidRPr="00CD35BB">
              <w:rPr>
                <w:sz w:val="18"/>
                <w:szCs w:val="18"/>
              </w:rPr>
              <w:t xml:space="preserve">The salary costs for 2018, 2019 and 2020 are increased by 2 per cent to provide for inflation. </w:t>
            </w:r>
          </w:p>
          <w:p w:rsidR="00DB73D0" w:rsidRPr="00CD35BB" w:rsidRDefault="00DB73D0" w:rsidP="00E17AC1">
            <w:pPr>
              <w:spacing w:before="40" w:after="40"/>
              <w:rPr>
                <w:sz w:val="18"/>
                <w:szCs w:val="18"/>
              </w:rPr>
            </w:pPr>
          </w:p>
        </w:tc>
      </w:tr>
      <w:tr w:rsidR="00DB73D0" w:rsidRPr="00DB6883" w:rsidTr="00E17AC1">
        <w:trPr>
          <w:jc w:val="right"/>
        </w:trPr>
        <w:tc>
          <w:tcPr>
            <w:tcW w:w="1843" w:type="dxa"/>
            <w:vMerge w:val="restart"/>
            <w:tcBorders>
              <w:top w:val="nil"/>
              <w:right w:val="nil"/>
            </w:tcBorders>
          </w:tcPr>
          <w:p w:rsidR="00DB73D0" w:rsidRPr="00CD35BB" w:rsidRDefault="00DB73D0" w:rsidP="00E17AC1">
            <w:pPr>
              <w:pStyle w:val="Normalpool"/>
              <w:spacing w:before="40" w:after="40"/>
              <w:rPr>
                <w:sz w:val="18"/>
                <w:szCs w:val="18"/>
              </w:rPr>
            </w:pPr>
            <w:r w:rsidRPr="00CD35BB">
              <w:rPr>
                <w:sz w:val="18"/>
                <w:szCs w:val="18"/>
              </w:rPr>
              <w:t>Operating expenses</w:t>
            </w:r>
          </w:p>
        </w:tc>
        <w:tc>
          <w:tcPr>
            <w:tcW w:w="1553" w:type="dxa"/>
            <w:tcBorders>
              <w:top w:val="nil"/>
              <w:right w:val="nil"/>
            </w:tcBorders>
          </w:tcPr>
          <w:p w:rsidR="00DB73D0" w:rsidRPr="00CD35BB" w:rsidRDefault="00DB73D0" w:rsidP="00E17AC1">
            <w:pPr>
              <w:pStyle w:val="Normalpool"/>
              <w:spacing w:before="40" w:after="40"/>
              <w:rPr>
                <w:sz w:val="18"/>
                <w:szCs w:val="18"/>
              </w:rPr>
            </w:pPr>
          </w:p>
        </w:tc>
        <w:tc>
          <w:tcPr>
            <w:tcW w:w="6390" w:type="dxa"/>
            <w:tcBorders>
              <w:top w:val="nil"/>
              <w:left w:val="nil"/>
              <w:bottom w:val="nil"/>
            </w:tcBorders>
          </w:tcPr>
          <w:p w:rsidR="00DB73D0" w:rsidRPr="00CD35BB" w:rsidRDefault="00DB73D0" w:rsidP="00E17AC1">
            <w:pPr>
              <w:pStyle w:val="Normalpool"/>
              <w:spacing w:before="40" w:after="40"/>
              <w:rPr>
                <w:snapToGrid w:val="0"/>
                <w:sz w:val="18"/>
                <w:szCs w:val="18"/>
                <w:u w:val="single"/>
              </w:rPr>
            </w:pPr>
            <w:r w:rsidRPr="00CD35BB">
              <w:rPr>
                <w:sz w:val="18"/>
                <w:szCs w:val="18"/>
              </w:rPr>
              <w:t>This section includes meeting costs, travel of Article 5 participants and hospitality.</w:t>
            </w:r>
          </w:p>
        </w:tc>
      </w:tr>
      <w:tr w:rsidR="00DB73D0" w:rsidRPr="00DB6883" w:rsidTr="00E17AC1">
        <w:trPr>
          <w:jc w:val="right"/>
        </w:trPr>
        <w:tc>
          <w:tcPr>
            <w:tcW w:w="1843" w:type="dxa"/>
            <w:vMerge/>
            <w:tcBorders>
              <w:right w:val="nil"/>
            </w:tcBorders>
          </w:tcPr>
          <w:p w:rsidR="00DB73D0" w:rsidRPr="00CD35BB" w:rsidRDefault="00DB73D0" w:rsidP="00E17AC1">
            <w:pPr>
              <w:spacing w:before="40" w:after="40"/>
              <w:rPr>
                <w:sz w:val="18"/>
                <w:szCs w:val="18"/>
              </w:rPr>
            </w:pPr>
          </w:p>
        </w:tc>
        <w:tc>
          <w:tcPr>
            <w:tcW w:w="1553" w:type="dxa"/>
            <w:tcBorders>
              <w:right w:val="nil"/>
            </w:tcBorders>
          </w:tcPr>
          <w:p w:rsidR="00DB73D0" w:rsidRPr="00CD35BB" w:rsidRDefault="00DB73D0" w:rsidP="00E17AC1">
            <w:pPr>
              <w:pStyle w:val="Normalpool"/>
              <w:spacing w:before="40" w:after="40"/>
              <w:rPr>
                <w:sz w:val="18"/>
                <w:szCs w:val="18"/>
              </w:rPr>
            </w:pPr>
            <w:r w:rsidRPr="00CD35BB">
              <w:rPr>
                <w:sz w:val="18"/>
                <w:szCs w:val="18"/>
              </w:rPr>
              <w:t>1300</w:t>
            </w:r>
          </w:p>
        </w:tc>
        <w:tc>
          <w:tcPr>
            <w:tcW w:w="6390" w:type="dxa"/>
            <w:tcBorders>
              <w:top w:val="nil"/>
              <w:left w:val="nil"/>
              <w:bottom w:val="nil"/>
            </w:tcBorders>
          </w:tcPr>
          <w:p w:rsidR="00DB73D0" w:rsidRPr="00CD35BB" w:rsidRDefault="00DB73D0" w:rsidP="00E17AC1">
            <w:pPr>
              <w:pStyle w:val="Normalpool"/>
              <w:spacing w:before="40" w:after="40"/>
              <w:rPr>
                <w:sz w:val="18"/>
                <w:szCs w:val="18"/>
              </w:rPr>
            </w:pPr>
            <w:r w:rsidRPr="00CD35BB">
              <w:rPr>
                <w:sz w:val="18"/>
                <w:szCs w:val="18"/>
              </w:rPr>
              <w:t xml:space="preserve">Meeting costs </w:t>
            </w:r>
          </w:p>
          <w:p w:rsidR="00DB73D0" w:rsidRPr="00CD35BB" w:rsidRDefault="00DB73D0" w:rsidP="00E17AC1">
            <w:pPr>
              <w:spacing w:before="40" w:after="40"/>
              <w:rPr>
                <w:sz w:val="18"/>
                <w:szCs w:val="18"/>
              </w:rPr>
            </w:pPr>
            <w:r w:rsidRPr="00CD35BB">
              <w:rPr>
                <w:sz w:val="18"/>
                <w:szCs w:val="18"/>
              </w:rPr>
              <w:t xml:space="preserve">Necessary funds may be transferred from the conference servicing budget lines should such services be required to be rendered either by individual consultancies or under corporate contracts. </w:t>
            </w:r>
          </w:p>
          <w:p w:rsidR="00DB73D0" w:rsidRPr="00CD35BB" w:rsidRDefault="00DB73D0" w:rsidP="00E17AC1">
            <w:pPr>
              <w:spacing w:before="40" w:after="40"/>
              <w:rPr>
                <w:sz w:val="18"/>
                <w:szCs w:val="18"/>
              </w:rPr>
            </w:pPr>
            <w:r w:rsidRPr="00CD35BB">
              <w:rPr>
                <w:sz w:val="18"/>
                <w:szCs w:val="18"/>
              </w:rPr>
              <w:t>The current conference servicing costs are based on the following background and assumptions:</w:t>
            </w:r>
          </w:p>
        </w:tc>
      </w:tr>
      <w:tr w:rsidR="00DB73D0" w:rsidRPr="00DB6883" w:rsidTr="00E17AC1">
        <w:trPr>
          <w:trHeight w:val="664"/>
          <w:jc w:val="right"/>
        </w:trPr>
        <w:tc>
          <w:tcPr>
            <w:tcW w:w="1843" w:type="dxa"/>
            <w:vMerge/>
            <w:tcBorders>
              <w:right w:val="nil"/>
            </w:tcBorders>
          </w:tcPr>
          <w:p w:rsidR="00DB73D0" w:rsidRPr="00CD35BB" w:rsidRDefault="00DB73D0" w:rsidP="00E17AC1">
            <w:pPr>
              <w:spacing w:before="40" w:after="40"/>
              <w:rPr>
                <w:sz w:val="18"/>
                <w:szCs w:val="18"/>
              </w:rPr>
            </w:pPr>
          </w:p>
        </w:tc>
        <w:tc>
          <w:tcPr>
            <w:tcW w:w="1553" w:type="dxa"/>
            <w:tcBorders>
              <w:right w:val="nil"/>
            </w:tcBorders>
          </w:tcPr>
          <w:p w:rsidR="00DB73D0" w:rsidRPr="00CD35BB" w:rsidRDefault="00DB73D0" w:rsidP="00E17AC1">
            <w:pPr>
              <w:pStyle w:val="BodyTextIndent"/>
              <w:spacing w:before="40" w:after="40"/>
              <w:ind w:left="0" w:firstLine="0"/>
              <w:rPr>
                <w:sz w:val="18"/>
                <w:szCs w:val="18"/>
                <w:lang w:val="en-GB"/>
              </w:rPr>
            </w:pPr>
            <w:r w:rsidRPr="00CD35BB">
              <w:rPr>
                <w:sz w:val="18"/>
                <w:szCs w:val="18"/>
                <w:lang w:val="en-GB"/>
              </w:rPr>
              <w:t>1322</w:t>
            </w:r>
          </w:p>
        </w:tc>
        <w:tc>
          <w:tcPr>
            <w:tcW w:w="6390" w:type="dxa"/>
            <w:tcBorders>
              <w:top w:val="nil"/>
              <w:left w:val="nil"/>
              <w:bottom w:val="nil"/>
            </w:tcBorders>
          </w:tcPr>
          <w:p w:rsidR="00DB73D0" w:rsidRPr="00CD35BB" w:rsidRDefault="00DB73D0" w:rsidP="00E17AC1">
            <w:pPr>
              <w:pStyle w:val="BodyTextIndent"/>
              <w:spacing w:before="40" w:after="40"/>
              <w:ind w:left="0" w:firstLine="0"/>
              <w:rPr>
                <w:sz w:val="18"/>
                <w:szCs w:val="18"/>
                <w:lang w:val="en-GB"/>
              </w:rPr>
            </w:pPr>
            <w:r w:rsidRPr="00CD35BB">
              <w:rPr>
                <w:sz w:val="18"/>
                <w:szCs w:val="18"/>
                <w:lang w:val="en-GB"/>
              </w:rPr>
              <w:t xml:space="preserve">The conferencing costs of the eleventh and twelfth meetings of the Conference of the Parties to the Vienna Convention are shared with the Twenty-Ninth and </w:t>
            </w:r>
            <w:r w:rsidRPr="00CD35BB">
              <w:rPr>
                <w:sz w:val="18"/>
                <w:szCs w:val="18"/>
                <w:lang w:val="en-GB"/>
              </w:rPr>
              <w:br/>
              <w:t>Thirty-Second Meetings of the Parties to the Montreal Protocol since they will be held jointly in 2017 and 2020.</w:t>
            </w:r>
          </w:p>
        </w:tc>
      </w:tr>
      <w:tr w:rsidR="00DB73D0" w:rsidRPr="00DB6883" w:rsidTr="00E17AC1">
        <w:trPr>
          <w:trHeight w:val="660"/>
          <w:jc w:val="right"/>
        </w:trPr>
        <w:tc>
          <w:tcPr>
            <w:tcW w:w="1843" w:type="dxa"/>
            <w:vMerge/>
            <w:tcBorders>
              <w:right w:val="nil"/>
            </w:tcBorders>
          </w:tcPr>
          <w:p w:rsidR="00DB73D0" w:rsidRPr="00CD35BB" w:rsidRDefault="00DB73D0" w:rsidP="00E17AC1">
            <w:pPr>
              <w:spacing w:before="40" w:after="40"/>
              <w:rPr>
                <w:sz w:val="18"/>
                <w:szCs w:val="18"/>
              </w:rPr>
            </w:pPr>
          </w:p>
        </w:tc>
        <w:tc>
          <w:tcPr>
            <w:tcW w:w="1553" w:type="dxa"/>
            <w:tcBorders>
              <w:right w:val="nil"/>
            </w:tcBorders>
          </w:tcPr>
          <w:p w:rsidR="00DB73D0" w:rsidRPr="00CD35BB" w:rsidRDefault="00DB73D0" w:rsidP="00E17AC1">
            <w:pPr>
              <w:pStyle w:val="BodyTextIndent"/>
              <w:spacing w:before="40" w:after="40"/>
              <w:ind w:left="0" w:firstLine="0"/>
              <w:rPr>
                <w:sz w:val="18"/>
                <w:szCs w:val="18"/>
                <w:lang w:val="en-GB"/>
              </w:rPr>
            </w:pPr>
            <w:r w:rsidRPr="00CD35BB">
              <w:rPr>
                <w:sz w:val="18"/>
                <w:szCs w:val="18"/>
                <w:lang w:val="en-GB"/>
              </w:rPr>
              <w:t>1324</w:t>
            </w:r>
          </w:p>
        </w:tc>
        <w:tc>
          <w:tcPr>
            <w:tcW w:w="6390" w:type="dxa"/>
            <w:tcBorders>
              <w:top w:val="nil"/>
              <w:left w:val="nil"/>
              <w:bottom w:val="nil"/>
            </w:tcBorders>
          </w:tcPr>
          <w:p w:rsidR="00DB73D0" w:rsidRPr="00CD35BB" w:rsidRDefault="00DB73D0" w:rsidP="00E17AC1">
            <w:pPr>
              <w:spacing w:before="40" w:after="40"/>
              <w:rPr>
                <w:sz w:val="18"/>
                <w:szCs w:val="18"/>
              </w:rPr>
            </w:pPr>
            <w:r w:rsidRPr="00CD35BB">
              <w:rPr>
                <w:sz w:val="18"/>
                <w:szCs w:val="18"/>
              </w:rPr>
              <w:t>Bureau meetings are scheduled in 2017 and 2020. The first meeting in the year is held back to back with the meeting of the Ozone Research Managers and the second is held back to back with the meeting of the Bureau of the Meeting of the Parties to the Montreal Protocol. The meetings have provision for interpretation and document translation into the appropriate languages based on the membership of the Bureau.</w:t>
            </w:r>
          </w:p>
        </w:tc>
      </w:tr>
      <w:tr w:rsidR="00DB73D0" w:rsidRPr="00DB6883" w:rsidTr="00E17AC1">
        <w:trPr>
          <w:trHeight w:val="660"/>
          <w:jc w:val="right"/>
        </w:trPr>
        <w:tc>
          <w:tcPr>
            <w:tcW w:w="1843" w:type="dxa"/>
            <w:vMerge/>
            <w:tcBorders>
              <w:right w:val="nil"/>
            </w:tcBorders>
          </w:tcPr>
          <w:p w:rsidR="00DB73D0" w:rsidRPr="00CD35BB" w:rsidRDefault="00DB73D0" w:rsidP="00E17AC1">
            <w:pPr>
              <w:spacing w:before="40" w:after="40"/>
              <w:rPr>
                <w:sz w:val="18"/>
                <w:szCs w:val="18"/>
              </w:rPr>
            </w:pPr>
          </w:p>
        </w:tc>
        <w:tc>
          <w:tcPr>
            <w:tcW w:w="1553" w:type="dxa"/>
            <w:tcBorders>
              <w:right w:val="nil"/>
            </w:tcBorders>
          </w:tcPr>
          <w:p w:rsidR="00DB73D0" w:rsidRPr="00CD35BB" w:rsidRDefault="00DB73D0" w:rsidP="00E17AC1">
            <w:pPr>
              <w:pStyle w:val="BodyTextIndent"/>
              <w:spacing w:before="40" w:after="40"/>
              <w:ind w:left="0" w:firstLine="0"/>
              <w:rPr>
                <w:sz w:val="18"/>
                <w:szCs w:val="18"/>
                <w:lang w:val="en-GB"/>
              </w:rPr>
            </w:pPr>
            <w:r w:rsidRPr="00CD35BB">
              <w:rPr>
                <w:sz w:val="18"/>
                <w:szCs w:val="18"/>
                <w:lang w:val="en-GB"/>
              </w:rPr>
              <w:t>1327</w:t>
            </w:r>
          </w:p>
        </w:tc>
        <w:tc>
          <w:tcPr>
            <w:tcW w:w="6390" w:type="dxa"/>
            <w:tcBorders>
              <w:top w:val="nil"/>
              <w:left w:val="nil"/>
              <w:bottom w:val="nil"/>
            </w:tcBorders>
          </w:tcPr>
          <w:p w:rsidR="00DB73D0" w:rsidRPr="00CD35BB" w:rsidRDefault="00DB73D0" w:rsidP="00E17AC1">
            <w:pPr>
              <w:spacing w:before="40" w:after="40"/>
              <w:rPr>
                <w:sz w:val="18"/>
                <w:szCs w:val="18"/>
              </w:rPr>
            </w:pPr>
            <w:r w:rsidRPr="00CD35BB">
              <w:rPr>
                <w:sz w:val="18"/>
                <w:szCs w:val="18"/>
              </w:rPr>
              <w:t xml:space="preserve">The 2017 and 2020 budgets include conference services costs for the tenth and eleventh meetings of the Ozone Research Managers. Costs in 2017 were reduced owing to the provision of services by the World Meteorological Organization at a reduced rate. The 2020 budget is increased by $5,000 over the 2017 costs to cater for inflation. </w:t>
            </w:r>
          </w:p>
        </w:tc>
      </w:tr>
      <w:tr w:rsidR="00DB73D0" w:rsidRPr="00DB6883" w:rsidTr="00E17AC1">
        <w:trPr>
          <w:trHeight w:val="660"/>
          <w:jc w:val="right"/>
        </w:trPr>
        <w:tc>
          <w:tcPr>
            <w:tcW w:w="1843" w:type="dxa"/>
            <w:vMerge/>
            <w:tcBorders>
              <w:right w:val="nil"/>
            </w:tcBorders>
          </w:tcPr>
          <w:p w:rsidR="00DB73D0" w:rsidRPr="00CD35BB" w:rsidRDefault="00DB73D0" w:rsidP="00E17AC1">
            <w:pPr>
              <w:spacing w:before="40" w:after="40"/>
              <w:rPr>
                <w:sz w:val="18"/>
                <w:szCs w:val="18"/>
              </w:rPr>
            </w:pPr>
          </w:p>
        </w:tc>
        <w:tc>
          <w:tcPr>
            <w:tcW w:w="1553" w:type="dxa"/>
            <w:tcBorders>
              <w:right w:val="nil"/>
            </w:tcBorders>
          </w:tcPr>
          <w:p w:rsidR="00DB73D0" w:rsidRPr="00CD35BB" w:rsidRDefault="00DB73D0" w:rsidP="00E17AC1">
            <w:pPr>
              <w:pStyle w:val="BodyTextIndent"/>
              <w:spacing w:before="40" w:after="40"/>
              <w:ind w:left="0" w:firstLine="0"/>
              <w:rPr>
                <w:sz w:val="18"/>
                <w:szCs w:val="18"/>
                <w:lang w:val="en-GB"/>
              </w:rPr>
            </w:pPr>
            <w:r w:rsidRPr="00CD35BB">
              <w:rPr>
                <w:sz w:val="18"/>
                <w:szCs w:val="18"/>
                <w:lang w:val="en-GB"/>
              </w:rPr>
              <w:t>1328</w:t>
            </w:r>
          </w:p>
        </w:tc>
        <w:tc>
          <w:tcPr>
            <w:tcW w:w="6390" w:type="dxa"/>
            <w:tcBorders>
              <w:top w:val="nil"/>
              <w:left w:val="nil"/>
              <w:bottom w:val="nil"/>
            </w:tcBorders>
          </w:tcPr>
          <w:p w:rsidR="00DB73D0" w:rsidRPr="00CD35BB" w:rsidRDefault="00DB73D0" w:rsidP="00E17AC1">
            <w:pPr>
              <w:spacing w:before="40" w:after="40"/>
              <w:rPr>
                <w:sz w:val="18"/>
                <w:szCs w:val="18"/>
              </w:rPr>
            </w:pPr>
            <w:r w:rsidRPr="00CD35BB">
              <w:rPr>
                <w:sz w:val="18"/>
                <w:szCs w:val="18"/>
              </w:rPr>
              <w:t>A minimum amount of $10,000 is proposed for each year to cover activities in connection with the celebration of the International Day for the Protection of the Ozone Layer.</w:t>
            </w:r>
          </w:p>
        </w:tc>
      </w:tr>
      <w:tr w:rsidR="00DB73D0" w:rsidRPr="00DB6883" w:rsidTr="00E17AC1">
        <w:trPr>
          <w:trHeight w:val="660"/>
          <w:jc w:val="right"/>
        </w:trPr>
        <w:tc>
          <w:tcPr>
            <w:tcW w:w="1843" w:type="dxa"/>
            <w:vMerge/>
            <w:tcBorders>
              <w:right w:val="nil"/>
            </w:tcBorders>
          </w:tcPr>
          <w:p w:rsidR="00DB73D0" w:rsidRPr="00CD35BB" w:rsidRDefault="00DB73D0" w:rsidP="00E17AC1">
            <w:pPr>
              <w:spacing w:before="40" w:after="40"/>
              <w:rPr>
                <w:sz w:val="18"/>
                <w:szCs w:val="18"/>
              </w:rPr>
            </w:pPr>
          </w:p>
        </w:tc>
        <w:tc>
          <w:tcPr>
            <w:tcW w:w="1553" w:type="dxa"/>
            <w:tcBorders>
              <w:right w:val="nil"/>
            </w:tcBorders>
          </w:tcPr>
          <w:p w:rsidR="00DB73D0" w:rsidRPr="00CD35BB" w:rsidRDefault="00DB73D0" w:rsidP="00E17AC1">
            <w:pPr>
              <w:pStyle w:val="BodyTextIndent"/>
              <w:spacing w:before="40" w:after="40"/>
              <w:ind w:left="0" w:firstLine="0"/>
              <w:rPr>
                <w:sz w:val="18"/>
                <w:szCs w:val="18"/>
                <w:lang w:val="en-GB"/>
              </w:rPr>
            </w:pPr>
            <w:r w:rsidRPr="00CD35BB">
              <w:rPr>
                <w:sz w:val="18"/>
                <w:szCs w:val="18"/>
                <w:lang w:val="en-GB"/>
              </w:rPr>
              <w:t>5401</w:t>
            </w:r>
          </w:p>
        </w:tc>
        <w:tc>
          <w:tcPr>
            <w:tcW w:w="6390" w:type="dxa"/>
            <w:tcBorders>
              <w:top w:val="nil"/>
              <w:left w:val="nil"/>
              <w:bottom w:val="nil"/>
            </w:tcBorders>
          </w:tcPr>
          <w:p w:rsidR="00DB73D0" w:rsidRPr="00CD35BB" w:rsidRDefault="00DB73D0" w:rsidP="00E17AC1">
            <w:pPr>
              <w:spacing w:before="40" w:after="40"/>
              <w:rPr>
                <w:sz w:val="18"/>
                <w:szCs w:val="18"/>
              </w:rPr>
            </w:pPr>
            <w:r w:rsidRPr="00CD35BB">
              <w:rPr>
                <w:sz w:val="18"/>
                <w:szCs w:val="18"/>
              </w:rPr>
              <w:t xml:space="preserve">Hospitality costs cover the receptions at the meeting of the Ozone Research Managers and the joint Conference of the Parties and Montreal Protocol meetings. In 2017, the cost of the reception at the meeting of the Ozone Research Managers was reduced owing to favourable catering rates provided by the caterers at the World Meteorological Organization. </w:t>
            </w:r>
          </w:p>
        </w:tc>
      </w:tr>
      <w:tr w:rsidR="00DB73D0" w:rsidRPr="00DB6883" w:rsidTr="00E17AC1">
        <w:trPr>
          <w:trHeight w:val="431"/>
          <w:jc w:val="right"/>
        </w:trPr>
        <w:tc>
          <w:tcPr>
            <w:tcW w:w="1843" w:type="dxa"/>
            <w:vMerge/>
            <w:tcBorders>
              <w:right w:val="nil"/>
            </w:tcBorders>
          </w:tcPr>
          <w:p w:rsidR="00DB73D0" w:rsidRPr="00CD35BB" w:rsidRDefault="00DB73D0" w:rsidP="00E17AC1">
            <w:pPr>
              <w:spacing w:before="40" w:after="40"/>
              <w:rPr>
                <w:sz w:val="18"/>
                <w:szCs w:val="18"/>
              </w:rPr>
            </w:pPr>
          </w:p>
        </w:tc>
        <w:tc>
          <w:tcPr>
            <w:tcW w:w="1553" w:type="dxa"/>
            <w:tcBorders>
              <w:right w:val="nil"/>
            </w:tcBorders>
          </w:tcPr>
          <w:p w:rsidR="00DB73D0" w:rsidRPr="00CD35BB" w:rsidRDefault="00DB73D0" w:rsidP="00E17AC1">
            <w:pPr>
              <w:pStyle w:val="Normalpool"/>
              <w:spacing w:before="40" w:after="40"/>
              <w:rPr>
                <w:sz w:val="18"/>
                <w:szCs w:val="18"/>
              </w:rPr>
            </w:pPr>
            <w:r w:rsidRPr="00CD35BB">
              <w:rPr>
                <w:sz w:val="18"/>
                <w:szCs w:val="18"/>
              </w:rPr>
              <w:t>3300</w:t>
            </w:r>
          </w:p>
        </w:tc>
        <w:tc>
          <w:tcPr>
            <w:tcW w:w="6390" w:type="dxa"/>
            <w:tcBorders>
              <w:left w:val="nil"/>
              <w:bottom w:val="nil"/>
              <w:right w:val="nil"/>
            </w:tcBorders>
          </w:tcPr>
          <w:p w:rsidR="00DB73D0" w:rsidRPr="00CD35BB" w:rsidRDefault="00DB73D0" w:rsidP="00E17AC1">
            <w:pPr>
              <w:pStyle w:val="Normalpool"/>
              <w:spacing w:before="40" w:after="40"/>
              <w:rPr>
                <w:sz w:val="18"/>
                <w:szCs w:val="18"/>
              </w:rPr>
            </w:pPr>
            <w:r w:rsidRPr="00CD35BB">
              <w:rPr>
                <w:sz w:val="18"/>
                <w:szCs w:val="18"/>
              </w:rPr>
              <w:t>Travel of Article 5 participants:</w:t>
            </w:r>
          </w:p>
          <w:p w:rsidR="00DB73D0" w:rsidRPr="00CD35BB" w:rsidRDefault="00DB73D0" w:rsidP="00E17AC1">
            <w:pPr>
              <w:spacing w:before="40" w:after="40"/>
              <w:rPr>
                <w:sz w:val="18"/>
                <w:szCs w:val="18"/>
              </w:rPr>
            </w:pPr>
            <w:r w:rsidRPr="00CD35BB">
              <w:rPr>
                <w:sz w:val="18"/>
                <w:szCs w:val="18"/>
              </w:rPr>
              <w:t xml:space="preserve">Considering that the meeting of the Conference of the Parties to the Vienna Convention is normally held jointly with the Meeting of the Parties to the Montreal Protocol, participation costs are borne by the Trust Fund for the Montreal Protocol. </w:t>
            </w:r>
          </w:p>
          <w:p w:rsidR="00DB73D0" w:rsidRPr="00CD35BB" w:rsidRDefault="00DB73D0" w:rsidP="00E17AC1">
            <w:pPr>
              <w:spacing w:before="40" w:after="40"/>
              <w:rPr>
                <w:sz w:val="18"/>
                <w:szCs w:val="18"/>
              </w:rPr>
            </w:pPr>
            <w:r w:rsidRPr="00CD35BB">
              <w:rPr>
                <w:sz w:val="18"/>
                <w:szCs w:val="18"/>
              </w:rPr>
              <w:t>The Secretariat confirms that no funds from the budget lines in this section have been used to cover the cost of travel of representatives of non-Article 5 parties.</w:t>
            </w:r>
          </w:p>
        </w:tc>
      </w:tr>
      <w:tr w:rsidR="00DB73D0" w:rsidRPr="00DB6883" w:rsidTr="00E17AC1">
        <w:trPr>
          <w:trHeight w:val="429"/>
          <w:jc w:val="right"/>
        </w:trPr>
        <w:tc>
          <w:tcPr>
            <w:tcW w:w="1843" w:type="dxa"/>
            <w:vMerge/>
            <w:tcBorders>
              <w:right w:val="nil"/>
            </w:tcBorders>
          </w:tcPr>
          <w:p w:rsidR="00DB73D0" w:rsidRPr="00CD35BB" w:rsidRDefault="00DB73D0" w:rsidP="00E17AC1">
            <w:pPr>
              <w:spacing w:before="40" w:after="40"/>
              <w:rPr>
                <w:sz w:val="18"/>
                <w:szCs w:val="18"/>
              </w:rPr>
            </w:pPr>
          </w:p>
        </w:tc>
        <w:tc>
          <w:tcPr>
            <w:tcW w:w="1553" w:type="dxa"/>
            <w:tcBorders>
              <w:right w:val="nil"/>
            </w:tcBorders>
          </w:tcPr>
          <w:p w:rsidR="00DB73D0" w:rsidRPr="00CD35BB" w:rsidRDefault="00DB73D0" w:rsidP="00E17AC1">
            <w:pPr>
              <w:pStyle w:val="Normalpool"/>
              <w:spacing w:before="40" w:after="40"/>
              <w:rPr>
                <w:sz w:val="18"/>
                <w:szCs w:val="18"/>
              </w:rPr>
            </w:pPr>
            <w:r w:rsidRPr="00CD35BB">
              <w:rPr>
                <w:sz w:val="18"/>
                <w:szCs w:val="18"/>
              </w:rPr>
              <w:t>3304</w:t>
            </w:r>
          </w:p>
        </w:tc>
        <w:tc>
          <w:tcPr>
            <w:tcW w:w="6390" w:type="dxa"/>
            <w:tcBorders>
              <w:left w:val="nil"/>
              <w:bottom w:val="nil"/>
              <w:right w:val="nil"/>
            </w:tcBorders>
          </w:tcPr>
          <w:p w:rsidR="00DB73D0" w:rsidRPr="00CD35BB" w:rsidRDefault="00DB73D0" w:rsidP="00E17AC1">
            <w:pPr>
              <w:spacing w:before="40" w:after="40"/>
              <w:rPr>
                <w:sz w:val="18"/>
                <w:szCs w:val="18"/>
              </w:rPr>
            </w:pPr>
            <w:r w:rsidRPr="00CD35BB">
              <w:rPr>
                <w:sz w:val="18"/>
                <w:szCs w:val="18"/>
              </w:rPr>
              <w:t>Participation costs are based on two Bureau meetings, in 2017 and 2020 respectively, for four participants from developing countries or countries with economies in transition, being held back to back with the meeting of the Ozone Research Managers and the meeting of the Conference of the Parties to the Vienna Convention.</w:t>
            </w:r>
          </w:p>
        </w:tc>
      </w:tr>
      <w:tr w:rsidR="00DB73D0" w:rsidRPr="00DB6883" w:rsidTr="00E17AC1">
        <w:trPr>
          <w:trHeight w:val="429"/>
          <w:jc w:val="right"/>
        </w:trPr>
        <w:tc>
          <w:tcPr>
            <w:tcW w:w="1843" w:type="dxa"/>
            <w:vMerge/>
            <w:tcBorders>
              <w:right w:val="nil"/>
            </w:tcBorders>
          </w:tcPr>
          <w:p w:rsidR="00DB73D0" w:rsidRPr="00CD35BB" w:rsidRDefault="00DB73D0" w:rsidP="00E17AC1">
            <w:pPr>
              <w:spacing w:before="40" w:after="40"/>
              <w:rPr>
                <w:sz w:val="18"/>
                <w:szCs w:val="18"/>
              </w:rPr>
            </w:pPr>
          </w:p>
        </w:tc>
        <w:tc>
          <w:tcPr>
            <w:tcW w:w="1553" w:type="dxa"/>
            <w:tcBorders>
              <w:right w:val="nil"/>
            </w:tcBorders>
          </w:tcPr>
          <w:p w:rsidR="00DB73D0" w:rsidRPr="00CD35BB" w:rsidRDefault="00DB73D0" w:rsidP="00E17AC1">
            <w:pPr>
              <w:pStyle w:val="Normalpool"/>
              <w:spacing w:before="40" w:after="40"/>
              <w:rPr>
                <w:sz w:val="18"/>
                <w:szCs w:val="18"/>
              </w:rPr>
            </w:pPr>
            <w:r w:rsidRPr="00CD35BB">
              <w:rPr>
                <w:sz w:val="18"/>
                <w:szCs w:val="18"/>
              </w:rPr>
              <w:t>3307</w:t>
            </w:r>
          </w:p>
        </w:tc>
        <w:tc>
          <w:tcPr>
            <w:tcW w:w="6390" w:type="dxa"/>
            <w:tcBorders>
              <w:left w:val="nil"/>
              <w:bottom w:val="nil"/>
              <w:right w:val="nil"/>
            </w:tcBorders>
          </w:tcPr>
          <w:p w:rsidR="00DB73D0" w:rsidRPr="00CD35BB" w:rsidRDefault="00DB73D0" w:rsidP="00E17AC1">
            <w:pPr>
              <w:spacing w:before="40" w:after="40"/>
              <w:rPr>
                <w:sz w:val="18"/>
                <w:szCs w:val="18"/>
              </w:rPr>
            </w:pPr>
            <w:r w:rsidRPr="00CD35BB">
              <w:rPr>
                <w:sz w:val="18"/>
                <w:szCs w:val="18"/>
              </w:rPr>
              <w:t xml:space="preserve">For the tenth meeting of the Ozone Research Managers in 2017, the budget of $175,000 catered for the participation of 35 experts at an average cost of $5,000, taking into account not more than one person’s travel costs per country, using the most appropriate and advantageous economy-class fare and United Nations daily subsistence allowances. However, 53 participants were funded at an average cost of $2,500 (note, however, that the costs are being finalized at the time of preparing the present document). </w:t>
            </w:r>
          </w:p>
        </w:tc>
      </w:tr>
      <w:tr w:rsidR="00DB73D0" w:rsidRPr="00DB6883" w:rsidTr="00E17AC1">
        <w:trPr>
          <w:jc w:val="right"/>
        </w:trPr>
        <w:tc>
          <w:tcPr>
            <w:tcW w:w="1843" w:type="dxa"/>
            <w:tcBorders>
              <w:bottom w:val="nil"/>
              <w:right w:val="nil"/>
            </w:tcBorders>
          </w:tcPr>
          <w:p w:rsidR="00DB73D0" w:rsidRPr="00CD35BB" w:rsidRDefault="00DB73D0" w:rsidP="00E17AC1">
            <w:pPr>
              <w:keepNext/>
              <w:keepLines/>
              <w:spacing w:before="40" w:after="40"/>
              <w:rPr>
                <w:sz w:val="18"/>
                <w:szCs w:val="18"/>
              </w:rPr>
            </w:pPr>
            <w:r w:rsidRPr="00CD35BB">
              <w:rPr>
                <w:sz w:val="18"/>
                <w:szCs w:val="18"/>
              </w:rPr>
              <w:t xml:space="preserve">Travel on official business </w:t>
            </w:r>
          </w:p>
        </w:tc>
        <w:tc>
          <w:tcPr>
            <w:tcW w:w="1553" w:type="dxa"/>
            <w:tcBorders>
              <w:bottom w:val="nil"/>
              <w:right w:val="nil"/>
            </w:tcBorders>
          </w:tcPr>
          <w:p w:rsidR="00DB73D0" w:rsidRPr="00CD35BB" w:rsidRDefault="00DB73D0" w:rsidP="00E17AC1">
            <w:pPr>
              <w:keepNext/>
              <w:keepLines/>
              <w:spacing w:before="40" w:after="40"/>
              <w:rPr>
                <w:sz w:val="18"/>
                <w:szCs w:val="18"/>
              </w:rPr>
            </w:pPr>
            <w:r w:rsidRPr="00CD35BB">
              <w:rPr>
                <w:sz w:val="18"/>
                <w:szCs w:val="18"/>
              </w:rPr>
              <w:t>1600</w:t>
            </w:r>
          </w:p>
        </w:tc>
        <w:tc>
          <w:tcPr>
            <w:tcW w:w="6390" w:type="dxa"/>
            <w:tcBorders>
              <w:left w:val="nil"/>
              <w:bottom w:val="nil"/>
            </w:tcBorders>
          </w:tcPr>
          <w:p w:rsidR="00DB73D0" w:rsidRPr="00CD35BB" w:rsidRDefault="00DB73D0" w:rsidP="00E17AC1">
            <w:pPr>
              <w:keepNext/>
              <w:keepLines/>
              <w:spacing w:before="40" w:after="40"/>
              <w:rPr>
                <w:sz w:val="18"/>
                <w:szCs w:val="18"/>
              </w:rPr>
            </w:pPr>
            <w:r w:rsidRPr="00CD35BB">
              <w:rPr>
                <w:sz w:val="18"/>
                <w:szCs w:val="18"/>
              </w:rPr>
              <w:t>The budgets include travel of Secretariat officers in connection with the organization of the meetings of the Ozone Research Managers and the meetings of the Conference of the Parties, in addition to travel related to the provision of support to network and capacity</w:t>
            </w:r>
            <w:r w:rsidRPr="00CD35BB">
              <w:rPr>
                <w:sz w:val="18"/>
                <w:szCs w:val="18"/>
              </w:rPr>
              <w:noBreakHyphen/>
              <w:t>building meetings.</w:t>
            </w:r>
          </w:p>
        </w:tc>
      </w:tr>
      <w:tr w:rsidR="00DB73D0" w:rsidRPr="00DB6883" w:rsidTr="00E17AC1">
        <w:trPr>
          <w:jc w:val="right"/>
        </w:trPr>
        <w:tc>
          <w:tcPr>
            <w:tcW w:w="1843" w:type="dxa"/>
            <w:tcBorders>
              <w:top w:val="nil"/>
              <w:bottom w:val="nil"/>
              <w:right w:val="nil"/>
            </w:tcBorders>
          </w:tcPr>
          <w:p w:rsidR="00DB73D0" w:rsidRPr="00CD35BB" w:rsidRDefault="00DB73D0" w:rsidP="00E17AC1">
            <w:pPr>
              <w:pStyle w:val="NormalWeb"/>
              <w:spacing w:before="40" w:beforeAutospacing="0" w:after="40" w:afterAutospacing="0"/>
              <w:rPr>
                <w:sz w:val="18"/>
                <w:szCs w:val="18"/>
              </w:rPr>
            </w:pPr>
            <w:r w:rsidRPr="00CD35BB">
              <w:rPr>
                <w:sz w:val="18"/>
                <w:szCs w:val="18"/>
              </w:rPr>
              <w:t xml:space="preserve">Other operating costs: </w:t>
            </w:r>
            <w:r w:rsidRPr="00CD35BB">
              <w:rPr>
                <w:sz w:val="18"/>
                <w:szCs w:val="18"/>
              </w:rPr>
              <w:lastRenderedPageBreak/>
              <w:t>consumables and supplies</w:t>
            </w:r>
          </w:p>
        </w:tc>
        <w:tc>
          <w:tcPr>
            <w:tcW w:w="1553" w:type="dxa"/>
            <w:tcBorders>
              <w:top w:val="nil"/>
              <w:bottom w:val="nil"/>
              <w:right w:val="nil"/>
            </w:tcBorders>
          </w:tcPr>
          <w:p w:rsidR="00DB73D0" w:rsidRPr="00CD35BB" w:rsidRDefault="00DB73D0" w:rsidP="00E17AC1">
            <w:pPr>
              <w:pStyle w:val="Normalpool"/>
              <w:spacing w:before="40" w:after="40"/>
              <w:rPr>
                <w:sz w:val="18"/>
                <w:szCs w:val="18"/>
              </w:rPr>
            </w:pPr>
          </w:p>
        </w:tc>
        <w:tc>
          <w:tcPr>
            <w:tcW w:w="6390" w:type="dxa"/>
            <w:tcBorders>
              <w:top w:val="nil"/>
              <w:left w:val="nil"/>
              <w:bottom w:val="nil"/>
            </w:tcBorders>
          </w:tcPr>
          <w:p w:rsidR="00DB73D0" w:rsidRPr="00CD35BB" w:rsidRDefault="00DB73D0" w:rsidP="00E17AC1">
            <w:pPr>
              <w:pStyle w:val="Normalpool"/>
              <w:spacing w:before="40" w:after="40"/>
              <w:rPr>
                <w:sz w:val="18"/>
                <w:szCs w:val="18"/>
              </w:rPr>
            </w:pPr>
            <w:r w:rsidRPr="00CD35BB">
              <w:rPr>
                <w:sz w:val="18"/>
                <w:szCs w:val="18"/>
              </w:rPr>
              <w:t xml:space="preserve">The section includes expendable equipment, non-expendable equipment and rental of </w:t>
            </w:r>
            <w:r w:rsidRPr="00CD35BB">
              <w:rPr>
                <w:sz w:val="18"/>
                <w:szCs w:val="18"/>
              </w:rPr>
              <w:lastRenderedPageBreak/>
              <w:t xml:space="preserve">office premises, operation and maintenance of equipment, reporting costs, communication, freight and the costs of Ozone Day celebrations. </w:t>
            </w:r>
          </w:p>
        </w:tc>
      </w:tr>
      <w:tr w:rsidR="00DB73D0" w:rsidRPr="00DB6883" w:rsidTr="00E17AC1">
        <w:trPr>
          <w:trHeight w:val="507"/>
          <w:jc w:val="right"/>
        </w:trPr>
        <w:tc>
          <w:tcPr>
            <w:tcW w:w="1843" w:type="dxa"/>
            <w:vMerge w:val="restart"/>
            <w:tcBorders>
              <w:top w:val="nil"/>
              <w:bottom w:val="single" w:sz="12" w:space="0" w:color="auto"/>
              <w:right w:val="nil"/>
            </w:tcBorders>
          </w:tcPr>
          <w:p w:rsidR="00DB73D0" w:rsidRPr="00CD35BB" w:rsidRDefault="00DB73D0" w:rsidP="00E17AC1">
            <w:pPr>
              <w:pStyle w:val="NormalWeb"/>
              <w:spacing w:before="40" w:beforeAutospacing="0" w:after="40" w:afterAutospacing="0"/>
              <w:rPr>
                <w:sz w:val="18"/>
                <w:szCs w:val="18"/>
              </w:rPr>
            </w:pPr>
          </w:p>
        </w:tc>
        <w:tc>
          <w:tcPr>
            <w:tcW w:w="1553" w:type="dxa"/>
            <w:tcBorders>
              <w:top w:val="nil"/>
              <w:right w:val="nil"/>
            </w:tcBorders>
          </w:tcPr>
          <w:p w:rsidR="00DB73D0" w:rsidRPr="00CD35BB" w:rsidRDefault="00DB73D0" w:rsidP="00E17AC1">
            <w:pPr>
              <w:pStyle w:val="NormalWeb"/>
              <w:spacing w:before="40" w:beforeAutospacing="0" w:after="40" w:afterAutospacing="0"/>
              <w:rPr>
                <w:sz w:val="18"/>
                <w:szCs w:val="18"/>
              </w:rPr>
            </w:pPr>
            <w:r w:rsidRPr="00CD35BB">
              <w:rPr>
                <w:sz w:val="18"/>
                <w:szCs w:val="18"/>
              </w:rPr>
              <w:t xml:space="preserve">4100–4205 and 5101 </w:t>
            </w:r>
          </w:p>
        </w:tc>
        <w:tc>
          <w:tcPr>
            <w:tcW w:w="6390" w:type="dxa"/>
            <w:tcBorders>
              <w:top w:val="nil"/>
              <w:left w:val="nil"/>
              <w:bottom w:val="nil"/>
            </w:tcBorders>
          </w:tcPr>
          <w:p w:rsidR="00DB73D0" w:rsidRPr="00CD35BB" w:rsidRDefault="00DB73D0" w:rsidP="00E17AC1">
            <w:pPr>
              <w:spacing w:before="40" w:after="40"/>
              <w:rPr>
                <w:sz w:val="18"/>
                <w:szCs w:val="18"/>
              </w:rPr>
            </w:pPr>
            <w:r w:rsidRPr="00CD35BB">
              <w:rPr>
                <w:sz w:val="18"/>
                <w:szCs w:val="18"/>
              </w:rPr>
              <w:t xml:space="preserve">The budgets for expendable equipment, office equipment, </w:t>
            </w:r>
            <w:proofErr w:type="gramStart"/>
            <w:r w:rsidRPr="00CD35BB">
              <w:rPr>
                <w:sz w:val="18"/>
                <w:szCs w:val="18"/>
              </w:rPr>
              <w:t>equipment</w:t>
            </w:r>
            <w:proofErr w:type="gramEnd"/>
            <w:r w:rsidRPr="00CD35BB">
              <w:rPr>
                <w:sz w:val="18"/>
                <w:szCs w:val="18"/>
              </w:rPr>
              <w:t xml:space="preserve"> for peripherals for paperless conferences and operation and maintenance of equipment have been maintained at the approved 2017 levels. </w:t>
            </w:r>
          </w:p>
          <w:p w:rsidR="00DB73D0" w:rsidRPr="00933176" w:rsidRDefault="00DB73D0" w:rsidP="00E17AC1">
            <w:pPr>
              <w:pStyle w:val="NormalWeb"/>
              <w:spacing w:before="40" w:beforeAutospacing="0" w:after="40" w:afterAutospacing="0"/>
              <w:rPr>
                <w:sz w:val="18"/>
                <w:szCs w:val="18"/>
              </w:rPr>
            </w:pPr>
            <w:r w:rsidRPr="00CD35BB">
              <w:rPr>
                <w:sz w:val="18"/>
                <w:szCs w:val="18"/>
              </w:rPr>
              <w:t xml:space="preserve">The Secretariat is maintaining its electronic data processing systems to make the documentation of the Protocol and the Convention available electronically to the parties. </w:t>
            </w:r>
            <w:r w:rsidRPr="00933176">
              <w:rPr>
                <w:sz w:val="18"/>
                <w:szCs w:val="18"/>
              </w:rPr>
              <w:t>This requires periodic procurement of necessary peripherals and software licences and updating of existing computer servers.</w:t>
            </w:r>
          </w:p>
          <w:p w:rsidR="00DB73D0" w:rsidRPr="00CD35BB" w:rsidRDefault="00DB73D0" w:rsidP="00E17AC1">
            <w:pPr>
              <w:pStyle w:val="NormalWeb"/>
              <w:spacing w:before="40" w:beforeAutospacing="0" w:after="40" w:afterAutospacing="0"/>
              <w:rPr>
                <w:sz w:val="18"/>
                <w:szCs w:val="18"/>
              </w:rPr>
            </w:pPr>
            <w:r w:rsidRPr="00933176">
              <w:rPr>
                <w:sz w:val="18"/>
                <w:szCs w:val="18"/>
              </w:rPr>
              <w:t>A minimum provision has been made to enable the Secretariat to replace some equipment each year</w:t>
            </w:r>
            <w:r w:rsidRPr="00CD35BB">
              <w:rPr>
                <w:sz w:val="18"/>
                <w:szCs w:val="18"/>
              </w:rPr>
              <w:t xml:space="preserve">. </w:t>
            </w:r>
          </w:p>
        </w:tc>
      </w:tr>
      <w:tr w:rsidR="00DB73D0" w:rsidRPr="00DB6883" w:rsidTr="00E17AC1">
        <w:trPr>
          <w:trHeight w:val="505"/>
          <w:jc w:val="right"/>
        </w:trPr>
        <w:tc>
          <w:tcPr>
            <w:tcW w:w="1843" w:type="dxa"/>
            <w:vMerge/>
            <w:tcBorders>
              <w:bottom w:val="single" w:sz="12" w:space="0" w:color="auto"/>
              <w:right w:val="nil"/>
            </w:tcBorders>
          </w:tcPr>
          <w:p w:rsidR="00DB73D0" w:rsidRPr="00CD35BB" w:rsidRDefault="00DB73D0" w:rsidP="00E17AC1">
            <w:pPr>
              <w:pStyle w:val="NormalWeb"/>
              <w:spacing w:before="40" w:beforeAutospacing="0" w:after="40" w:afterAutospacing="0"/>
              <w:rPr>
                <w:sz w:val="18"/>
                <w:szCs w:val="18"/>
              </w:rPr>
            </w:pPr>
          </w:p>
        </w:tc>
        <w:tc>
          <w:tcPr>
            <w:tcW w:w="1553" w:type="dxa"/>
            <w:tcBorders>
              <w:right w:val="nil"/>
            </w:tcBorders>
          </w:tcPr>
          <w:p w:rsidR="00DB73D0" w:rsidRPr="00CD35BB" w:rsidRDefault="00DB73D0" w:rsidP="00E17AC1">
            <w:pPr>
              <w:pStyle w:val="NormalWeb"/>
              <w:spacing w:before="40" w:beforeAutospacing="0" w:after="40" w:afterAutospacing="0"/>
              <w:rPr>
                <w:sz w:val="18"/>
                <w:szCs w:val="18"/>
              </w:rPr>
            </w:pPr>
            <w:r w:rsidRPr="00CD35BB">
              <w:rPr>
                <w:sz w:val="18"/>
                <w:szCs w:val="18"/>
              </w:rPr>
              <w:t>4300</w:t>
            </w:r>
          </w:p>
        </w:tc>
        <w:tc>
          <w:tcPr>
            <w:tcW w:w="6390" w:type="dxa"/>
            <w:tcBorders>
              <w:top w:val="nil"/>
              <w:left w:val="nil"/>
              <w:bottom w:val="nil"/>
            </w:tcBorders>
          </w:tcPr>
          <w:p w:rsidR="00DB73D0" w:rsidRPr="00CD35BB" w:rsidRDefault="00DB73D0" w:rsidP="00E17AC1">
            <w:pPr>
              <w:spacing w:before="40" w:after="40"/>
              <w:rPr>
                <w:color w:val="000000"/>
                <w:sz w:val="18"/>
                <w:szCs w:val="18"/>
              </w:rPr>
            </w:pPr>
            <w:r w:rsidRPr="00CD35BB">
              <w:rPr>
                <w:color w:val="000000"/>
                <w:sz w:val="18"/>
                <w:szCs w:val="18"/>
              </w:rPr>
              <w:t xml:space="preserve">The rental cost is shared with </w:t>
            </w:r>
            <w:r w:rsidRPr="00CD35BB">
              <w:rPr>
                <w:sz w:val="18"/>
                <w:szCs w:val="18"/>
              </w:rPr>
              <w:t>the Trust Fund for the Montreal Protocol.</w:t>
            </w:r>
            <w:r w:rsidRPr="00CD35BB">
              <w:rPr>
                <w:color w:val="000000"/>
                <w:sz w:val="18"/>
                <w:szCs w:val="18"/>
              </w:rPr>
              <w:t xml:space="preserve"> The budgets </w:t>
            </w:r>
            <w:r w:rsidRPr="00CD35BB">
              <w:rPr>
                <w:sz w:val="18"/>
                <w:szCs w:val="18"/>
              </w:rPr>
              <w:t>are</w:t>
            </w:r>
            <w:r w:rsidRPr="00CD35BB">
              <w:rPr>
                <w:color w:val="000000"/>
                <w:sz w:val="18"/>
                <w:szCs w:val="18"/>
              </w:rPr>
              <w:t xml:space="preserve"> maintained at the approved 2017 level. Nairobi rental rates are determined by the United Nations Controller.  </w:t>
            </w:r>
          </w:p>
        </w:tc>
      </w:tr>
      <w:tr w:rsidR="00DB73D0" w:rsidRPr="00DB6883" w:rsidTr="00E17AC1">
        <w:trPr>
          <w:trHeight w:val="505"/>
          <w:jc w:val="right"/>
        </w:trPr>
        <w:tc>
          <w:tcPr>
            <w:tcW w:w="1843" w:type="dxa"/>
            <w:vMerge/>
            <w:tcBorders>
              <w:bottom w:val="single" w:sz="12" w:space="0" w:color="auto"/>
              <w:right w:val="nil"/>
            </w:tcBorders>
          </w:tcPr>
          <w:p w:rsidR="00DB73D0" w:rsidRPr="00CD35BB" w:rsidRDefault="00DB73D0" w:rsidP="00E17AC1">
            <w:pPr>
              <w:pStyle w:val="NormalWeb"/>
              <w:spacing w:before="40" w:beforeAutospacing="0" w:after="40" w:afterAutospacing="0"/>
              <w:rPr>
                <w:sz w:val="18"/>
                <w:szCs w:val="18"/>
              </w:rPr>
            </w:pPr>
          </w:p>
        </w:tc>
        <w:tc>
          <w:tcPr>
            <w:tcW w:w="1553" w:type="dxa"/>
            <w:tcBorders>
              <w:bottom w:val="nil"/>
              <w:right w:val="nil"/>
            </w:tcBorders>
          </w:tcPr>
          <w:p w:rsidR="00DB73D0" w:rsidRPr="00CD35BB" w:rsidRDefault="00DB73D0" w:rsidP="00E17AC1">
            <w:pPr>
              <w:pStyle w:val="NormalWeb"/>
              <w:spacing w:before="40" w:beforeAutospacing="0" w:after="40" w:afterAutospacing="0"/>
              <w:rPr>
                <w:sz w:val="18"/>
                <w:szCs w:val="18"/>
              </w:rPr>
            </w:pPr>
            <w:r w:rsidRPr="00CD35BB">
              <w:rPr>
                <w:sz w:val="18"/>
                <w:szCs w:val="18"/>
              </w:rPr>
              <w:t>5200–5202</w:t>
            </w:r>
          </w:p>
        </w:tc>
        <w:tc>
          <w:tcPr>
            <w:tcW w:w="6390" w:type="dxa"/>
            <w:tcBorders>
              <w:top w:val="nil"/>
              <w:left w:val="nil"/>
              <w:bottom w:val="nil"/>
            </w:tcBorders>
          </w:tcPr>
          <w:p w:rsidR="00DB73D0" w:rsidRPr="00CD35BB" w:rsidRDefault="00DB73D0" w:rsidP="00E17AC1">
            <w:pPr>
              <w:spacing w:before="40" w:after="40"/>
              <w:rPr>
                <w:color w:val="000000"/>
                <w:sz w:val="18"/>
                <w:szCs w:val="18"/>
              </w:rPr>
            </w:pPr>
            <w:r w:rsidRPr="00CD35BB">
              <w:rPr>
                <w:color w:val="000000"/>
                <w:sz w:val="18"/>
                <w:szCs w:val="18"/>
              </w:rPr>
              <w:t xml:space="preserve">Reporting costs in 2017 and 2020 cater for the report of the meeting of the Ozone Research Managers, which is being reduced in 2017 and 2020 from $10,000 to $5,000, due to savings on printing and distribution since the document is distributed in electronic format. </w:t>
            </w:r>
          </w:p>
          <w:p w:rsidR="00DB73D0" w:rsidRPr="00CD35BB" w:rsidRDefault="00DB73D0" w:rsidP="00E17AC1">
            <w:pPr>
              <w:spacing w:before="40" w:after="40"/>
              <w:rPr>
                <w:color w:val="000000"/>
                <w:sz w:val="18"/>
                <w:szCs w:val="18"/>
              </w:rPr>
            </w:pPr>
            <w:r w:rsidRPr="00CD35BB">
              <w:rPr>
                <w:sz w:val="18"/>
                <w:szCs w:val="18"/>
              </w:rPr>
              <w:t>Other</w:t>
            </w:r>
            <w:r w:rsidRPr="00CD35BB">
              <w:rPr>
                <w:color w:val="000000"/>
                <w:sz w:val="18"/>
                <w:szCs w:val="18"/>
              </w:rPr>
              <w:t xml:space="preserve"> general reporting costs that cover editing and translation of general documents, among other things, are maintained at the approved level of $7,500. </w:t>
            </w:r>
          </w:p>
        </w:tc>
      </w:tr>
      <w:tr w:rsidR="00DB73D0" w:rsidRPr="00DB6883" w:rsidTr="00E17AC1">
        <w:trPr>
          <w:trHeight w:val="505"/>
          <w:jc w:val="right"/>
        </w:trPr>
        <w:tc>
          <w:tcPr>
            <w:tcW w:w="1843" w:type="dxa"/>
            <w:vMerge/>
            <w:tcBorders>
              <w:bottom w:val="single" w:sz="12" w:space="0" w:color="auto"/>
              <w:right w:val="nil"/>
            </w:tcBorders>
          </w:tcPr>
          <w:p w:rsidR="00DB73D0" w:rsidRPr="00CD35BB" w:rsidRDefault="00DB73D0" w:rsidP="00E17AC1">
            <w:pPr>
              <w:pStyle w:val="NormalWeb"/>
              <w:spacing w:before="40" w:beforeAutospacing="0" w:after="40" w:afterAutospacing="0"/>
              <w:rPr>
                <w:sz w:val="18"/>
                <w:szCs w:val="18"/>
              </w:rPr>
            </w:pPr>
          </w:p>
        </w:tc>
        <w:tc>
          <w:tcPr>
            <w:tcW w:w="1553" w:type="dxa"/>
            <w:tcBorders>
              <w:bottom w:val="single" w:sz="12" w:space="0" w:color="auto"/>
              <w:right w:val="nil"/>
            </w:tcBorders>
          </w:tcPr>
          <w:p w:rsidR="00DB73D0" w:rsidRPr="00CD35BB" w:rsidRDefault="00DB73D0" w:rsidP="00E17AC1">
            <w:pPr>
              <w:pStyle w:val="NormalWeb"/>
              <w:spacing w:before="40" w:beforeAutospacing="0" w:after="40" w:afterAutospacing="0"/>
              <w:rPr>
                <w:sz w:val="18"/>
                <w:szCs w:val="18"/>
              </w:rPr>
            </w:pPr>
            <w:r w:rsidRPr="00CD35BB">
              <w:rPr>
                <w:sz w:val="18"/>
                <w:szCs w:val="18"/>
              </w:rPr>
              <w:t>5300</w:t>
            </w:r>
          </w:p>
        </w:tc>
        <w:tc>
          <w:tcPr>
            <w:tcW w:w="6390" w:type="dxa"/>
            <w:tcBorders>
              <w:top w:val="nil"/>
              <w:left w:val="nil"/>
              <w:bottom w:val="single" w:sz="12" w:space="0" w:color="auto"/>
            </w:tcBorders>
          </w:tcPr>
          <w:p w:rsidR="00DB73D0" w:rsidRPr="00CD35BB" w:rsidRDefault="00DB73D0" w:rsidP="00E17AC1">
            <w:pPr>
              <w:spacing w:before="40" w:after="40"/>
              <w:rPr>
                <w:sz w:val="18"/>
                <w:szCs w:val="18"/>
              </w:rPr>
            </w:pPr>
            <w:r w:rsidRPr="00CD35BB">
              <w:rPr>
                <w:color w:val="000000"/>
                <w:sz w:val="18"/>
                <w:szCs w:val="18"/>
              </w:rPr>
              <w:t xml:space="preserve">Sundry </w:t>
            </w:r>
            <w:r w:rsidRPr="00CD35BB">
              <w:rPr>
                <w:sz w:val="18"/>
                <w:szCs w:val="18"/>
              </w:rPr>
              <w:t>includes</w:t>
            </w:r>
            <w:r w:rsidRPr="00CD35BB">
              <w:rPr>
                <w:color w:val="000000"/>
                <w:sz w:val="18"/>
                <w:szCs w:val="18"/>
              </w:rPr>
              <w:t xml:space="preserve"> communications, freight and Ozone Day celebration costs of $20,000, $15,000 and $5,000, respectively, and these are maintained at the approved 2017 level. </w:t>
            </w:r>
          </w:p>
        </w:tc>
      </w:tr>
    </w:tbl>
    <w:p w:rsidR="00DB73D0" w:rsidRPr="00DB6883" w:rsidRDefault="00DB73D0" w:rsidP="00DB73D0">
      <w:pPr>
        <w:pStyle w:val="NormalNonumber"/>
      </w:pPr>
    </w:p>
    <w:p w:rsidR="00DB73D0" w:rsidRPr="00DB6883" w:rsidRDefault="00DB73D0" w:rsidP="00DB73D0">
      <w:r w:rsidRPr="00DB6883">
        <w:br w:type="page"/>
      </w:r>
    </w:p>
    <w:p w:rsidR="00DB73D0" w:rsidRPr="00D7008A" w:rsidRDefault="00DB73D0" w:rsidP="00CD35BB">
      <w:pPr>
        <w:pStyle w:val="ZZAnxheader"/>
        <w:rPr>
          <w:lang w:eastAsia="zh-CN"/>
        </w:rPr>
      </w:pPr>
      <w:r w:rsidRPr="00535E7E">
        <w:rPr>
          <w:lang w:eastAsia="zh-CN"/>
        </w:rPr>
        <w:lastRenderedPageBreak/>
        <w:t>Annex II</w:t>
      </w:r>
    </w:p>
    <w:p w:rsidR="00DB73D0" w:rsidRPr="004E7D79" w:rsidRDefault="00DB73D0" w:rsidP="00CD35BB">
      <w:pPr>
        <w:pStyle w:val="ZZAnxtitle"/>
        <w:rPr>
          <w:lang w:eastAsia="zh-CN"/>
        </w:rPr>
      </w:pPr>
      <w:r w:rsidRPr="004E7D79">
        <w:rPr>
          <w:lang w:eastAsia="zh-CN"/>
        </w:rPr>
        <w:t xml:space="preserve">Contributions by the parties to the Trust Fund for the Vienna Convention for the Protection of the Ozone Layer </w:t>
      </w:r>
    </w:p>
    <w:tbl>
      <w:tblPr>
        <w:tblW w:w="9088" w:type="dxa"/>
        <w:tblInd w:w="624" w:type="dxa"/>
        <w:tblLook w:val="04A0" w:firstRow="1" w:lastRow="0" w:firstColumn="1" w:lastColumn="0" w:noHBand="0" w:noVBand="1"/>
      </w:tblPr>
      <w:tblGrid>
        <w:gridCol w:w="618"/>
        <w:gridCol w:w="3578"/>
        <w:gridCol w:w="1077"/>
        <w:gridCol w:w="1057"/>
        <w:gridCol w:w="1355"/>
        <w:gridCol w:w="1403"/>
      </w:tblGrid>
      <w:tr w:rsidR="00DB73D0" w:rsidRPr="00DB6883" w:rsidTr="00715700">
        <w:trPr>
          <w:trHeight w:val="463"/>
          <w:tblHeader/>
        </w:trPr>
        <w:tc>
          <w:tcPr>
            <w:tcW w:w="618" w:type="dxa"/>
            <w:tcBorders>
              <w:top w:val="single" w:sz="4" w:space="0" w:color="auto"/>
              <w:bottom w:val="single" w:sz="12" w:space="0" w:color="auto"/>
            </w:tcBorders>
            <w:shd w:val="clear" w:color="auto" w:fill="auto"/>
            <w:noWrap/>
            <w:hideMark/>
          </w:tcPr>
          <w:p w:rsidR="00DB73D0" w:rsidRPr="004E7D79" w:rsidRDefault="00DB73D0" w:rsidP="006A67BA">
            <w:pPr>
              <w:jc w:val="center"/>
              <w:rPr>
                <w:b/>
                <w:bCs/>
                <w:sz w:val="18"/>
                <w:szCs w:val="18"/>
              </w:rPr>
            </w:pPr>
            <w:r w:rsidRPr="004E7D79">
              <w:rPr>
                <w:b/>
                <w:bCs/>
                <w:sz w:val="18"/>
                <w:szCs w:val="18"/>
              </w:rPr>
              <w:t> </w:t>
            </w:r>
          </w:p>
        </w:tc>
        <w:tc>
          <w:tcPr>
            <w:tcW w:w="3578" w:type="dxa"/>
            <w:tcBorders>
              <w:top w:val="single" w:sz="4" w:space="0" w:color="auto"/>
              <w:bottom w:val="single" w:sz="12" w:space="0" w:color="auto"/>
            </w:tcBorders>
            <w:shd w:val="clear" w:color="auto" w:fill="auto"/>
            <w:noWrap/>
            <w:hideMark/>
          </w:tcPr>
          <w:p w:rsidR="00DB73D0" w:rsidRPr="004E7D79" w:rsidRDefault="00DB73D0" w:rsidP="00E17AC1">
            <w:pPr>
              <w:rPr>
                <w:bCs/>
                <w:i/>
                <w:sz w:val="18"/>
                <w:szCs w:val="18"/>
              </w:rPr>
            </w:pPr>
            <w:r w:rsidRPr="004E7D79">
              <w:rPr>
                <w:bCs/>
                <w:i/>
                <w:sz w:val="18"/>
                <w:szCs w:val="18"/>
              </w:rPr>
              <w:t>Party</w:t>
            </w:r>
          </w:p>
        </w:tc>
        <w:tc>
          <w:tcPr>
            <w:tcW w:w="1077" w:type="dxa"/>
            <w:tcBorders>
              <w:top w:val="single" w:sz="4" w:space="0" w:color="auto"/>
              <w:bottom w:val="single" w:sz="12" w:space="0" w:color="auto"/>
            </w:tcBorders>
            <w:shd w:val="clear" w:color="auto" w:fill="auto"/>
            <w:hideMark/>
          </w:tcPr>
          <w:p w:rsidR="00DB73D0" w:rsidRPr="004E7D79" w:rsidRDefault="00DB73D0" w:rsidP="006A67BA">
            <w:pPr>
              <w:jc w:val="center"/>
              <w:rPr>
                <w:bCs/>
                <w:i/>
                <w:sz w:val="18"/>
                <w:szCs w:val="18"/>
              </w:rPr>
            </w:pPr>
            <w:r w:rsidRPr="004E7D79">
              <w:rPr>
                <w:bCs/>
                <w:i/>
                <w:sz w:val="18"/>
                <w:szCs w:val="18"/>
              </w:rPr>
              <w:t xml:space="preserve">Adjusted United Nations scale </w:t>
            </w:r>
            <w:r>
              <w:rPr>
                <w:bCs/>
                <w:i/>
                <w:sz w:val="18"/>
                <w:szCs w:val="18"/>
              </w:rPr>
              <w:br/>
            </w:r>
            <w:r w:rsidRPr="004E7D79">
              <w:rPr>
                <w:bCs/>
                <w:i/>
                <w:sz w:val="18"/>
                <w:szCs w:val="18"/>
              </w:rPr>
              <w:t>2018–2020</w:t>
            </w:r>
          </w:p>
        </w:tc>
        <w:tc>
          <w:tcPr>
            <w:tcW w:w="1057" w:type="dxa"/>
            <w:tcBorders>
              <w:top w:val="single" w:sz="4" w:space="0" w:color="auto"/>
              <w:bottom w:val="single" w:sz="12" w:space="0" w:color="auto"/>
            </w:tcBorders>
            <w:shd w:val="clear" w:color="auto" w:fill="auto"/>
            <w:hideMark/>
          </w:tcPr>
          <w:p w:rsidR="00DB73D0" w:rsidRPr="004E7D79" w:rsidRDefault="00DB73D0" w:rsidP="006A67BA">
            <w:pPr>
              <w:jc w:val="right"/>
              <w:rPr>
                <w:bCs/>
                <w:i/>
                <w:sz w:val="18"/>
                <w:szCs w:val="18"/>
              </w:rPr>
            </w:pPr>
            <w:r w:rsidRPr="004E7D79">
              <w:rPr>
                <w:bCs/>
                <w:i/>
                <w:sz w:val="18"/>
                <w:szCs w:val="18"/>
              </w:rPr>
              <w:t>2018</w:t>
            </w:r>
          </w:p>
        </w:tc>
        <w:tc>
          <w:tcPr>
            <w:tcW w:w="1355" w:type="dxa"/>
            <w:tcBorders>
              <w:top w:val="single" w:sz="4" w:space="0" w:color="auto"/>
              <w:bottom w:val="single" w:sz="12" w:space="0" w:color="auto"/>
            </w:tcBorders>
            <w:shd w:val="clear" w:color="auto" w:fill="auto"/>
            <w:noWrap/>
            <w:hideMark/>
          </w:tcPr>
          <w:p w:rsidR="00DB73D0" w:rsidRPr="004E7D79" w:rsidRDefault="00DB73D0" w:rsidP="006A67BA">
            <w:pPr>
              <w:jc w:val="right"/>
              <w:rPr>
                <w:bCs/>
                <w:i/>
                <w:sz w:val="18"/>
                <w:szCs w:val="18"/>
              </w:rPr>
            </w:pPr>
            <w:r w:rsidRPr="004E7D79">
              <w:rPr>
                <w:bCs/>
                <w:i/>
                <w:sz w:val="18"/>
                <w:szCs w:val="18"/>
              </w:rPr>
              <w:t>2019</w:t>
            </w:r>
          </w:p>
        </w:tc>
        <w:tc>
          <w:tcPr>
            <w:tcW w:w="1403" w:type="dxa"/>
            <w:tcBorders>
              <w:top w:val="single" w:sz="4" w:space="0" w:color="auto"/>
              <w:bottom w:val="single" w:sz="12" w:space="0" w:color="auto"/>
            </w:tcBorders>
            <w:shd w:val="clear" w:color="auto" w:fill="auto"/>
            <w:noWrap/>
            <w:hideMark/>
          </w:tcPr>
          <w:p w:rsidR="00DB73D0" w:rsidRPr="004E7D79" w:rsidRDefault="00DB73D0" w:rsidP="006A67BA">
            <w:pPr>
              <w:jc w:val="right"/>
              <w:rPr>
                <w:bCs/>
                <w:i/>
                <w:sz w:val="18"/>
                <w:szCs w:val="18"/>
              </w:rPr>
            </w:pPr>
            <w:r w:rsidRPr="004E7D79">
              <w:rPr>
                <w:bCs/>
                <w:i/>
                <w:sz w:val="18"/>
                <w:szCs w:val="18"/>
              </w:rPr>
              <w:t>2020</w:t>
            </w:r>
          </w:p>
        </w:tc>
      </w:tr>
      <w:tr w:rsidR="00DB73D0" w:rsidRPr="00DB6883" w:rsidTr="00715700">
        <w:trPr>
          <w:trHeight w:val="300"/>
        </w:trPr>
        <w:tc>
          <w:tcPr>
            <w:tcW w:w="618" w:type="dxa"/>
            <w:tcBorders>
              <w:top w:val="single" w:sz="12" w:space="0" w:color="auto"/>
            </w:tcBorders>
            <w:shd w:val="clear" w:color="auto" w:fill="auto"/>
            <w:noWrap/>
            <w:hideMark/>
          </w:tcPr>
          <w:p w:rsidR="00DB73D0" w:rsidRPr="004E7D79" w:rsidRDefault="00DB73D0" w:rsidP="006A67BA">
            <w:pPr>
              <w:jc w:val="right"/>
              <w:rPr>
                <w:sz w:val="18"/>
                <w:szCs w:val="18"/>
              </w:rPr>
            </w:pPr>
            <w:r w:rsidRPr="004E7D79">
              <w:rPr>
                <w:sz w:val="18"/>
                <w:szCs w:val="18"/>
              </w:rPr>
              <w:t>1</w:t>
            </w:r>
          </w:p>
        </w:tc>
        <w:tc>
          <w:tcPr>
            <w:tcW w:w="3578" w:type="dxa"/>
            <w:tcBorders>
              <w:top w:val="single" w:sz="12" w:space="0" w:color="auto"/>
            </w:tcBorders>
            <w:shd w:val="clear" w:color="auto" w:fill="auto"/>
            <w:noWrap/>
            <w:hideMark/>
          </w:tcPr>
          <w:p w:rsidR="00DB73D0" w:rsidRPr="004E7D79" w:rsidRDefault="00DB73D0" w:rsidP="00CD35BB">
            <w:pPr>
              <w:rPr>
                <w:sz w:val="18"/>
                <w:szCs w:val="18"/>
              </w:rPr>
            </w:pPr>
            <w:r w:rsidRPr="004E7D79">
              <w:rPr>
                <w:sz w:val="18"/>
                <w:szCs w:val="18"/>
              </w:rPr>
              <w:t>Afghanistan</w:t>
            </w:r>
          </w:p>
        </w:tc>
        <w:tc>
          <w:tcPr>
            <w:tcW w:w="1077" w:type="dxa"/>
            <w:tcBorders>
              <w:top w:val="single" w:sz="12" w:space="0" w:color="auto"/>
            </w:tcBorders>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tcBorders>
              <w:top w:val="single" w:sz="12" w:space="0" w:color="auto"/>
            </w:tcBorders>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tcBorders>
              <w:top w:val="single" w:sz="12" w:space="0" w:color="auto"/>
            </w:tcBorders>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tcBorders>
              <w:top w:val="single" w:sz="12" w:space="0" w:color="auto"/>
            </w:tcBorders>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2</w:t>
            </w:r>
          </w:p>
        </w:tc>
        <w:tc>
          <w:tcPr>
            <w:tcW w:w="3578" w:type="dxa"/>
            <w:shd w:val="clear" w:color="auto" w:fill="auto"/>
            <w:noWrap/>
            <w:hideMark/>
          </w:tcPr>
          <w:p w:rsidR="00DB73D0" w:rsidRPr="004E7D79" w:rsidRDefault="00DB73D0" w:rsidP="00CD35BB">
            <w:pPr>
              <w:rPr>
                <w:sz w:val="18"/>
                <w:szCs w:val="18"/>
              </w:rPr>
            </w:pPr>
            <w:r w:rsidRPr="004E7D79">
              <w:rPr>
                <w:sz w:val="18"/>
                <w:szCs w:val="18"/>
              </w:rPr>
              <w:t>Albania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3</w:t>
            </w:r>
          </w:p>
        </w:tc>
        <w:tc>
          <w:tcPr>
            <w:tcW w:w="3578" w:type="dxa"/>
            <w:shd w:val="clear" w:color="auto" w:fill="auto"/>
            <w:noWrap/>
            <w:hideMark/>
          </w:tcPr>
          <w:p w:rsidR="00DB73D0" w:rsidRPr="004E7D79" w:rsidRDefault="00DB73D0" w:rsidP="00CD35BB">
            <w:pPr>
              <w:rPr>
                <w:sz w:val="18"/>
                <w:szCs w:val="18"/>
              </w:rPr>
            </w:pPr>
            <w:r w:rsidRPr="004E7D79">
              <w:rPr>
                <w:sz w:val="18"/>
                <w:szCs w:val="18"/>
              </w:rPr>
              <w:t>Algeria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0.160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1 175</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1 383</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1 581</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4</w:t>
            </w:r>
          </w:p>
        </w:tc>
        <w:tc>
          <w:tcPr>
            <w:tcW w:w="3578" w:type="dxa"/>
            <w:shd w:val="clear" w:color="auto" w:fill="auto"/>
            <w:noWrap/>
            <w:hideMark/>
          </w:tcPr>
          <w:p w:rsidR="00DB73D0" w:rsidRPr="004E7D79" w:rsidRDefault="00DB73D0" w:rsidP="00CD35BB">
            <w:pPr>
              <w:rPr>
                <w:sz w:val="18"/>
                <w:szCs w:val="18"/>
              </w:rPr>
            </w:pPr>
            <w:r w:rsidRPr="004E7D79">
              <w:rPr>
                <w:sz w:val="18"/>
                <w:szCs w:val="18"/>
              </w:rPr>
              <w:t>Andorra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5</w:t>
            </w:r>
          </w:p>
        </w:tc>
        <w:tc>
          <w:tcPr>
            <w:tcW w:w="3578" w:type="dxa"/>
            <w:shd w:val="clear" w:color="auto" w:fill="auto"/>
            <w:noWrap/>
            <w:hideMark/>
          </w:tcPr>
          <w:p w:rsidR="00DB73D0" w:rsidRPr="004E7D79" w:rsidRDefault="00DB73D0" w:rsidP="00CD35BB">
            <w:pPr>
              <w:rPr>
                <w:sz w:val="18"/>
                <w:szCs w:val="18"/>
              </w:rPr>
            </w:pPr>
            <w:r w:rsidRPr="004E7D79">
              <w:rPr>
                <w:sz w:val="18"/>
                <w:szCs w:val="18"/>
              </w:rPr>
              <w:t>Angola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6</w:t>
            </w:r>
          </w:p>
        </w:tc>
        <w:tc>
          <w:tcPr>
            <w:tcW w:w="3578" w:type="dxa"/>
            <w:shd w:val="clear" w:color="auto" w:fill="auto"/>
            <w:noWrap/>
            <w:hideMark/>
          </w:tcPr>
          <w:p w:rsidR="00DB73D0" w:rsidRPr="004E7D79" w:rsidRDefault="00DB73D0" w:rsidP="00CD35BB">
            <w:pPr>
              <w:rPr>
                <w:sz w:val="18"/>
                <w:szCs w:val="18"/>
              </w:rPr>
            </w:pPr>
            <w:r w:rsidRPr="004E7D79">
              <w:rPr>
                <w:sz w:val="18"/>
                <w:szCs w:val="18"/>
              </w:rPr>
              <w:t>Antigua and Barbuda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7</w:t>
            </w:r>
          </w:p>
        </w:tc>
        <w:tc>
          <w:tcPr>
            <w:tcW w:w="3578" w:type="dxa"/>
            <w:shd w:val="clear" w:color="auto" w:fill="auto"/>
            <w:noWrap/>
            <w:hideMark/>
          </w:tcPr>
          <w:p w:rsidR="00DB73D0" w:rsidRPr="004E7D79" w:rsidRDefault="00DB73D0" w:rsidP="00CD35BB">
            <w:pPr>
              <w:rPr>
                <w:sz w:val="18"/>
                <w:szCs w:val="18"/>
              </w:rPr>
            </w:pPr>
            <w:r w:rsidRPr="004E7D79">
              <w:rPr>
                <w:sz w:val="18"/>
                <w:szCs w:val="18"/>
              </w:rPr>
              <w:t>Argentina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0.888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6 510</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7 665</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8 757</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8</w:t>
            </w:r>
          </w:p>
        </w:tc>
        <w:tc>
          <w:tcPr>
            <w:tcW w:w="3578" w:type="dxa"/>
            <w:shd w:val="clear" w:color="auto" w:fill="auto"/>
            <w:noWrap/>
            <w:hideMark/>
          </w:tcPr>
          <w:p w:rsidR="00DB73D0" w:rsidRPr="004E7D79" w:rsidRDefault="00DB73D0" w:rsidP="00CD35BB">
            <w:pPr>
              <w:rPr>
                <w:sz w:val="18"/>
                <w:szCs w:val="18"/>
              </w:rPr>
            </w:pPr>
            <w:r w:rsidRPr="004E7D79">
              <w:rPr>
                <w:sz w:val="18"/>
                <w:szCs w:val="18"/>
              </w:rPr>
              <w:t>Armenia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9</w:t>
            </w:r>
          </w:p>
        </w:tc>
        <w:tc>
          <w:tcPr>
            <w:tcW w:w="3578" w:type="dxa"/>
            <w:shd w:val="clear" w:color="auto" w:fill="auto"/>
            <w:noWrap/>
            <w:hideMark/>
          </w:tcPr>
          <w:p w:rsidR="00DB73D0" w:rsidRPr="004E7D79" w:rsidRDefault="00DB73D0" w:rsidP="00CD35BB">
            <w:pPr>
              <w:rPr>
                <w:sz w:val="18"/>
                <w:szCs w:val="18"/>
              </w:rPr>
            </w:pPr>
            <w:r w:rsidRPr="004E7D79">
              <w:rPr>
                <w:sz w:val="18"/>
                <w:szCs w:val="18"/>
              </w:rPr>
              <w:t>Australia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2.327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17 057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20 082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22 944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10</w:t>
            </w:r>
          </w:p>
        </w:tc>
        <w:tc>
          <w:tcPr>
            <w:tcW w:w="3578" w:type="dxa"/>
            <w:shd w:val="clear" w:color="auto" w:fill="auto"/>
            <w:noWrap/>
            <w:hideMark/>
          </w:tcPr>
          <w:p w:rsidR="00DB73D0" w:rsidRPr="004E7D79" w:rsidRDefault="00DB73D0" w:rsidP="00CD35BB">
            <w:pPr>
              <w:rPr>
                <w:sz w:val="18"/>
                <w:szCs w:val="18"/>
              </w:rPr>
            </w:pPr>
            <w:r w:rsidRPr="004E7D79">
              <w:rPr>
                <w:sz w:val="18"/>
                <w:szCs w:val="18"/>
              </w:rPr>
              <w:t>Austria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0.717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5 255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6 187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7 069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11</w:t>
            </w:r>
          </w:p>
        </w:tc>
        <w:tc>
          <w:tcPr>
            <w:tcW w:w="3578" w:type="dxa"/>
            <w:shd w:val="clear" w:color="auto" w:fill="auto"/>
            <w:noWrap/>
            <w:hideMark/>
          </w:tcPr>
          <w:p w:rsidR="00DB73D0" w:rsidRPr="004E7D79" w:rsidRDefault="00DB73D0" w:rsidP="00CD35BB">
            <w:pPr>
              <w:rPr>
                <w:sz w:val="18"/>
                <w:szCs w:val="18"/>
              </w:rPr>
            </w:pPr>
            <w:r w:rsidRPr="004E7D79">
              <w:rPr>
                <w:sz w:val="18"/>
                <w:szCs w:val="18"/>
              </w:rPr>
              <w:t>Azerbaijan</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12</w:t>
            </w:r>
          </w:p>
        </w:tc>
        <w:tc>
          <w:tcPr>
            <w:tcW w:w="3578" w:type="dxa"/>
            <w:shd w:val="clear" w:color="auto" w:fill="auto"/>
            <w:noWrap/>
            <w:hideMark/>
          </w:tcPr>
          <w:p w:rsidR="00DB73D0" w:rsidRPr="004E7D79" w:rsidRDefault="00DB73D0" w:rsidP="00CD35BB">
            <w:pPr>
              <w:rPr>
                <w:sz w:val="18"/>
                <w:szCs w:val="18"/>
              </w:rPr>
            </w:pPr>
            <w:r w:rsidRPr="004E7D79">
              <w:rPr>
                <w:sz w:val="18"/>
                <w:szCs w:val="18"/>
              </w:rPr>
              <w:t>Bahamas</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13</w:t>
            </w:r>
          </w:p>
        </w:tc>
        <w:tc>
          <w:tcPr>
            <w:tcW w:w="3578" w:type="dxa"/>
            <w:shd w:val="clear" w:color="auto" w:fill="auto"/>
            <w:noWrap/>
            <w:hideMark/>
          </w:tcPr>
          <w:p w:rsidR="00DB73D0" w:rsidRPr="004E7D79" w:rsidRDefault="00DB73D0" w:rsidP="00CD35BB">
            <w:pPr>
              <w:rPr>
                <w:sz w:val="18"/>
                <w:szCs w:val="18"/>
              </w:rPr>
            </w:pPr>
            <w:r w:rsidRPr="004E7D79">
              <w:rPr>
                <w:sz w:val="18"/>
                <w:szCs w:val="18"/>
              </w:rPr>
              <w:t>Bahrain</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14</w:t>
            </w:r>
          </w:p>
        </w:tc>
        <w:tc>
          <w:tcPr>
            <w:tcW w:w="3578" w:type="dxa"/>
            <w:shd w:val="clear" w:color="auto" w:fill="auto"/>
            <w:noWrap/>
            <w:hideMark/>
          </w:tcPr>
          <w:p w:rsidR="00DB73D0" w:rsidRPr="004E7D79" w:rsidRDefault="00DB73D0" w:rsidP="00CD35BB">
            <w:pPr>
              <w:rPr>
                <w:sz w:val="18"/>
                <w:szCs w:val="18"/>
              </w:rPr>
            </w:pPr>
            <w:r w:rsidRPr="004E7D79">
              <w:rPr>
                <w:sz w:val="18"/>
                <w:szCs w:val="18"/>
              </w:rPr>
              <w:t>Bangladesh</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15</w:t>
            </w:r>
          </w:p>
        </w:tc>
        <w:tc>
          <w:tcPr>
            <w:tcW w:w="3578" w:type="dxa"/>
            <w:shd w:val="clear" w:color="auto" w:fill="auto"/>
            <w:noWrap/>
            <w:hideMark/>
          </w:tcPr>
          <w:p w:rsidR="00DB73D0" w:rsidRPr="004E7D79" w:rsidRDefault="00DB73D0" w:rsidP="00CD35BB">
            <w:pPr>
              <w:rPr>
                <w:sz w:val="18"/>
                <w:szCs w:val="18"/>
              </w:rPr>
            </w:pPr>
            <w:r w:rsidRPr="004E7D79">
              <w:rPr>
                <w:sz w:val="18"/>
                <w:szCs w:val="18"/>
              </w:rPr>
              <w:t>Barbados</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16</w:t>
            </w:r>
          </w:p>
        </w:tc>
        <w:tc>
          <w:tcPr>
            <w:tcW w:w="3578" w:type="dxa"/>
            <w:shd w:val="clear" w:color="auto" w:fill="auto"/>
            <w:noWrap/>
            <w:hideMark/>
          </w:tcPr>
          <w:p w:rsidR="00DB73D0" w:rsidRPr="004E7D79" w:rsidRDefault="00DB73D0" w:rsidP="00CD35BB">
            <w:pPr>
              <w:rPr>
                <w:sz w:val="18"/>
                <w:szCs w:val="18"/>
              </w:rPr>
            </w:pPr>
            <w:r w:rsidRPr="004E7D79">
              <w:rPr>
                <w:sz w:val="18"/>
                <w:szCs w:val="18"/>
              </w:rPr>
              <w:t>Belarus</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17</w:t>
            </w:r>
          </w:p>
        </w:tc>
        <w:tc>
          <w:tcPr>
            <w:tcW w:w="3578" w:type="dxa"/>
            <w:shd w:val="clear" w:color="auto" w:fill="auto"/>
            <w:noWrap/>
            <w:hideMark/>
          </w:tcPr>
          <w:p w:rsidR="00DB73D0" w:rsidRPr="004E7D79" w:rsidRDefault="00DB73D0" w:rsidP="00CD35BB">
            <w:pPr>
              <w:rPr>
                <w:sz w:val="18"/>
                <w:szCs w:val="18"/>
              </w:rPr>
            </w:pPr>
            <w:r w:rsidRPr="004E7D79">
              <w:rPr>
                <w:sz w:val="18"/>
                <w:szCs w:val="18"/>
              </w:rPr>
              <w:t>Belgium</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0.881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6 459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7 605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8 689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18</w:t>
            </w:r>
          </w:p>
        </w:tc>
        <w:tc>
          <w:tcPr>
            <w:tcW w:w="3578" w:type="dxa"/>
            <w:shd w:val="clear" w:color="auto" w:fill="auto"/>
            <w:noWrap/>
            <w:hideMark/>
          </w:tcPr>
          <w:p w:rsidR="00DB73D0" w:rsidRPr="004E7D79" w:rsidRDefault="00DB73D0" w:rsidP="00CD35BB">
            <w:pPr>
              <w:rPr>
                <w:sz w:val="18"/>
                <w:szCs w:val="18"/>
              </w:rPr>
            </w:pPr>
            <w:r w:rsidRPr="004E7D79">
              <w:rPr>
                <w:sz w:val="18"/>
                <w:szCs w:val="18"/>
              </w:rPr>
              <w:t>Belize</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19</w:t>
            </w:r>
          </w:p>
        </w:tc>
        <w:tc>
          <w:tcPr>
            <w:tcW w:w="3578" w:type="dxa"/>
            <w:shd w:val="clear" w:color="auto" w:fill="auto"/>
            <w:noWrap/>
            <w:hideMark/>
          </w:tcPr>
          <w:p w:rsidR="00DB73D0" w:rsidRPr="004E7D79" w:rsidRDefault="00DB73D0" w:rsidP="00CD35BB">
            <w:pPr>
              <w:rPr>
                <w:sz w:val="18"/>
                <w:szCs w:val="18"/>
              </w:rPr>
            </w:pPr>
            <w:r w:rsidRPr="004E7D79">
              <w:rPr>
                <w:sz w:val="18"/>
                <w:szCs w:val="18"/>
              </w:rPr>
              <w:t>Benin</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20</w:t>
            </w:r>
          </w:p>
        </w:tc>
        <w:tc>
          <w:tcPr>
            <w:tcW w:w="3578" w:type="dxa"/>
            <w:shd w:val="clear" w:color="auto" w:fill="auto"/>
            <w:noWrap/>
            <w:hideMark/>
          </w:tcPr>
          <w:p w:rsidR="00DB73D0" w:rsidRPr="004E7D79" w:rsidRDefault="00DB73D0" w:rsidP="00CD35BB">
            <w:pPr>
              <w:rPr>
                <w:sz w:val="18"/>
                <w:szCs w:val="18"/>
              </w:rPr>
            </w:pPr>
            <w:r w:rsidRPr="004E7D79">
              <w:rPr>
                <w:sz w:val="18"/>
                <w:szCs w:val="18"/>
              </w:rPr>
              <w:t>Bhutan</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21</w:t>
            </w:r>
          </w:p>
        </w:tc>
        <w:tc>
          <w:tcPr>
            <w:tcW w:w="3578" w:type="dxa"/>
            <w:shd w:val="clear" w:color="auto" w:fill="auto"/>
            <w:noWrap/>
            <w:hideMark/>
          </w:tcPr>
          <w:p w:rsidR="00DB73D0" w:rsidRPr="004E7D79" w:rsidRDefault="00DB73D0" w:rsidP="00CD35BB">
            <w:pPr>
              <w:rPr>
                <w:sz w:val="18"/>
                <w:szCs w:val="18"/>
              </w:rPr>
            </w:pPr>
            <w:r w:rsidRPr="004E7D79">
              <w:rPr>
                <w:sz w:val="18"/>
                <w:szCs w:val="18"/>
              </w:rPr>
              <w:t>Bolivia (Plurinational State of)</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22</w:t>
            </w:r>
          </w:p>
        </w:tc>
        <w:tc>
          <w:tcPr>
            <w:tcW w:w="3578" w:type="dxa"/>
            <w:shd w:val="clear" w:color="auto" w:fill="auto"/>
            <w:noWrap/>
            <w:hideMark/>
          </w:tcPr>
          <w:p w:rsidR="00DB73D0" w:rsidRPr="004E7D79" w:rsidRDefault="00DB73D0" w:rsidP="00CD35BB">
            <w:pPr>
              <w:rPr>
                <w:sz w:val="18"/>
                <w:szCs w:val="18"/>
              </w:rPr>
            </w:pPr>
            <w:r w:rsidRPr="004E7D79">
              <w:rPr>
                <w:sz w:val="18"/>
                <w:szCs w:val="18"/>
              </w:rPr>
              <w:t>Bosnia and Herzegovina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23</w:t>
            </w:r>
          </w:p>
        </w:tc>
        <w:tc>
          <w:tcPr>
            <w:tcW w:w="3578" w:type="dxa"/>
            <w:shd w:val="clear" w:color="auto" w:fill="auto"/>
            <w:noWrap/>
            <w:hideMark/>
          </w:tcPr>
          <w:p w:rsidR="00DB73D0" w:rsidRPr="004E7D79" w:rsidRDefault="00DB73D0" w:rsidP="00CD35BB">
            <w:pPr>
              <w:rPr>
                <w:sz w:val="18"/>
                <w:szCs w:val="18"/>
              </w:rPr>
            </w:pPr>
            <w:r w:rsidRPr="004E7D79">
              <w:rPr>
                <w:sz w:val="18"/>
                <w:szCs w:val="18"/>
              </w:rPr>
              <w:t>Botswana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24</w:t>
            </w:r>
          </w:p>
        </w:tc>
        <w:tc>
          <w:tcPr>
            <w:tcW w:w="3578" w:type="dxa"/>
            <w:shd w:val="clear" w:color="auto" w:fill="auto"/>
            <w:noWrap/>
            <w:hideMark/>
          </w:tcPr>
          <w:p w:rsidR="00DB73D0" w:rsidRPr="004E7D79" w:rsidRDefault="00DB73D0" w:rsidP="00CD35BB">
            <w:pPr>
              <w:rPr>
                <w:sz w:val="18"/>
                <w:szCs w:val="18"/>
              </w:rPr>
            </w:pPr>
            <w:r w:rsidRPr="004E7D79">
              <w:rPr>
                <w:sz w:val="18"/>
                <w:szCs w:val="18"/>
              </w:rPr>
              <w:t>Brazil</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3.807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27 903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32 851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 37 533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25</w:t>
            </w:r>
          </w:p>
        </w:tc>
        <w:tc>
          <w:tcPr>
            <w:tcW w:w="3578" w:type="dxa"/>
            <w:shd w:val="clear" w:color="auto" w:fill="auto"/>
            <w:noWrap/>
            <w:hideMark/>
          </w:tcPr>
          <w:p w:rsidR="00DB73D0" w:rsidRPr="004E7D79" w:rsidRDefault="00DB73D0" w:rsidP="00CD35BB">
            <w:pPr>
              <w:rPr>
                <w:sz w:val="18"/>
                <w:szCs w:val="18"/>
              </w:rPr>
            </w:pPr>
            <w:r w:rsidRPr="004E7D79">
              <w:rPr>
                <w:sz w:val="18"/>
                <w:szCs w:val="18"/>
              </w:rPr>
              <w:t>Brunei Darussalam</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26</w:t>
            </w:r>
          </w:p>
        </w:tc>
        <w:tc>
          <w:tcPr>
            <w:tcW w:w="3578" w:type="dxa"/>
            <w:shd w:val="clear" w:color="auto" w:fill="auto"/>
            <w:noWrap/>
            <w:hideMark/>
          </w:tcPr>
          <w:p w:rsidR="00DB73D0" w:rsidRPr="004E7D79" w:rsidRDefault="00DB73D0" w:rsidP="00CD35BB">
            <w:pPr>
              <w:rPr>
                <w:sz w:val="18"/>
                <w:szCs w:val="18"/>
              </w:rPr>
            </w:pPr>
            <w:r w:rsidRPr="004E7D79">
              <w:rPr>
                <w:sz w:val="18"/>
                <w:szCs w:val="18"/>
              </w:rPr>
              <w:t>Bulgaria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27</w:t>
            </w:r>
          </w:p>
        </w:tc>
        <w:tc>
          <w:tcPr>
            <w:tcW w:w="3578" w:type="dxa"/>
            <w:shd w:val="clear" w:color="auto" w:fill="auto"/>
            <w:noWrap/>
            <w:hideMark/>
          </w:tcPr>
          <w:p w:rsidR="00DB73D0" w:rsidRPr="004E7D79" w:rsidRDefault="00DB73D0" w:rsidP="00CD35BB">
            <w:pPr>
              <w:rPr>
                <w:sz w:val="18"/>
                <w:szCs w:val="18"/>
              </w:rPr>
            </w:pPr>
            <w:r w:rsidRPr="004E7D79">
              <w:rPr>
                <w:sz w:val="18"/>
                <w:szCs w:val="18"/>
              </w:rPr>
              <w:t>Burkina Faso</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28</w:t>
            </w:r>
          </w:p>
        </w:tc>
        <w:tc>
          <w:tcPr>
            <w:tcW w:w="3578" w:type="dxa"/>
            <w:shd w:val="clear" w:color="auto" w:fill="auto"/>
            <w:noWrap/>
            <w:hideMark/>
          </w:tcPr>
          <w:p w:rsidR="00DB73D0" w:rsidRPr="004E7D79" w:rsidRDefault="00DB73D0" w:rsidP="00CD35BB">
            <w:pPr>
              <w:rPr>
                <w:sz w:val="18"/>
                <w:szCs w:val="18"/>
              </w:rPr>
            </w:pPr>
            <w:r w:rsidRPr="004E7D79">
              <w:rPr>
                <w:sz w:val="18"/>
                <w:szCs w:val="18"/>
              </w:rPr>
              <w:t>Burundi</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29</w:t>
            </w:r>
          </w:p>
        </w:tc>
        <w:tc>
          <w:tcPr>
            <w:tcW w:w="3578" w:type="dxa"/>
            <w:shd w:val="clear" w:color="auto" w:fill="auto"/>
            <w:noWrap/>
            <w:hideMark/>
          </w:tcPr>
          <w:p w:rsidR="00DB73D0" w:rsidRPr="004E7D79" w:rsidRDefault="00DB73D0" w:rsidP="00CD35BB">
            <w:pPr>
              <w:rPr>
                <w:sz w:val="18"/>
                <w:szCs w:val="18"/>
              </w:rPr>
            </w:pPr>
            <w:r w:rsidRPr="004E7D79">
              <w:rPr>
                <w:sz w:val="18"/>
                <w:szCs w:val="18"/>
              </w:rPr>
              <w:t>Cabo Verde</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30</w:t>
            </w:r>
          </w:p>
        </w:tc>
        <w:tc>
          <w:tcPr>
            <w:tcW w:w="3578" w:type="dxa"/>
            <w:shd w:val="clear" w:color="auto" w:fill="auto"/>
            <w:noWrap/>
            <w:hideMark/>
          </w:tcPr>
          <w:p w:rsidR="00DB73D0" w:rsidRPr="004E7D79" w:rsidRDefault="00DB73D0" w:rsidP="00CD35BB">
            <w:pPr>
              <w:rPr>
                <w:sz w:val="18"/>
                <w:szCs w:val="18"/>
              </w:rPr>
            </w:pPr>
            <w:r w:rsidRPr="004E7D79">
              <w:rPr>
                <w:sz w:val="18"/>
                <w:szCs w:val="18"/>
              </w:rPr>
              <w:t>Cambodia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31</w:t>
            </w:r>
          </w:p>
        </w:tc>
        <w:tc>
          <w:tcPr>
            <w:tcW w:w="3578" w:type="dxa"/>
            <w:shd w:val="clear" w:color="auto" w:fill="auto"/>
            <w:noWrap/>
            <w:hideMark/>
          </w:tcPr>
          <w:p w:rsidR="00DB73D0" w:rsidRPr="004E7D79" w:rsidRDefault="00DB73D0" w:rsidP="00CD35BB">
            <w:pPr>
              <w:rPr>
                <w:sz w:val="18"/>
                <w:szCs w:val="18"/>
              </w:rPr>
            </w:pPr>
            <w:r w:rsidRPr="004E7D79">
              <w:rPr>
                <w:sz w:val="18"/>
                <w:szCs w:val="18"/>
              </w:rPr>
              <w:t>Cameroon</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15"/>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32</w:t>
            </w:r>
          </w:p>
        </w:tc>
        <w:tc>
          <w:tcPr>
            <w:tcW w:w="3578" w:type="dxa"/>
            <w:shd w:val="clear" w:color="auto" w:fill="auto"/>
            <w:noWrap/>
            <w:hideMark/>
          </w:tcPr>
          <w:p w:rsidR="00DB73D0" w:rsidRPr="004E7D79" w:rsidRDefault="00DB73D0" w:rsidP="00CD35BB">
            <w:pPr>
              <w:rPr>
                <w:sz w:val="18"/>
                <w:szCs w:val="18"/>
              </w:rPr>
            </w:pPr>
            <w:r w:rsidRPr="004E7D79">
              <w:rPr>
                <w:sz w:val="18"/>
                <w:szCs w:val="18"/>
              </w:rPr>
              <w:t>Canada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2.908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21 319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25 100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28 678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33</w:t>
            </w:r>
          </w:p>
        </w:tc>
        <w:tc>
          <w:tcPr>
            <w:tcW w:w="3578" w:type="dxa"/>
            <w:shd w:val="clear" w:color="auto" w:fill="auto"/>
            <w:hideMark/>
          </w:tcPr>
          <w:p w:rsidR="00DB73D0" w:rsidRPr="004E7D79" w:rsidRDefault="00DB73D0" w:rsidP="00CD35BB">
            <w:pPr>
              <w:rPr>
                <w:sz w:val="18"/>
                <w:szCs w:val="18"/>
              </w:rPr>
            </w:pPr>
            <w:r w:rsidRPr="004E7D79">
              <w:rPr>
                <w:sz w:val="18"/>
                <w:szCs w:val="18"/>
              </w:rPr>
              <w:t>Central African Republic</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34</w:t>
            </w:r>
          </w:p>
        </w:tc>
        <w:tc>
          <w:tcPr>
            <w:tcW w:w="3578" w:type="dxa"/>
            <w:shd w:val="clear" w:color="auto" w:fill="auto"/>
            <w:noWrap/>
            <w:hideMark/>
          </w:tcPr>
          <w:p w:rsidR="00DB73D0" w:rsidRPr="004E7D79" w:rsidRDefault="00DB73D0" w:rsidP="00CD35BB">
            <w:pPr>
              <w:rPr>
                <w:sz w:val="18"/>
                <w:szCs w:val="18"/>
              </w:rPr>
            </w:pPr>
            <w:r w:rsidRPr="004E7D79">
              <w:rPr>
                <w:sz w:val="18"/>
                <w:szCs w:val="18"/>
              </w:rPr>
              <w:t>Chad</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35</w:t>
            </w:r>
          </w:p>
        </w:tc>
        <w:tc>
          <w:tcPr>
            <w:tcW w:w="3578" w:type="dxa"/>
            <w:shd w:val="clear" w:color="auto" w:fill="auto"/>
            <w:noWrap/>
            <w:hideMark/>
          </w:tcPr>
          <w:p w:rsidR="00DB73D0" w:rsidRPr="004E7D79" w:rsidRDefault="00DB73D0" w:rsidP="00CD35BB">
            <w:pPr>
              <w:rPr>
                <w:sz w:val="18"/>
                <w:szCs w:val="18"/>
              </w:rPr>
            </w:pPr>
            <w:r w:rsidRPr="004E7D79">
              <w:rPr>
                <w:sz w:val="18"/>
                <w:szCs w:val="18"/>
              </w:rPr>
              <w:t>Chile</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0.397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2 912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3 429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 3 917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36</w:t>
            </w:r>
          </w:p>
        </w:tc>
        <w:tc>
          <w:tcPr>
            <w:tcW w:w="3578" w:type="dxa"/>
            <w:shd w:val="clear" w:color="auto" w:fill="auto"/>
            <w:noWrap/>
            <w:hideMark/>
          </w:tcPr>
          <w:p w:rsidR="00DB73D0" w:rsidRPr="004E7D79" w:rsidRDefault="00DB73D0" w:rsidP="00CD35BB">
            <w:pPr>
              <w:rPr>
                <w:sz w:val="18"/>
                <w:szCs w:val="18"/>
              </w:rPr>
            </w:pPr>
            <w:r w:rsidRPr="004E7D79">
              <w:rPr>
                <w:sz w:val="18"/>
                <w:szCs w:val="18"/>
              </w:rPr>
              <w:t>China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7.887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57 812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68 066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 77 767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37</w:t>
            </w:r>
          </w:p>
        </w:tc>
        <w:tc>
          <w:tcPr>
            <w:tcW w:w="3578" w:type="dxa"/>
            <w:shd w:val="clear" w:color="auto" w:fill="auto"/>
            <w:noWrap/>
            <w:hideMark/>
          </w:tcPr>
          <w:p w:rsidR="00DB73D0" w:rsidRPr="004E7D79" w:rsidRDefault="00DB73D0" w:rsidP="00CD35BB">
            <w:pPr>
              <w:rPr>
                <w:sz w:val="18"/>
                <w:szCs w:val="18"/>
              </w:rPr>
            </w:pPr>
            <w:r w:rsidRPr="004E7D79">
              <w:rPr>
                <w:sz w:val="18"/>
                <w:szCs w:val="18"/>
              </w:rPr>
              <w:t>Colombia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0.321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2 350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2 767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 3 161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38</w:t>
            </w:r>
          </w:p>
        </w:tc>
        <w:tc>
          <w:tcPr>
            <w:tcW w:w="3578" w:type="dxa"/>
            <w:shd w:val="clear" w:color="auto" w:fill="auto"/>
            <w:noWrap/>
            <w:hideMark/>
          </w:tcPr>
          <w:p w:rsidR="00DB73D0" w:rsidRPr="004E7D79" w:rsidRDefault="00DB73D0" w:rsidP="00CD35BB">
            <w:pPr>
              <w:rPr>
                <w:sz w:val="18"/>
                <w:szCs w:val="18"/>
              </w:rPr>
            </w:pPr>
            <w:r w:rsidRPr="004E7D79">
              <w:rPr>
                <w:sz w:val="18"/>
                <w:szCs w:val="18"/>
              </w:rPr>
              <w:t>Comoros</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39</w:t>
            </w:r>
          </w:p>
        </w:tc>
        <w:tc>
          <w:tcPr>
            <w:tcW w:w="3578" w:type="dxa"/>
            <w:shd w:val="clear" w:color="auto" w:fill="auto"/>
            <w:noWrap/>
            <w:hideMark/>
          </w:tcPr>
          <w:p w:rsidR="00DB73D0" w:rsidRPr="004E7D79" w:rsidRDefault="00DB73D0" w:rsidP="00CD35BB">
            <w:pPr>
              <w:rPr>
                <w:sz w:val="18"/>
                <w:szCs w:val="18"/>
              </w:rPr>
            </w:pPr>
            <w:r w:rsidRPr="004E7D79">
              <w:rPr>
                <w:sz w:val="18"/>
                <w:szCs w:val="18"/>
              </w:rPr>
              <w:t>Congo</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lastRenderedPageBreak/>
              <w:t>40</w:t>
            </w:r>
          </w:p>
        </w:tc>
        <w:tc>
          <w:tcPr>
            <w:tcW w:w="3578" w:type="dxa"/>
            <w:shd w:val="clear" w:color="auto" w:fill="auto"/>
            <w:noWrap/>
            <w:hideMark/>
          </w:tcPr>
          <w:p w:rsidR="00DB73D0" w:rsidRPr="004E7D79" w:rsidRDefault="00DB73D0" w:rsidP="00CD35BB">
            <w:pPr>
              <w:rPr>
                <w:sz w:val="18"/>
                <w:szCs w:val="18"/>
              </w:rPr>
            </w:pPr>
            <w:r w:rsidRPr="004E7D79">
              <w:rPr>
                <w:sz w:val="18"/>
                <w:szCs w:val="18"/>
              </w:rPr>
              <w:t>Cook Islands</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41</w:t>
            </w:r>
          </w:p>
        </w:tc>
        <w:tc>
          <w:tcPr>
            <w:tcW w:w="3578" w:type="dxa"/>
            <w:shd w:val="clear" w:color="auto" w:fill="auto"/>
            <w:noWrap/>
            <w:hideMark/>
          </w:tcPr>
          <w:p w:rsidR="00DB73D0" w:rsidRPr="004E7D79" w:rsidRDefault="00DB73D0" w:rsidP="00CD35BB">
            <w:pPr>
              <w:rPr>
                <w:sz w:val="18"/>
                <w:szCs w:val="18"/>
              </w:rPr>
            </w:pPr>
            <w:r w:rsidRPr="004E7D79">
              <w:rPr>
                <w:sz w:val="18"/>
                <w:szCs w:val="18"/>
              </w:rPr>
              <w:t>Costa Rica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42</w:t>
            </w:r>
          </w:p>
        </w:tc>
        <w:tc>
          <w:tcPr>
            <w:tcW w:w="3578" w:type="dxa"/>
            <w:shd w:val="clear" w:color="auto" w:fill="auto"/>
            <w:noWrap/>
            <w:hideMark/>
          </w:tcPr>
          <w:p w:rsidR="00DB73D0" w:rsidRPr="004E7D79" w:rsidRDefault="00DB73D0" w:rsidP="00CD35BB">
            <w:pPr>
              <w:rPr>
                <w:sz w:val="18"/>
                <w:szCs w:val="18"/>
              </w:rPr>
            </w:pPr>
            <w:r w:rsidRPr="004E7D79">
              <w:rPr>
                <w:sz w:val="18"/>
                <w:szCs w:val="18"/>
              </w:rPr>
              <w:t>Côte d'Ivoire</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43</w:t>
            </w:r>
          </w:p>
        </w:tc>
        <w:tc>
          <w:tcPr>
            <w:tcW w:w="3578" w:type="dxa"/>
            <w:shd w:val="clear" w:color="auto" w:fill="auto"/>
            <w:noWrap/>
            <w:hideMark/>
          </w:tcPr>
          <w:p w:rsidR="00DB73D0" w:rsidRPr="004E7D79" w:rsidRDefault="00DB73D0" w:rsidP="00CD35BB">
            <w:pPr>
              <w:rPr>
                <w:sz w:val="18"/>
                <w:szCs w:val="18"/>
              </w:rPr>
            </w:pPr>
            <w:r w:rsidRPr="004E7D79">
              <w:rPr>
                <w:sz w:val="18"/>
                <w:szCs w:val="18"/>
              </w:rPr>
              <w:t>Croatia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44</w:t>
            </w:r>
          </w:p>
        </w:tc>
        <w:tc>
          <w:tcPr>
            <w:tcW w:w="3578" w:type="dxa"/>
            <w:shd w:val="clear" w:color="auto" w:fill="auto"/>
            <w:noWrap/>
            <w:hideMark/>
          </w:tcPr>
          <w:p w:rsidR="00DB73D0" w:rsidRPr="004E7D79" w:rsidRDefault="00DB73D0" w:rsidP="00CD35BB">
            <w:pPr>
              <w:rPr>
                <w:sz w:val="18"/>
                <w:szCs w:val="18"/>
              </w:rPr>
            </w:pPr>
            <w:r w:rsidRPr="004E7D79">
              <w:rPr>
                <w:sz w:val="18"/>
                <w:szCs w:val="18"/>
              </w:rPr>
              <w:t>Cuba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45</w:t>
            </w:r>
          </w:p>
        </w:tc>
        <w:tc>
          <w:tcPr>
            <w:tcW w:w="3578" w:type="dxa"/>
            <w:shd w:val="clear" w:color="auto" w:fill="auto"/>
            <w:noWrap/>
            <w:hideMark/>
          </w:tcPr>
          <w:p w:rsidR="00DB73D0" w:rsidRPr="004E7D79" w:rsidRDefault="00DB73D0" w:rsidP="00CD35BB">
            <w:pPr>
              <w:rPr>
                <w:sz w:val="18"/>
                <w:szCs w:val="18"/>
              </w:rPr>
            </w:pPr>
            <w:r w:rsidRPr="004E7D79">
              <w:rPr>
                <w:sz w:val="18"/>
                <w:szCs w:val="18"/>
              </w:rPr>
              <w:t>Cyprus</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46</w:t>
            </w:r>
          </w:p>
        </w:tc>
        <w:tc>
          <w:tcPr>
            <w:tcW w:w="3578" w:type="dxa"/>
            <w:shd w:val="clear" w:color="auto" w:fill="auto"/>
            <w:noWrap/>
            <w:hideMark/>
          </w:tcPr>
          <w:p w:rsidR="00DB73D0" w:rsidRPr="004E7D79" w:rsidRDefault="00DB73D0" w:rsidP="00CD35BB">
            <w:pPr>
              <w:rPr>
                <w:sz w:val="18"/>
                <w:szCs w:val="18"/>
              </w:rPr>
            </w:pPr>
            <w:r w:rsidRPr="004E7D79">
              <w:rPr>
                <w:sz w:val="18"/>
                <w:szCs w:val="18"/>
              </w:rPr>
              <w:t>Czechia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0.343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2 511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2 956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3 377 </w:t>
            </w:r>
          </w:p>
        </w:tc>
      </w:tr>
      <w:tr w:rsidR="00DB73D0" w:rsidRPr="00DB6883" w:rsidTr="00715700">
        <w:trPr>
          <w:trHeight w:val="329"/>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47</w:t>
            </w:r>
          </w:p>
        </w:tc>
        <w:tc>
          <w:tcPr>
            <w:tcW w:w="3578" w:type="dxa"/>
            <w:shd w:val="clear" w:color="auto" w:fill="auto"/>
            <w:hideMark/>
          </w:tcPr>
          <w:p w:rsidR="00DB73D0" w:rsidRPr="00CD35BB" w:rsidRDefault="00DB73D0" w:rsidP="00CD35BB">
            <w:pPr>
              <w:rPr>
                <w:sz w:val="18"/>
                <w:szCs w:val="18"/>
              </w:rPr>
            </w:pPr>
            <w:r w:rsidRPr="00CD35BB">
              <w:rPr>
                <w:sz w:val="18"/>
                <w:szCs w:val="18"/>
              </w:rPr>
              <w:t>Democratic People’s Republic of Korea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48</w:t>
            </w:r>
          </w:p>
        </w:tc>
        <w:tc>
          <w:tcPr>
            <w:tcW w:w="3578" w:type="dxa"/>
            <w:shd w:val="clear" w:color="auto" w:fill="auto"/>
            <w:hideMark/>
          </w:tcPr>
          <w:p w:rsidR="00DB73D0" w:rsidRPr="00CD35BB" w:rsidRDefault="00DB73D0" w:rsidP="00CD35BB">
            <w:pPr>
              <w:rPr>
                <w:sz w:val="18"/>
                <w:szCs w:val="18"/>
              </w:rPr>
            </w:pPr>
            <w:r w:rsidRPr="00CD35BB">
              <w:rPr>
                <w:sz w:val="18"/>
                <w:szCs w:val="18"/>
              </w:rPr>
              <w:t>Democratic Republic of the Congo</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49</w:t>
            </w:r>
          </w:p>
        </w:tc>
        <w:tc>
          <w:tcPr>
            <w:tcW w:w="3578" w:type="dxa"/>
            <w:shd w:val="clear" w:color="auto" w:fill="auto"/>
            <w:noWrap/>
            <w:hideMark/>
          </w:tcPr>
          <w:p w:rsidR="00DB73D0" w:rsidRPr="004E7D79" w:rsidRDefault="00DB73D0" w:rsidP="00CD35BB">
            <w:pPr>
              <w:rPr>
                <w:sz w:val="18"/>
                <w:szCs w:val="18"/>
              </w:rPr>
            </w:pPr>
            <w:r w:rsidRPr="004E7D79">
              <w:rPr>
                <w:sz w:val="18"/>
                <w:szCs w:val="18"/>
              </w:rPr>
              <w:t>Denmark</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0.581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4 262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5 018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 5 734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50</w:t>
            </w:r>
          </w:p>
        </w:tc>
        <w:tc>
          <w:tcPr>
            <w:tcW w:w="3578" w:type="dxa"/>
            <w:shd w:val="clear" w:color="auto" w:fill="auto"/>
            <w:noWrap/>
            <w:hideMark/>
          </w:tcPr>
          <w:p w:rsidR="00DB73D0" w:rsidRPr="004E7D79" w:rsidRDefault="00DB73D0" w:rsidP="00CD35BB">
            <w:pPr>
              <w:rPr>
                <w:sz w:val="18"/>
                <w:szCs w:val="18"/>
              </w:rPr>
            </w:pPr>
            <w:r w:rsidRPr="004E7D79">
              <w:rPr>
                <w:sz w:val="18"/>
                <w:szCs w:val="18"/>
              </w:rPr>
              <w:t>Djibouti</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51</w:t>
            </w:r>
          </w:p>
        </w:tc>
        <w:tc>
          <w:tcPr>
            <w:tcW w:w="3578" w:type="dxa"/>
            <w:shd w:val="clear" w:color="auto" w:fill="auto"/>
            <w:noWrap/>
            <w:hideMark/>
          </w:tcPr>
          <w:p w:rsidR="00DB73D0" w:rsidRPr="004E7D79" w:rsidRDefault="00DB73D0" w:rsidP="00CD35BB">
            <w:pPr>
              <w:rPr>
                <w:sz w:val="18"/>
                <w:szCs w:val="18"/>
              </w:rPr>
            </w:pPr>
            <w:r w:rsidRPr="004E7D79">
              <w:rPr>
                <w:sz w:val="18"/>
                <w:szCs w:val="18"/>
              </w:rPr>
              <w:t>Dominica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52</w:t>
            </w:r>
          </w:p>
        </w:tc>
        <w:tc>
          <w:tcPr>
            <w:tcW w:w="3578" w:type="dxa"/>
            <w:shd w:val="clear" w:color="auto" w:fill="auto"/>
            <w:noWrap/>
            <w:hideMark/>
          </w:tcPr>
          <w:p w:rsidR="00DB73D0" w:rsidRPr="004E7D79" w:rsidRDefault="00DB73D0" w:rsidP="00CD35BB">
            <w:pPr>
              <w:rPr>
                <w:sz w:val="18"/>
                <w:szCs w:val="18"/>
              </w:rPr>
            </w:pPr>
            <w:r w:rsidRPr="004E7D79">
              <w:rPr>
                <w:sz w:val="18"/>
                <w:szCs w:val="18"/>
              </w:rPr>
              <w:t>Dominican Republic</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53</w:t>
            </w:r>
          </w:p>
        </w:tc>
        <w:tc>
          <w:tcPr>
            <w:tcW w:w="3578" w:type="dxa"/>
            <w:shd w:val="clear" w:color="auto" w:fill="auto"/>
            <w:noWrap/>
            <w:hideMark/>
          </w:tcPr>
          <w:p w:rsidR="00DB73D0" w:rsidRPr="004E7D79" w:rsidRDefault="00DB73D0" w:rsidP="00CD35BB">
            <w:pPr>
              <w:rPr>
                <w:sz w:val="18"/>
                <w:szCs w:val="18"/>
              </w:rPr>
            </w:pPr>
            <w:r w:rsidRPr="004E7D79">
              <w:rPr>
                <w:sz w:val="18"/>
                <w:szCs w:val="18"/>
              </w:rPr>
              <w:t>Ecuador</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54</w:t>
            </w:r>
          </w:p>
        </w:tc>
        <w:tc>
          <w:tcPr>
            <w:tcW w:w="3578" w:type="dxa"/>
            <w:shd w:val="clear" w:color="auto" w:fill="auto"/>
            <w:noWrap/>
            <w:hideMark/>
          </w:tcPr>
          <w:p w:rsidR="00DB73D0" w:rsidRPr="004E7D79" w:rsidRDefault="00DB73D0" w:rsidP="00CD35BB">
            <w:pPr>
              <w:rPr>
                <w:sz w:val="18"/>
                <w:szCs w:val="18"/>
              </w:rPr>
            </w:pPr>
            <w:r w:rsidRPr="004E7D79">
              <w:rPr>
                <w:sz w:val="18"/>
                <w:szCs w:val="18"/>
              </w:rPr>
              <w:t>Egypt</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0.151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1 109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1 306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 1 492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55</w:t>
            </w:r>
          </w:p>
        </w:tc>
        <w:tc>
          <w:tcPr>
            <w:tcW w:w="3578" w:type="dxa"/>
            <w:shd w:val="clear" w:color="auto" w:fill="auto"/>
            <w:noWrap/>
            <w:hideMark/>
          </w:tcPr>
          <w:p w:rsidR="00DB73D0" w:rsidRPr="004E7D79" w:rsidRDefault="00DB73D0" w:rsidP="00CD35BB">
            <w:pPr>
              <w:rPr>
                <w:sz w:val="18"/>
                <w:szCs w:val="18"/>
              </w:rPr>
            </w:pPr>
            <w:r w:rsidRPr="004E7D79">
              <w:rPr>
                <w:sz w:val="18"/>
                <w:szCs w:val="18"/>
              </w:rPr>
              <w:t>El Salvador</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56</w:t>
            </w:r>
          </w:p>
        </w:tc>
        <w:tc>
          <w:tcPr>
            <w:tcW w:w="3578" w:type="dxa"/>
            <w:shd w:val="clear" w:color="auto" w:fill="auto"/>
            <w:noWrap/>
            <w:hideMark/>
          </w:tcPr>
          <w:p w:rsidR="00DB73D0" w:rsidRPr="004E7D79" w:rsidRDefault="00DB73D0" w:rsidP="00CD35BB">
            <w:pPr>
              <w:rPr>
                <w:sz w:val="18"/>
                <w:szCs w:val="18"/>
              </w:rPr>
            </w:pPr>
            <w:r w:rsidRPr="004E7D79">
              <w:rPr>
                <w:sz w:val="18"/>
                <w:szCs w:val="18"/>
              </w:rPr>
              <w:t>Equatorial Guinea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57</w:t>
            </w:r>
          </w:p>
        </w:tc>
        <w:tc>
          <w:tcPr>
            <w:tcW w:w="3578" w:type="dxa"/>
            <w:shd w:val="clear" w:color="auto" w:fill="auto"/>
            <w:noWrap/>
            <w:hideMark/>
          </w:tcPr>
          <w:p w:rsidR="00DB73D0" w:rsidRPr="004E7D79" w:rsidRDefault="00DB73D0" w:rsidP="00CD35BB">
            <w:pPr>
              <w:rPr>
                <w:sz w:val="18"/>
                <w:szCs w:val="18"/>
              </w:rPr>
            </w:pPr>
            <w:r w:rsidRPr="004E7D79">
              <w:rPr>
                <w:sz w:val="18"/>
                <w:szCs w:val="18"/>
              </w:rPr>
              <w:t>Eritrea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58</w:t>
            </w:r>
          </w:p>
        </w:tc>
        <w:tc>
          <w:tcPr>
            <w:tcW w:w="3578" w:type="dxa"/>
            <w:shd w:val="clear" w:color="auto" w:fill="auto"/>
            <w:noWrap/>
            <w:hideMark/>
          </w:tcPr>
          <w:p w:rsidR="00DB73D0" w:rsidRPr="004E7D79" w:rsidRDefault="00DB73D0" w:rsidP="00CD35BB">
            <w:pPr>
              <w:rPr>
                <w:sz w:val="18"/>
                <w:szCs w:val="18"/>
              </w:rPr>
            </w:pPr>
            <w:r w:rsidRPr="004E7D79">
              <w:rPr>
                <w:sz w:val="18"/>
                <w:szCs w:val="18"/>
              </w:rPr>
              <w:t>Estonia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59</w:t>
            </w:r>
          </w:p>
        </w:tc>
        <w:tc>
          <w:tcPr>
            <w:tcW w:w="3578" w:type="dxa"/>
            <w:shd w:val="clear" w:color="auto" w:fill="auto"/>
            <w:noWrap/>
            <w:hideMark/>
          </w:tcPr>
          <w:p w:rsidR="00DB73D0" w:rsidRPr="004E7D79" w:rsidRDefault="00DB73D0" w:rsidP="00CD35BB">
            <w:pPr>
              <w:rPr>
                <w:sz w:val="18"/>
                <w:szCs w:val="18"/>
              </w:rPr>
            </w:pPr>
            <w:r w:rsidRPr="004E7D79">
              <w:rPr>
                <w:sz w:val="18"/>
                <w:szCs w:val="18"/>
              </w:rPr>
              <w:t>Ethiopia</w:t>
            </w:r>
          </w:p>
        </w:tc>
        <w:tc>
          <w:tcPr>
            <w:tcW w:w="1077" w:type="dxa"/>
            <w:shd w:val="clear" w:color="000000" w:fill="FFFFFF"/>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60</w:t>
            </w:r>
          </w:p>
        </w:tc>
        <w:tc>
          <w:tcPr>
            <w:tcW w:w="3578" w:type="dxa"/>
            <w:shd w:val="clear" w:color="auto" w:fill="auto"/>
            <w:noWrap/>
            <w:hideMark/>
          </w:tcPr>
          <w:p w:rsidR="00DB73D0" w:rsidRPr="004E7D79" w:rsidRDefault="00DB73D0" w:rsidP="00CD35BB">
            <w:pPr>
              <w:rPr>
                <w:sz w:val="18"/>
                <w:szCs w:val="18"/>
              </w:rPr>
            </w:pPr>
            <w:r w:rsidRPr="004E7D79">
              <w:rPr>
                <w:sz w:val="18"/>
                <w:szCs w:val="18"/>
              </w:rPr>
              <w:t>European Union</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2.489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18 247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21 483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 24 544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61</w:t>
            </w:r>
          </w:p>
        </w:tc>
        <w:tc>
          <w:tcPr>
            <w:tcW w:w="3578" w:type="dxa"/>
            <w:shd w:val="clear" w:color="auto" w:fill="auto"/>
            <w:noWrap/>
            <w:hideMark/>
          </w:tcPr>
          <w:p w:rsidR="00DB73D0" w:rsidRPr="004E7D79" w:rsidRDefault="00DB73D0" w:rsidP="00CD35BB">
            <w:pPr>
              <w:rPr>
                <w:sz w:val="18"/>
                <w:szCs w:val="18"/>
              </w:rPr>
            </w:pPr>
            <w:r w:rsidRPr="004E7D79">
              <w:rPr>
                <w:sz w:val="18"/>
                <w:szCs w:val="18"/>
              </w:rPr>
              <w:t>Fiji</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62</w:t>
            </w:r>
          </w:p>
        </w:tc>
        <w:tc>
          <w:tcPr>
            <w:tcW w:w="3578" w:type="dxa"/>
            <w:shd w:val="clear" w:color="auto" w:fill="auto"/>
            <w:noWrap/>
            <w:hideMark/>
          </w:tcPr>
          <w:p w:rsidR="00DB73D0" w:rsidRPr="004E7D79" w:rsidRDefault="00DB73D0" w:rsidP="00CD35BB">
            <w:pPr>
              <w:rPr>
                <w:sz w:val="18"/>
                <w:szCs w:val="18"/>
              </w:rPr>
            </w:pPr>
            <w:r w:rsidRPr="004E7D79">
              <w:rPr>
                <w:sz w:val="18"/>
                <w:szCs w:val="18"/>
              </w:rPr>
              <w:t>Finland</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0.454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3 328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3 918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 4 477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63</w:t>
            </w:r>
          </w:p>
        </w:tc>
        <w:tc>
          <w:tcPr>
            <w:tcW w:w="3578" w:type="dxa"/>
            <w:shd w:val="clear" w:color="auto" w:fill="auto"/>
            <w:noWrap/>
            <w:hideMark/>
          </w:tcPr>
          <w:p w:rsidR="00DB73D0" w:rsidRPr="004E7D79" w:rsidRDefault="00DB73D0" w:rsidP="00CD35BB">
            <w:pPr>
              <w:rPr>
                <w:sz w:val="18"/>
                <w:szCs w:val="18"/>
              </w:rPr>
            </w:pPr>
            <w:r w:rsidRPr="004E7D79">
              <w:rPr>
                <w:sz w:val="18"/>
                <w:szCs w:val="18"/>
              </w:rPr>
              <w:t>France</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4.838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35 464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41 754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 47 705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64</w:t>
            </w:r>
          </w:p>
        </w:tc>
        <w:tc>
          <w:tcPr>
            <w:tcW w:w="3578" w:type="dxa"/>
            <w:shd w:val="clear" w:color="auto" w:fill="auto"/>
            <w:noWrap/>
            <w:hideMark/>
          </w:tcPr>
          <w:p w:rsidR="00DB73D0" w:rsidRPr="004E7D79" w:rsidRDefault="00DB73D0" w:rsidP="00CD35BB">
            <w:pPr>
              <w:rPr>
                <w:sz w:val="18"/>
                <w:szCs w:val="18"/>
              </w:rPr>
            </w:pPr>
            <w:r w:rsidRPr="004E7D79">
              <w:rPr>
                <w:sz w:val="18"/>
                <w:szCs w:val="18"/>
              </w:rPr>
              <w:t>Gabon</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65</w:t>
            </w:r>
          </w:p>
        </w:tc>
        <w:tc>
          <w:tcPr>
            <w:tcW w:w="3578" w:type="dxa"/>
            <w:shd w:val="clear" w:color="auto" w:fill="auto"/>
            <w:noWrap/>
            <w:hideMark/>
          </w:tcPr>
          <w:p w:rsidR="00DB73D0" w:rsidRPr="004E7D79" w:rsidRDefault="00DB73D0" w:rsidP="00CD35BB">
            <w:pPr>
              <w:rPr>
                <w:sz w:val="18"/>
                <w:szCs w:val="18"/>
              </w:rPr>
            </w:pPr>
            <w:r w:rsidRPr="004E7D79">
              <w:rPr>
                <w:sz w:val="18"/>
                <w:szCs w:val="18"/>
              </w:rPr>
              <w:t>Gambia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66</w:t>
            </w:r>
          </w:p>
        </w:tc>
        <w:tc>
          <w:tcPr>
            <w:tcW w:w="3578" w:type="dxa"/>
            <w:shd w:val="clear" w:color="auto" w:fill="auto"/>
            <w:noWrap/>
            <w:hideMark/>
          </w:tcPr>
          <w:p w:rsidR="00DB73D0" w:rsidRPr="004E7D79" w:rsidRDefault="00DB73D0" w:rsidP="00CD35BB">
            <w:pPr>
              <w:rPr>
                <w:sz w:val="18"/>
                <w:szCs w:val="18"/>
              </w:rPr>
            </w:pPr>
            <w:r w:rsidRPr="004E7D79">
              <w:rPr>
                <w:sz w:val="18"/>
                <w:szCs w:val="18"/>
              </w:rPr>
              <w:t>Georgia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67</w:t>
            </w:r>
          </w:p>
        </w:tc>
        <w:tc>
          <w:tcPr>
            <w:tcW w:w="3578" w:type="dxa"/>
            <w:shd w:val="clear" w:color="auto" w:fill="auto"/>
            <w:noWrap/>
            <w:hideMark/>
          </w:tcPr>
          <w:p w:rsidR="00DB73D0" w:rsidRPr="004E7D79" w:rsidRDefault="00DB73D0" w:rsidP="00CD35BB">
            <w:pPr>
              <w:rPr>
                <w:sz w:val="18"/>
                <w:szCs w:val="18"/>
              </w:rPr>
            </w:pPr>
            <w:r w:rsidRPr="004E7D79">
              <w:rPr>
                <w:sz w:val="18"/>
                <w:szCs w:val="18"/>
              </w:rPr>
              <w:t>Germany</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6.362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46 631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54 901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 62 726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68</w:t>
            </w:r>
          </w:p>
        </w:tc>
        <w:tc>
          <w:tcPr>
            <w:tcW w:w="3578" w:type="dxa"/>
            <w:shd w:val="clear" w:color="auto" w:fill="auto"/>
            <w:noWrap/>
            <w:hideMark/>
          </w:tcPr>
          <w:p w:rsidR="00DB73D0" w:rsidRPr="004E7D79" w:rsidRDefault="00DB73D0" w:rsidP="00CD35BB">
            <w:pPr>
              <w:rPr>
                <w:sz w:val="18"/>
                <w:szCs w:val="18"/>
              </w:rPr>
            </w:pPr>
            <w:r w:rsidRPr="004E7D79">
              <w:rPr>
                <w:sz w:val="18"/>
                <w:szCs w:val="18"/>
              </w:rPr>
              <w:t>Ghana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69</w:t>
            </w:r>
          </w:p>
        </w:tc>
        <w:tc>
          <w:tcPr>
            <w:tcW w:w="3578" w:type="dxa"/>
            <w:shd w:val="clear" w:color="auto" w:fill="auto"/>
            <w:noWrap/>
            <w:hideMark/>
          </w:tcPr>
          <w:p w:rsidR="00DB73D0" w:rsidRPr="004E7D79" w:rsidRDefault="00DB73D0" w:rsidP="00CD35BB">
            <w:pPr>
              <w:rPr>
                <w:sz w:val="18"/>
                <w:szCs w:val="18"/>
              </w:rPr>
            </w:pPr>
            <w:r w:rsidRPr="004E7D79">
              <w:rPr>
                <w:sz w:val="18"/>
                <w:szCs w:val="18"/>
              </w:rPr>
              <w:t>Greece</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0.469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3 438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4 047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 4 624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70</w:t>
            </w:r>
          </w:p>
        </w:tc>
        <w:tc>
          <w:tcPr>
            <w:tcW w:w="3578" w:type="dxa"/>
            <w:shd w:val="clear" w:color="auto" w:fill="auto"/>
            <w:noWrap/>
            <w:hideMark/>
          </w:tcPr>
          <w:p w:rsidR="00DB73D0" w:rsidRPr="004E7D79" w:rsidRDefault="00DB73D0" w:rsidP="00CD35BB">
            <w:pPr>
              <w:rPr>
                <w:sz w:val="18"/>
                <w:szCs w:val="18"/>
              </w:rPr>
            </w:pPr>
            <w:r w:rsidRPr="004E7D79">
              <w:rPr>
                <w:sz w:val="18"/>
                <w:szCs w:val="18"/>
              </w:rPr>
              <w:t>Grenada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71</w:t>
            </w:r>
          </w:p>
        </w:tc>
        <w:tc>
          <w:tcPr>
            <w:tcW w:w="3578" w:type="dxa"/>
            <w:shd w:val="clear" w:color="auto" w:fill="auto"/>
            <w:noWrap/>
            <w:hideMark/>
          </w:tcPr>
          <w:p w:rsidR="00DB73D0" w:rsidRPr="004E7D79" w:rsidRDefault="00DB73D0" w:rsidP="00CD35BB">
            <w:pPr>
              <w:rPr>
                <w:sz w:val="18"/>
                <w:szCs w:val="18"/>
              </w:rPr>
            </w:pPr>
            <w:r w:rsidRPr="004E7D79">
              <w:rPr>
                <w:sz w:val="18"/>
                <w:szCs w:val="18"/>
              </w:rPr>
              <w:t>Guatemala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72</w:t>
            </w:r>
          </w:p>
        </w:tc>
        <w:tc>
          <w:tcPr>
            <w:tcW w:w="3578" w:type="dxa"/>
            <w:shd w:val="clear" w:color="auto" w:fill="auto"/>
            <w:noWrap/>
            <w:hideMark/>
          </w:tcPr>
          <w:p w:rsidR="00DB73D0" w:rsidRPr="004E7D79" w:rsidRDefault="00DB73D0" w:rsidP="00CD35BB">
            <w:pPr>
              <w:rPr>
                <w:sz w:val="18"/>
                <w:szCs w:val="18"/>
              </w:rPr>
            </w:pPr>
            <w:r w:rsidRPr="004E7D79">
              <w:rPr>
                <w:sz w:val="18"/>
                <w:szCs w:val="18"/>
              </w:rPr>
              <w:t>Guinea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73</w:t>
            </w:r>
          </w:p>
        </w:tc>
        <w:tc>
          <w:tcPr>
            <w:tcW w:w="3578" w:type="dxa"/>
            <w:shd w:val="clear" w:color="auto" w:fill="auto"/>
            <w:noWrap/>
            <w:hideMark/>
          </w:tcPr>
          <w:p w:rsidR="00DB73D0" w:rsidRPr="004E7D79" w:rsidRDefault="00DB73D0" w:rsidP="00CD35BB">
            <w:pPr>
              <w:rPr>
                <w:sz w:val="18"/>
                <w:szCs w:val="18"/>
              </w:rPr>
            </w:pPr>
            <w:r w:rsidRPr="004E7D79">
              <w:rPr>
                <w:sz w:val="18"/>
                <w:szCs w:val="18"/>
              </w:rPr>
              <w:t>Guinea-Bissau</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74</w:t>
            </w:r>
          </w:p>
        </w:tc>
        <w:tc>
          <w:tcPr>
            <w:tcW w:w="3578" w:type="dxa"/>
            <w:shd w:val="clear" w:color="auto" w:fill="auto"/>
            <w:noWrap/>
            <w:hideMark/>
          </w:tcPr>
          <w:p w:rsidR="00DB73D0" w:rsidRPr="004E7D79" w:rsidRDefault="00DB73D0" w:rsidP="00CD35BB">
            <w:pPr>
              <w:rPr>
                <w:sz w:val="18"/>
                <w:szCs w:val="18"/>
              </w:rPr>
            </w:pPr>
            <w:r w:rsidRPr="004E7D79">
              <w:rPr>
                <w:sz w:val="18"/>
                <w:szCs w:val="18"/>
              </w:rPr>
              <w:t>Guyana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75</w:t>
            </w:r>
          </w:p>
        </w:tc>
        <w:tc>
          <w:tcPr>
            <w:tcW w:w="3578" w:type="dxa"/>
            <w:shd w:val="clear" w:color="auto" w:fill="auto"/>
            <w:noWrap/>
            <w:hideMark/>
          </w:tcPr>
          <w:p w:rsidR="00DB73D0" w:rsidRPr="004E7D79" w:rsidRDefault="00DB73D0" w:rsidP="00CD35BB">
            <w:pPr>
              <w:rPr>
                <w:sz w:val="18"/>
                <w:szCs w:val="18"/>
              </w:rPr>
            </w:pPr>
            <w:r w:rsidRPr="004E7D79">
              <w:rPr>
                <w:sz w:val="18"/>
                <w:szCs w:val="18"/>
              </w:rPr>
              <w:t>Haiti</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76</w:t>
            </w:r>
          </w:p>
        </w:tc>
        <w:tc>
          <w:tcPr>
            <w:tcW w:w="3578" w:type="dxa"/>
            <w:shd w:val="clear" w:color="auto" w:fill="auto"/>
            <w:noWrap/>
            <w:hideMark/>
          </w:tcPr>
          <w:p w:rsidR="00DB73D0" w:rsidRPr="004E7D79" w:rsidRDefault="00DB73D0" w:rsidP="00CD35BB">
            <w:pPr>
              <w:rPr>
                <w:sz w:val="18"/>
                <w:szCs w:val="18"/>
              </w:rPr>
            </w:pPr>
            <w:r w:rsidRPr="004E7D79">
              <w:rPr>
                <w:sz w:val="18"/>
                <w:szCs w:val="18"/>
              </w:rPr>
              <w:t>Holy See</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77</w:t>
            </w:r>
          </w:p>
        </w:tc>
        <w:tc>
          <w:tcPr>
            <w:tcW w:w="3578" w:type="dxa"/>
            <w:shd w:val="clear" w:color="auto" w:fill="auto"/>
            <w:noWrap/>
            <w:hideMark/>
          </w:tcPr>
          <w:p w:rsidR="00DB73D0" w:rsidRPr="004E7D79" w:rsidRDefault="00DB73D0" w:rsidP="00CD35BB">
            <w:pPr>
              <w:rPr>
                <w:sz w:val="18"/>
                <w:szCs w:val="18"/>
              </w:rPr>
            </w:pPr>
            <w:r w:rsidRPr="004E7D79">
              <w:rPr>
                <w:sz w:val="18"/>
                <w:szCs w:val="18"/>
              </w:rPr>
              <w:t>Honduras</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78</w:t>
            </w:r>
          </w:p>
        </w:tc>
        <w:tc>
          <w:tcPr>
            <w:tcW w:w="3578" w:type="dxa"/>
            <w:shd w:val="clear" w:color="auto" w:fill="auto"/>
            <w:noWrap/>
            <w:hideMark/>
          </w:tcPr>
          <w:p w:rsidR="00DB73D0" w:rsidRPr="004E7D79" w:rsidRDefault="00DB73D0" w:rsidP="00CD35BB">
            <w:pPr>
              <w:rPr>
                <w:sz w:val="18"/>
                <w:szCs w:val="18"/>
              </w:rPr>
            </w:pPr>
            <w:r w:rsidRPr="004E7D79">
              <w:rPr>
                <w:sz w:val="18"/>
                <w:szCs w:val="18"/>
              </w:rPr>
              <w:t>Hungary</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0.160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1 175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1 383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1 581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79</w:t>
            </w:r>
          </w:p>
        </w:tc>
        <w:tc>
          <w:tcPr>
            <w:tcW w:w="3578" w:type="dxa"/>
            <w:shd w:val="clear" w:color="auto" w:fill="auto"/>
            <w:noWrap/>
            <w:hideMark/>
          </w:tcPr>
          <w:p w:rsidR="00DB73D0" w:rsidRPr="004E7D79" w:rsidRDefault="00DB73D0" w:rsidP="00CD35BB">
            <w:pPr>
              <w:rPr>
                <w:sz w:val="18"/>
                <w:szCs w:val="18"/>
              </w:rPr>
            </w:pPr>
            <w:r w:rsidRPr="004E7D79">
              <w:rPr>
                <w:sz w:val="18"/>
                <w:szCs w:val="18"/>
              </w:rPr>
              <w:t>Iceland</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80</w:t>
            </w:r>
          </w:p>
        </w:tc>
        <w:tc>
          <w:tcPr>
            <w:tcW w:w="3578" w:type="dxa"/>
            <w:shd w:val="clear" w:color="auto" w:fill="auto"/>
            <w:noWrap/>
            <w:hideMark/>
          </w:tcPr>
          <w:p w:rsidR="00DB73D0" w:rsidRPr="004E7D79" w:rsidRDefault="00DB73D0" w:rsidP="00CD35BB">
            <w:pPr>
              <w:rPr>
                <w:sz w:val="18"/>
                <w:szCs w:val="18"/>
              </w:rPr>
            </w:pPr>
            <w:r w:rsidRPr="004E7D79">
              <w:rPr>
                <w:sz w:val="18"/>
                <w:szCs w:val="18"/>
              </w:rPr>
              <w:t>India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0.734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5 379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6 333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7 236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81</w:t>
            </w:r>
          </w:p>
        </w:tc>
        <w:tc>
          <w:tcPr>
            <w:tcW w:w="3578" w:type="dxa"/>
            <w:shd w:val="clear" w:color="auto" w:fill="auto"/>
            <w:noWrap/>
            <w:hideMark/>
          </w:tcPr>
          <w:p w:rsidR="00DB73D0" w:rsidRPr="004E7D79" w:rsidRDefault="00DB73D0" w:rsidP="00CD35BB">
            <w:pPr>
              <w:rPr>
                <w:sz w:val="18"/>
                <w:szCs w:val="18"/>
              </w:rPr>
            </w:pPr>
            <w:r w:rsidRPr="004E7D79">
              <w:rPr>
                <w:sz w:val="18"/>
                <w:szCs w:val="18"/>
              </w:rPr>
              <w:t>Indonesia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0.502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3 679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4 331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4 948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82</w:t>
            </w:r>
          </w:p>
        </w:tc>
        <w:tc>
          <w:tcPr>
            <w:tcW w:w="3578" w:type="dxa"/>
            <w:shd w:val="clear" w:color="auto" w:fill="auto"/>
            <w:noWrap/>
            <w:hideMark/>
          </w:tcPr>
          <w:p w:rsidR="00DB73D0" w:rsidRPr="004E7D79" w:rsidRDefault="00DB73D0" w:rsidP="00CD35BB">
            <w:pPr>
              <w:rPr>
                <w:sz w:val="18"/>
                <w:szCs w:val="18"/>
              </w:rPr>
            </w:pPr>
            <w:r w:rsidRPr="004E7D79">
              <w:rPr>
                <w:sz w:val="18"/>
                <w:szCs w:val="18"/>
              </w:rPr>
              <w:t>Iran (Islamic Republic of)</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0.469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3 438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4 047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4 624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83</w:t>
            </w:r>
          </w:p>
        </w:tc>
        <w:tc>
          <w:tcPr>
            <w:tcW w:w="3578" w:type="dxa"/>
            <w:shd w:val="clear" w:color="auto" w:fill="auto"/>
            <w:noWrap/>
            <w:hideMark/>
          </w:tcPr>
          <w:p w:rsidR="00DB73D0" w:rsidRPr="004E7D79" w:rsidRDefault="00DB73D0" w:rsidP="00CD35BB">
            <w:pPr>
              <w:rPr>
                <w:sz w:val="18"/>
                <w:szCs w:val="18"/>
              </w:rPr>
            </w:pPr>
            <w:r w:rsidRPr="004E7D79">
              <w:rPr>
                <w:sz w:val="18"/>
                <w:szCs w:val="18"/>
              </w:rPr>
              <w:t>Iraq</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0.128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942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1 109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1 266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lastRenderedPageBreak/>
              <w:t>84</w:t>
            </w:r>
          </w:p>
        </w:tc>
        <w:tc>
          <w:tcPr>
            <w:tcW w:w="3578" w:type="dxa"/>
            <w:shd w:val="clear" w:color="auto" w:fill="auto"/>
            <w:noWrap/>
            <w:hideMark/>
          </w:tcPr>
          <w:p w:rsidR="00DB73D0" w:rsidRPr="00CD35BB" w:rsidRDefault="00DB73D0" w:rsidP="00CD35BB">
            <w:pPr>
              <w:rPr>
                <w:sz w:val="18"/>
                <w:szCs w:val="18"/>
              </w:rPr>
            </w:pPr>
            <w:r w:rsidRPr="00CD35BB">
              <w:rPr>
                <w:sz w:val="18"/>
                <w:szCs w:val="18"/>
              </w:rPr>
              <w:t>Ireland</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0.334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2 445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2 879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3 289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85</w:t>
            </w:r>
          </w:p>
        </w:tc>
        <w:tc>
          <w:tcPr>
            <w:tcW w:w="3578" w:type="dxa"/>
            <w:shd w:val="clear" w:color="auto" w:fill="auto"/>
            <w:noWrap/>
            <w:hideMark/>
          </w:tcPr>
          <w:p w:rsidR="00DB73D0" w:rsidRPr="00CD35BB" w:rsidRDefault="00DB73D0" w:rsidP="00CD35BB">
            <w:pPr>
              <w:rPr>
                <w:sz w:val="18"/>
                <w:szCs w:val="18"/>
              </w:rPr>
            </w:pPr>
            <w:r w:rsidRPr="00CD35BB">
              <w:rPr>
                <w:sz w:val="18"/>
                <w:szCs w:val="18"/>
              </w:rPr>
              <w:t>Israel</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0.428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3 138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3 695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4 222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86</w:t>
            </w:r>
          </w:p>
        </w:tc>
        <w:tc>
          <w:tcPr>
            <w:tcW w:w="3578" w:type="dxa"/>
            <w:shd w:val="clear" w:color="auto" w:fill="auto"/>
            <w:noWrap/>
            <w:hideMark/>
          </w:tcPr>
          <w:p w:rsidR="00DB73D0" w:rsidRPr="00CD35BB" w:rsidRDefault="00DB73D0" w:rsidP="00CD35BB">
            <w:pPr>
              <w:rPr>
                <w:sz w:val="18"/>
                <w:szCs w:val="18"/>
              </w:rPr>
            </w:pPr>
            <w:r w:rsidRPr="00CD35BB">
              <w:rPr>
                <w:sz w:val="18"/>
                <w:szCs w:val="18"/>
              </w:rPr>
              <w:t>Italy</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3.732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27 355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32 207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36 797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87</w:t>
            </w:r>
          </w:p>
        </w:tc>
        <w:tc>
          <w:tcPr>
            <w:tcW w:w="3578" w:type="dxa"/>
            <w:shd w:val="clear" w:color="auto" w:fill="auto"/>
            <w:noWrap/>
            <w:hideMark/>
          </w:tcPr>
          <w:p w:rsidR="00DB73D0" w:rsidRPr="00CD35BB" w:rsidRDefault="00DB73D0" w:rsidP="00CD35BB">
            <w:pPr>
              <w:rPr>
                <w:sz w:val="18"/>
                <w:szCs w:val="18"/>
              </w:rPr>
            </w:pPr>
            <w:r w:rsidRPr="00CD35BB">
              <w:rPr>
                <w:sz w:val="18"/>
                <w:szCs w:val="18"/>
              </w:rPr>
              <w:t>Jamaica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88</w:t>
            </w:r>
          </w:p>
        </w:tc>
        <w:tc>
          <w:tcPr>
            <w:tcW w:w="3578" w:type="dxa"/>
            <w:shd w:val="clear" w:color="auto" w:fill="auto"/>
            <w:noWrap/>
            <w:hideMark/>
          </w:tcPr>
          <w:p w:rsidR="00DB73D0" w:rsidRPr="00CD35BB" w:rsidRDefault="00DB73D0" w:rsidP="00CD35BB">
            <w:pPr>
              <w:rPr>
                <w:sz w:val="18"/>
                <w:szCs w:val="18"/>
              </w:rPr>
            </w:pPr>
            <w:r w:rsidRPr="00CD35BB">
              <w:rPr>
                <w:sz w:val="18"/>
                <w:szCs w:val="18"/>
              </w:rPr>
              <w:t>Japan</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9.639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70 651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 83 181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95 036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89</w:t>
            </w:r>
          </w:p>
        </w:tc>
        <w:tc>
          <w:tcPr>
            <w:tcW w:w="3578" w:type="dxa"/>
            <w:shd w:val="clear" w:color="auto" w:fill="auto"/>
            <w:noWrap/>
            <w:hideMark/>
          </w:tcPr>
          <w:p w:rsidR="00DB73D0" w:rsidRPr="00CD35BB" w:rsidRDefault="00DB73D0" w:rsidP="00CD35BB">
            <w:pPr>
              <w:rPr>
                <w:sz w:val="18"/>
                <w:szCs w:val="18"/>
              </w:rPr>
            </w:pPr>
            <w:r w:rsidRPr="00CD35BB">
              <w:rPr>
                <w:sz w:val="18"/>
                <w:szCs w:val="18"/>
              </w:rPr>
              <w:t>Jordan</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90</w:t>
            </w:r>
          </w:p>
        </w:tc>
        <w:tc>
          <w:tcPr>
            <w:tcW w:w="3578" w:type="dxa"/>
            <w:shd w:val="clear" w:color="auto" w:fill="auto"/>
            <w:noWrap/>
            <w:hideMark/>
          </w:tcPr>
          <w:p w:rsidR="00DB73D0" w:rsidRPr="00CD35BB" w:rsidRDefault="00DB73D0" w:rsidP="00CD35BB">
            <w:pPr>
              <w:rPr>
                <w:sz w:val="18"/>
                <w:szCs w:val="18"/>
              </w:rPr>
            </w:pPr>
            <w:r w:rsidRPr="00CD35BB">
              <w:rPr>
                <w:sz w:val="18"/>
                <w:szCs w:val="18"/>
              </w:rPr>
              <w:t>Kazakhstan</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0.190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1 394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1 641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1 875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91</w:t>
            </w:r>
          </w:p>
        </w:tc>
        <w:tc>
          <w:tcPr>
            <w:tcW w:w="3578" w:type="dxa"/>
            <w:shd w:val="clear" w:color="auto" w:fill="auto"/>
            <w:noWrap/>
            <w:hideMark/>
          </w:tcPr>
          <w:p w:rsidR="00DB73D0" w:rsidRPr="00CD35BB" w:rsidRDefault="00DB73D0" w:rsidP="00CD35BB">
            <w:pPr>
              <w:rPr>
                <w:sz w:val="18"/>
                <w:szCs w:val="18"/>
              </w:rPr>
            </w:pPr>
            <w:r w:rsidRPr="00CD35BB">
              <w:rPr>
                <w:sz w:val="18"/>
                <w:szCs w:val="18"/>
              </w:rPr>
              <w:t>Kenya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92</w:t>
            </w:r>
          </w:p>
        </w:tc>
        <w:tc>
          <w:tcPr>
            <w:tcW w:w="3578" w:type="dxa"/>
            <w:shd w:val="clear" w:color="auto" w:fill="auto"/>
            <w:noWrap/>
            <w:hideMark/>
          </w:tcPr>
          <w:p w:rsidR="00DB73D0" w:rsidRPr="00CD35BB" w:rsidRDefault="00DB73D0" w:rsidP="00CD35BB">
            <w:pPr>
              <w:rPr>
                <w:sz w:val="18"/>
                <w:szCs w:val="18"/>
              </w:rPr>
            </w:pPr>
            <w:r w:rsidRPr="00CD35BB">
              <w:rPr>
                <w:sz w:val="18"/>
                <w:szCs w:val="18"/>
              </w:rPr>
              <w:t>Kiribati</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93</w:t>
            </w:r>
          </w:p>
        </w:tc>
        <w:tc>
          <w:tcPr>
            <w:tcW w:w="3578" w:type="dxa"/>
            <w:shd w:val="clear" w:color="auto" w:fill="auto"/>
            <w:noWrap/>
            <w:hideMark/>
          </w:tcPr>
          <w:p w:rsidR="00DB73D0" w:rsidRPr="00CD35BB" w:rsidRDefault="00DB73D0" w:rsidP="00CD35BB">
            <w:pPr>
              <w:rPr>
                <w:sz w:val="18"/>
                <w:szCs w:val="18"/>
              </w:rPr>
            </w:pPr>
            <w:r w:rsidRPr="00CD35BB">
              <w:rPr>
                <w:sz w:val="18"/>
                <w:szCs w:val="18"/>
              </w:rPr>
              <w:t>Kuwait</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0.284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2 080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2 449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2 798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94</w:t>
            </w:r>
          </w:p>
        </w:tc>
        <w:tc>
          <w:tcPr>
            <w:tcW w:w="3578" w:type="dxa"/>
            <w:shd w:val="clear" w:color="auto" w:fill="auto"/>
            <w:noWrap/>
            <w:hideMark/>
          </w:tcPr>
          <w:p w:rsidR="00DB73D0" w:rsidRPr="00CD35BB" w:rsidRDefault="00DB73D0" w:rsidP="00CD35BB">
            <w:pPr>
              <w:rPr>
                <w:sz w:val="18"/>
                <w:szCs w:val="18"/>
              </w:rPr>
            </w:pPr>
            <w:r w:rsidRPr="00CD35BB">
              <w:rPr>
                <w:sz w:val="18"/>
                <w:szCs w:val="18"/>
              </w:rPr>
              <w:t>Kyrgyzstan</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95</w:t>
            </w:r>
          </w:p>
        </w:tc>
        <w:tc>
          <w:tcPr>
            <w:tcW w:w="3578" w:type="dxa"/>
            <w:shd w:val="clear" w:color="auto" w:fill="auto"/>
            <w:noWrap/>
            <w:hideMark/>
          </w:tcPr>
          <w:p w:rsidR="00DB73D0" w:rsidRPr="00CD35BB" w:rsidRDefault="00DB73D0" w:rsidP="00CD35BB">
            <w:pPr>
              <w:rPr>
                <w:sz w:val="18"/>
                <w:szCs w:val="18"/>
              </w:rPr>
            </w:pPr>
            <w:r w:rsidRPr="00CD35BB">
              <w:rPr>
                <w:sz w:val="18"/>
                <w:szCs w:val="18"/>
              </w:rPr>
              <w:t>Lao People's Democratic Republic</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96</w:t>
            </w:r>
          </w:p>
        </w:tc>
        <w:tc>
          <w:tcPr>
            <w:tcW w:w="3578" w:type="dxa"/>
            <w:shd w:val="clear" w:color="auto" w:fill="auto"/>
            <w:noWrap/>
            <w:hideMark/>
          </w:tcPr>
          <w:p w:rsidR="00DB73D0" w:rsidRPr="00CD35BB" w:rsidRDefault="00DB73D0" w:rsidP="00CD35BB">
            <w:pPr>
              <w:rPr>
                <w:sz w:val="18"/>
                <w:szCs w:val="18"/>
              </w:rPr>
            </w:pPr>
            <w:r w:rsidRPr="00CD35BB">
              <w:rPr>
                <w:sz w:val="18"/>
                <w:szCs w:val="18"/>
              </w:rPr>
              <w:t>Latvia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97</w:t>
            </w:r>
          </w:p>
        </w:tc>
        <w:tc>
          <w:tcPr>
            <w:tcW w:w="3578" w:type="dxa"/>
            <w:shd w:val="clear" w:color="auto" w:fill="auto"/>
            <w:noWrap/>
            <w:hideMark/>
          </w:tcPr>
          <w:p w:rsidR="00DB73D0" w:rsidRPr="00CD35BB" w:rsidRDefault="00DB73D0" w:rsidP="00CD35BB">
            <w:pPr>
              <w:rPr>
                <w:sz w:val="18"/>
                <w:szCs w:val="18"/>
              </w:rPr>
            </w:pPr>
            <w:r w:rsidRPr="00CD35BB">
              <w:rPr>
                <w:sz w:val="18"/>
                <w:szCs w:val="18"/>
              </w:rPr>
              <w:t>Lebanon</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98</w:t>
            </w:r>
          </w:p>
        </w:tc>
        <w:tc>
          <w:tcPr>
            <w:tcW w:w="3578" w:type="dxa"/>
            <w:shd w:val="clear" w:color="auto" w:fill="auto"/>
            <w:noWrap/>
            <w:hideMark/>
          </w:tcPr>
          <w:p w:rsidR="00DB73D0" w:rsidRPr="00CD35BB" w:rsidRDefault="00DB73D0" w:rsidP="00CD35BB">
            <w:pPr>
              <w:rPr>
                <w:sz w:val="18"/>
                <w:szCs w:val="18"/>
              </w:rPr>
            </w:pPr>
            <w:r w:rsidRPr="00CD35BB">
              <w:rPr>
                <w:sz w:val="18"/>
                <w:szCs w:val="18"/>
              </w:rPr>
              <w:t>Lesotho</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99</w:t>
            </w:r>
          </w:p>
        </w:tc>
        <w:tc>
          <w:tcPr>
            <w:tcW w:w="3578" w:type="dxa"/>
            <w:shd w:val="clear" w:color="auto" w:fill="auto"/>
            <w:noWrap/>
            <w:hideMark/>
          </w:tcPr>
          <w:p w:rsidR="00DB73D0" w:rsidRPr="00CD35BB" w:rsidRDefault="00DB73D0" w:rsidP="00CD35BB">
            <w:pPr>
              <w:rPr>
                <w:sz w:val="18"/>
                <w:szCs w:val="18"/>
              </w:rPr>
            </w:pPr>
            <w:r w:rsidRPr="00CD35BB">
              <w:rPr>
                <w:sz w:val="18"/>
                <w:szCs w:val="18"/>
              </w:rPr>
              <w:t>Liberia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274"/>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100</w:t>
            </w:r>
          </w:p>
        </w:tc>
        <w:tc>
          <w:tcPr>
            <w:tcW w:w="3578" w:type="dxa"/>
            <w:shd w:val="clear" w:color="auto" w:fill="auto"/>
            <w:noWrap/>
            <w:hideMark/>
          </w:tcPr>
          <w:p w:rsidR="00DB73D0" w:rsidRPr="00CD35BB" w:rsidRDefault="00DB73D0" w:rsidP="00CD35BB">
            <w:pPr>
              <w:rPr>
                <w:sz w:val="18"/>
                <w:szCs w:val="18"/>
              </w:rPr>
            </w:pPr>
            <w:r w:rsidRPr="00CD35BB">
              <w:rPr>
                <w:sz w:val="18"/>
                <w:szCs w:val="18"/>
              </w:rPr>
              <w:t>Libya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0.124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912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1 074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1 227 </w:t>
            </w:r>
          </w:p>
        </w:tc>
      </w:tr>
      <w:tr w:rsidR="00DB73D0" w:rsidRPr="00DB6883" w:rsidTr="00715700">
        <w:trPr>
          <w:trHeight w:val="153"/>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101</w:t>
            </w:r>
          </w:p>
        </w:tc>
        <w:tc>
          <w:tcPr>
            <w:tcW w:w="3578" w:type="dxa"/>
            <w:shd w:val="clear" w:color="auto" w:fill="auto"/>
            <w:noWrap/>
            <w:hideMark/>
          </w:tcPr>
          <w:p w:rsidR="00DB73D0" w:rsidRPr="00CD35BB" w:rsidRDefault="00DB73D0" w:rsidP="00CD35BB">
            <w:pPr>
              <w:rPr>
                <w:sz w:val="18"/>
                <w:szCs w:val="18"/>
              </w:rPr>
            </w:pPr>
            <w:r w:rsidRPr="00CD35BB">
              <w:rPr>
                <w:sz w:val="18"/>
                <w:szCs w:val="18"/>
              </w:rPr>
              <w:t>Liechtenstein</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102</w:t>
            </w:r>
          </w:p>
        </w:tc>
        <w:tc>
          <w:tcPr>
            <w:tcW w:w="3578" w:type="dxa"/>
            <w:shd w:val="clear" w:color="auto" w:fill="auto"/>
            <w:noWrap/>
            <w:hideMark/>
          </w:tcPr>
          <w:p w:rsidR="00DB73D0" w:rsidRPr="00CD35BB" w:rsidRDefault="00DB73D0" w:rsidP="00CD35BB">
            <w:pPr>
              <w:rPr>
                <w:sz w:val="18"/>
                <w:szCs w:val="18"/>
              </w:rPr>
            </w:pPr>
            <w:r w:rsidRPr="00CD35BB">
              <w:rPr>
                <w:sz w:val="18"/>
                <w:szCs w:val="18"/>
              </w:rPr>
              <w:t>Lithuania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103</w:t>
            </w:r>
          </w:p>
        </w:tc>
        <w:tc>
          <w:tcPr>
            <w:tcW w:w="3578" w:type="dxa"/>
            <w:shd w:val="clear" w:color="auto" w:fill="auto"/>
            <w:noWrap/>
            <w:hideMark/>
          </w:tcPr>
          <w:p w:rsidR="00DB73D0" w:rsidRPr="00CD35BB" w:rsidRDefault="00DB73D0" w:rsidP="00CD35BB">
            <w:pPr>
              <w:rPr>
                <w:sz w:val="18"/>
                <w:szCs w:val="18"/>
              </w:rPr>
            </w:pPr>
            <w:r w:rsidRPr="00CD35BB">
              <w:rPr>
                <w:sz w:val="18"/>
                <w:szCs w:val="18"/>
              </w:rPr>
              <w:t>Luxembourg</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104</w:t>
            </w:r>
          </w:p>
        </w:tc>
        <w:tc>
          <w:tcPr>
            <w:tcW w:w="3578" w:type="dxa"/>
            <w:shd w:val="clear" w:color="auto" w:fill="auto"/>
            <w:noWrap/>
            <w:hideMark/>
          </w:tcPr>
          <w:p w:rsidR="00DB73D0" w:rsidRPr="00CD35BB" w:rsidRDefault="00DB73D0" w:rsidP="00CD35BB">
            <w:pPr>
              <w:rPr>
                <w:sz w:val="18"/>
                <w:szCs w:val="18"/>
              </w:rPr>
            </w:pPr>
            <w:r w:rsidRPr="00CD35BB">
              <w:rPr>
                <w:sz w:val="18"/>
                <w:szCs w:val="18"/>
              </w:rPr>
              <w:t>Madagascar</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105</w:t>
            </w:r>
          </w:p>
        </w:tc>
        <w:tc>
          <w:tcPr>
            <w:tcW w:w="3578" w:type="dxa"/>
            <w:shd w:val="clear" w:color="auto" w:fill="auto"/>
            <w:noWrap/>
            <w:hideMark/>
          </w:tcPr>
          <w:p w:rsidR="00DB73D0" w:rsidRPr="00CD35BB" w:rsidRDefault="00DB73D0" w:rsidP="00CD35BB">
            <w:pPr>
              <w:rPr>
                <w:sz w:val="18"/>
                <w:szCs w:val="18"/>
              </w:rPr>
            </w:pPr>
            <w:r w:rsidRPr="00CD35BB">
              <w:rPr>
                <w:sz w:val="18"/>
                <w:szCs w:val="18"/>
              </w:rPr>
              <w:t>Malawi</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106</w:t>
            </w:r>
          </w:p>
        </w:tc>
        <w:tc>
          <w:tcPr>
            <w:tcW w:w="3578" w:type="dxa"/>
            <w:shd w:val="clear" w:color="auto" w:fill="auto"/>
            <w:noWrap/>
            <w:hideMark/>
          </w:tcPr>
          <w:p w:rsidR="00DB73D0" w:rsidRPr="00CD35BB" w:rsidRDefault="00DB73D0" w:rsidP="00CD35BB">
            <w:pPr>
              <w:rPr>
                <w:sz w:val="18"/>
                <w:szCs w:val="18"/>
              </w:rPr>
            </w:pPr>
            <w:r w:rsidRPr="00CD35BB">
              <w:rPr>
                <w:sz w:val="18"/>
                <w:szCs w:val="18"/>
              </w:rPr>
              <w:t>Malaysia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0.321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2 350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2 767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 3 161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107</w:t>
            </w:r>
          </w:p>
        </w:tc>
        <w:tc>
          <w:tcPr>
            <w:tcW w:w="3578" w:type="dxa"/>
            <w:shd w:val="clear" w:color="auto" w:fill="auto"/>
            <w:noWrap/>
            <w:hideMark/>
          </w:tcPr>
          <w:p w:rsidR="00DB73D0" w:rsidRPr="00CD35BB" w:rsidRDefault="00DB73D0" w:rsidP="00CD35BB">
            <w:pPr>
              <w:rPr>
                <w:sz w:val="18"/>
                <w:szCs w:val="18"/>
              </w:rPr>
            </w:pPr>
            <w:r w:rsidRPr="00CD35BB">
              <w:rPr>
                <w:sz w:val="18"/>
                <w:szCs w:val="18"/>
              </w:rPr>
              <w:t>Maldives</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108</w:t>
            </w:r>
          </w:p>
        </w:tc>
        <w:tc>
          <w:tcPr>
            <w:tcW w:w="3578" w:type="dxa"/>
            <w:shd w:val="clear" w:color="auto" w:fill="auto"/>
            <w:noWrap/>
            <w:hideMark/>
          </w:tcPr>
          <w:p w:rsidR="00DB73D0" w:rsidRPr="00CD35BB" w:rsidRDefault="00DB73D0" w:rsidP="00CD35BB">
            <w:pPr>
              <w:rPr>
                <w:sz w:val="18"/>
                <w:szCs w:val="18"/>
              </w:rPr>
            </w:pPr>
            <w:r w:rsidRPr="00CD35BB">
              <w:rPr>
                <w:sz w:val="18"/>
                <w:szCs w:val="18"/>
              </w:rPr>
              <w:t>Mali</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109</w:t>
            </w:r>
          </w:p>
        </w:tc>
        <w:tc>
          <w:tcPr>
            <w:tcW w:w="3578" w:type="dxa"/>
            <w:shd w:val="clear" w:color="auto" w:fill="auto"/>
            <w:noWrap/>
            <w:hideMark/>
          </w:tcPr>
          <w:p w:rsidR="00DB73D0" w:rsidRPr="00CD35BB" w:rsidRDefault="00DB73D0" w:rsidP="00CD35BB">
            <w:pPr>
              <w:rPr>
                <w:sz w:val="18"/>
                <w:szCs w:val="18"/>
              </w:rPr>
            </w:pPr>
            <w:r w:rsidRPr="00CD35BB">
              <w:rPr>
                <w:sz w:val="18"/>
                <w:szCs w:val="18"/>
              </w:rPr>
              <w:t>Malta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110</w:t>
            </w:r>
          </w:p>
        </w:tc>
        <w:tc>
          <w:tcPr>
            <w:tcW w:w="3578" w:type="dxa"/>
            <w:shd w:val="clear" w:color="auto" w:fill="auto"/>
            <w:noWrap/>
            <w:hideMark/>
          </w:tcPr>
          <w:p w:rsidR="00DB73D0" w:rsidRPr="00CD35BB" w:rsidRDefault="00DB73D0" w:rsidP="00CD35BB">
            <w:pPr>
              <w:rPr>
                <w:sz w:val="18"/>
                <w:szCs w:val="18"/>
              </w:rPr>
            </w:pPr>
            <w:r w:rsidRPr="00CD35BB">
              <w:rPr>
                <w:sz w:val="18"/>
                <w:szCs w:val="18"/>
              </w:rPr>
              <w:t>Marshall Islands</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111</w:t>
            </w:r>
          </w:p>
        </w:tc>
        <w:tc>
          <w:tcPr>
            <w:tcW w:w="3578" w:type="dxa"/>
            <w:shd w:val="clear" w:color="auto" w:fill="auto"/>
            <w:noWrap/>
            <w:hideMark/>
          </w:tcPr>
          <w:p w:rsidR="00DB73D0" w:rsidRPr="00CD35BB" w:rsidRDefault="00DB73D0" w:rsidP="00CD35BB">
            <w:pPr>
              <w:rPr>
                <w:sz w:val="18"/>
                <w:szCs w:val="18"/>
              </w:rPr>
            </w:pPr>
            <w:r w:rsidRPr="00CD35BB">
              <w:rPr>
                <w:sz w:val="18"/>
                <w:szCs w:val="18"/>
              </w:rPr>
              <w:t>Mauritania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112</w:t>
            </w:r>
          </w:p>
        </w:tc>
        <w:tc>
          <w:tcPr>
            <w:tcW w:w="3578" w:type="dxa"/>
            <w:shd w:val="clear" w:color="auto" w:fill="auto"/>
            <w:noWrap/>
            <w:hideMark/>
          </w:tcPr>
          <w:p w:rsidR="00DB73D0" w:rsidRPr="00CD35BB" w:rsidRDefault="00DB73D0" w:rsidP="00CD35BB">
            <w:pPr>
              <w:rPr>
                <w:sz w:val="18"/>
                <w:szCs w:val="18"/>
              </w:rPr>
            </w:pPr>
            <w:r w:rsidRPr="00CD35BB">
              <w:rPr>
                <w:sz w:val="18"/>
                <w:szCs w:val="18"/>
              </w:rPr>
              <w:t>Mauritius</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113</w:t>
            </w:r>
          </w:p>
        </w:tc>
        <w:tc>
          <w:tcPr>
            <w:tcW w:w="3578" w:type="dxa"/>
            <w:shd w:val="clear" w:color="auto" w:fill="auto"/>
            <w:noWrap/>
            <w:hideMark/>
          </w:tcPr>
          <w:p w:rsidR="00DB73D0" w:rsidRPr="00CD35BB" w:rsidRDefault="00DB73D0" w:rsidP="00CD35BB">
            <w:pPr>
              <w:rPr>
                <w:sz w:val="18"/>
                <w:szCs w:val="18"/>
              </w:rPr>
            </w:pPr>
            <w:r w:rsidRPr="00CD35BB">
              <w:rPr>
                <w:sz w:val="18"/>
                <w:szCs w:val="18"/>
              </w:rPr>
              <w:t>Mexico</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1.429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10 474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12 331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14 089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114</w:t>
            </w:r>
          </w:p>
        </w:tc>
        <w:tc>
          <w:tcPr>
            <w:tcW w:w="3578" w:type="dxa"/>
            <w:shd w:val="clear" w:color="auto" w:fill="auto"/>
            <w:noWrap/>
            <w:hideMark/>
          </w:tcPr>
          <w:p w:rsidR="00DB73D0" w:rsidRPr="004E7D79" w:rsidRDefault="00DB73D0" w:rsidP="00CD35BB">
            <w:pPr>
              <w:rPr>
                <w:sz w:val="18"/>
                <w:szCs w:val="18"/>
              </w:rPr>
            </w:pPr>
            <w:r w:rsidRPr="004E7D79">
              <w:rPr>
                <w:sz w:val="18"/>
                <w:szCs w:val="18"/>
              </w:rPr>
              <w:t>Micronesia (Federated States of)</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115</w:t>
            </w:r>
          </w:p>
        </w:tc>
        <w:tc>
          <w:tcPr>
            <w:tcW w:w="3578" w:type="dxa"/>
            <w:shd w:val="clear" w:color="auto" w:fill="auto"/>
            <w:noWrap/>
            <w:hideMark/>
          </w:tcPr>
          <w:p w:rsidR="00DB73D0" w:rsidRPr="00CD35BB" w:rsidRDefault="00DB73D0" w:rsidP="00CD35BB">
            <w:pPr>
              <w:rPr>
                <w:sz w:val="18"/>
                <w:szCs w:val="18"/>
              </w:rPr>
            </w:pPr>
            <w:r w:rsidRPr="00CD35BB">
              <w:rPr>
                <w:sz w:val="18"/>
                <w:szCs w:val="18"/>
              </w:rPr>
              <w:t>Monaco</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116</w:t>
            </w:r>
          </w:p>
        </w:tc>
        <w:tc>
          <w:tcPr>
            <w:tcW w:w="3578" w:type="dxa"/>
            <w:shd w:val="clear" w:color="auto" w:fill="auto"/>
            <w:noWrap/>
            <w:hideMark/>
          </w:tcPr>
          <w:p w:rsidR="00DB73D0" w:rsidRPr="00CD35BB" w:rsidRDefault="00DB73D0" w:rsidP="00CD35BB">
            <w:pPr>
              <w:rPr>
                <w:sz w:val="18"/>
                <w:szCs w:val="18"/>
              </w:rPr>
            </w:pPr>
            <w:r w:rsidRPr="00CD35BB">
              <w:rPr>
                <w:sz w:val="18"/>
                <w:szCs w:val="18"/>
              </w:rPr>
              <w:t>Mongolia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117</w:t>
            </w:r>
          </w:p>
        </w:tc>
        <w:tc>
          <w:tcPr>
            <w:tcW w:w="3578" w:type="dxa"/>
            <w:shd w:val="clear" w:color="auto" w:fill="auto"/>
            <w:noWrap/>
            <w:hideMark/>
          </w:tcPr>
          <w:p w:rsidR="00DB73D0" w:rsidRPr="00CD35BB" w:rsidRDefault="00DB73D0" w:rsidP="00CD35BB">
            <w:pPr>
              <w:rPr>
                <w:sz w:val="18"/>
                <w:szCs w:val="18"/>
              </w:rPr>
            </w:pPr>
            <w:r w:rsidRPr="00CD35BB">
              <w:rPr>
                <w:sz w:val="18"/>
                <w:szCs w:val="18"/>
              </w:rPr>
              <w:t>Montenegro</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118</w:t>
            </w:r>
          </w:p>
        </w:tc>
        <w:tc>
          <w:tcPr>
            <w:tcW w:w="3578" w:type="dxa"/>
            <w:shd w:val="clear" w:color="auto" w:fill="auto"/>
            <w:noWrap/>
            <w:hideMark/>
          </w:tcPr>
          <w:p w:rsidR="00DB73D0" w:rsidRPr="00CD35BB" w:rsidRDefault="00DB73D0" w:rsidP="00CD35BB">
            <w:pPr>
              <w:rPr>
                <w:sz w:val="18"/>
                <w:szCs w:val="18"/>
              </w:rPr>
            </w:pPr>
            <w:r w:rsidRPr="00CD35BB">
              <w:rPr>
                <w:sz w:val="18"/>
                <w:szCs w:val="18"/>
              </w:rPr>
              <w:t>Morocco</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119</w:t>
            </w:r>
          </w:p>
        </w:tc>
        <w:tc>
          <w:tcPr>
            <w:tcW w:w="3578" w:type="dxa"/>
            <w:shd w:val="clear" w:color="auto" w:fill="auto"/>
            <w:noWrap/>
            <w:hideMark/>
          </w:tcPr>
          <w:p w:rsidR="00DB73D0" w:rsidRPr="00CD35BB" w:rsidRDefault="00DB73D0" w:rsidP="00CD35BB">
            <w:pPr>
              <w:rPr>
                <w:sz w:val="18"/>
                <w:szCs w:val="18"/>
              </w:rPr>
            </w:pPr>
            <w:r w:rsidRPr="00CD35BB">
              <w:rPr>
                <w:sz w:val="18"/>
                <w:szCs w:val="18"/>
              </w:rPr>
              <w:t>Mozambique</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120</w:t>
            </w:r>
          </w:p>
        </w:tc>
        <w:tc>
          <w:tcPr>
            <w:tcW w:w="3578" w:type="dxa"/>
            <w:shd w:val="clear" w:color="auto" w:fill="auto"/>
            <w:noWrap/>
            <w:hideMark/>
          </w:tcPr>
          <w:p w:rsidR="00DB73D0" w:rsidRPr="00CD35BB" w:rsidRDefault="00DB73D0" w:rsidP="00CD35BB">
            <w:pPr>
              <w:rPr>
                <w:sz w:val="18"/>
                <w:szCs w:val="18"/>
              </w:rPr>
            </w:pPr>
            <w:r w:rsidRPr="00CD35BB">
              <w:rPr>
                <w:sz w:val="18"/>
                <w:szCs w:val="18"/>
              </w:rPr>
              <w:t>Myanmar</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121</w:t>
            </w:r>
          </w:p>
        </w:tc>
        <w:tc>
          <w:tcPr>
            <w:tcW w:w="3578" w:type="dxa"/>
            <w:shd w:val="clear" w:color="auto" w:fill="auto"/>
            <w:noWrap/>
            <w:hideMark/>
          </w:tcPr>
          <w:p w:rsidR="00DB73D0" w:rsidRPr="00CD35BB" w:rsidRDefault="00DB73D0" w:rsidP="00CD35BB">
            <w:pPr>
              <w:rPr>
                <w:sz w:val="18"/>
                <w:szCs w:val="18"/>
              </w:rPr>
            </w:pPr>
            <w:r w:rsidRPr="00CD35BB">
              <w:rPr>
                <w:sz w:val="18"/>
                <w:szCs w:val="18"/>
              </w:rPr>
              <w:t>Namibia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122</w:t>
            </w:r>
          </w:p>
        </w:tc>
        <w:tc>
          <w:tcPr>
            <w:tcW w:w="3578" w:type="dxa"/>
            <w:shd w:val="clear" w:color="auto" w:fill="auto"/>
            <w:noWrap/>
            <w:hideMark/>
          </w:tcPr>
          <w:p w:rsidR="00DB73D0" w:rsidRPr="00CD35BB" w:rsidRDefault="00DB73D0" w:rsidP="00CD35BB">
            <w:pPr>
              <w:rPr>
                <w:sz w:val="18"/>
                <w:szCs w:val="18"/>
              </w:rPr>
            </w:pPr>
            <w:r w:rsidRPr="00CD35BB">
              <w:rPr>
                <w:sz w:val="18"/>
                <w:szCs w:val="18"/>
              </w:rPr>
              <w:t>Nauru</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123</w:t>
            </w:r>
          </w:p>
        </w:tc>
        <w:tc>
          <w:tcPr>
            <w:tcW w:w="3578" w:type="dxa"/>
            <w:shd w:val="clear" w:color="auto" w:fill="auto"/>
            <w:noWrap/>
            <w:hideMark/>
          </w:tcPr>
          <w:p w:rsidR="00DB73D0" w:rsidRPr="00CD35BB" w:rsidRDefault="00DB73D0" w:rsidP="00CD35BB">
            <w:pPr>
              <w:rPr>
                <w:sz w:val="18"/>
                <w:szCs w:val="18"/>
              </w:rPr>
            </w:pPr>
            <w:r w:rsidRPr="00CD35BB">
              <w:rPr>
                <w:sz w:val="18"/>
                <w:szCs w:val="18"/>
              </w:rPr>
              <w:t>Nepal</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124</w:t>
            </w:r>
          </w:p>
        </w:tc>
        <w:tc>
          <w:tcPr>
            <w:tcW w:w="3578" w:type="dxa"/>
            <w:shd w:val="clear" w:color="auto" w:fill="auto"/>
            <w:noWrap/>
            <w:hideMark/>
          </w:tcPr>
          <w:p w:rsidR="00DB73D0" w:rsidRPr="00CD35BB" w:rsidRDefault="00DB73D0" w:rsidP="00CD35BB">
            <w:pPr>
              <w:rPr>
                <w:sz w:val="18"/>
                <w:szCs w:val="18"/>
              </w:rPr>
            </w:pPr>
            <w:r w:rsidRPr="00CD35BB">
              <w:rPr>
                <w:sz w:val="18"/>
                <w:szCs w:val="18"/>
              </w:rPr>
              <w:t>Netherlands</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1.476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10 817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12 735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14 550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125</w:t>
            </w:r>
          </w:p>
        </w:tc>
        <w:tc>
          <w:tcPr>
            <w:tcW w:w="3578" w:type="dxa"/>
            <w:shd w:val="clear" w:color="auto" w:fill="auto"/>
            <w:noWrap/>
            <w:hideMark/>
          </w:tcPr>
          <w:p w:rsidR="00DB73D0" w:rsidRPr="00CD35BB" w:rsidRDefault="00DB73D0" w:rsidP="00CD35BB">
            <w:pPr>
              <w:rPr>
                <w:sz w:val="18"/>
                <w:szCs w:val="18"/>
              </w:rPr>
            </w:pPr>
            <w:r w:rsidRPr="00CD35BB">
              <w:rPr>
                <w:sz w:val="18"/>
                <w:szCs w:val="18"/>
              </w:rPr>
              <w:t>New Zealand</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0.267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1 956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2 303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2 631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126</w:t>
            </w:r>
          </w:p>
        </w:tc>
        <w:tc>
          <w:tcPr>
            <w:tcW w:w="3578" w:type="dxa"/>
            <w:shd w:val="clear" w:color="auto" w:fill="auto"/>
            <w:noWrap/>
            <w:hideMark/>
          </w:tcPr>
          <w:p w:rsidR="00DB73D0" w:rsidRPr="00CD35BB" w:rsidRDefault="00DB73D0" w:rsidP="00CD35BB">
            <w:pPr>
              <w:rPr>
                <w:sz w:val="18"/>
                <w:szCs w:val="18"/>
              </w:rPr>
            </w:pPr>
            <w:r w:rsidRPr="00CD35BB">
              <w:rPr>
                <w:sz w:val="18"/>
                <w:szCs w:val="18"/>
              </w:rPr>
              <w:t>Nicaragua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127</w:t>
            </w:r>
          </w:p>
        </w:tc>
        <w:tc>
          <w:tcPr>
            <w:tcW w:w="3578" w:type="dxa"/>
            <w:shd w:val="clear" w:color="auto" w:fill="auto"/>
            <w:noWrap/>
            <w:hideMark/>
          </w:tcPr>
          <w:p w:rsidR="00DB73D0" w:rsidRPr="00CD35BB" w:rsidRDefault="00DB73D0" w:rsidP="00CD35BB">
            <w:pPr>
              <w:rPr>
                <w:sz w:val="18"/>
                <w:szCs w:val="18"/>
              </w:rPr>
            </w:pPr>
            <w:r w:rsidRPr="00CD35BB">
              <w:rPr>
                <w:sz w:val="18"/>
                <w:szCs w:val="18"/>
              </w:rPr>
              <w:t>Niger</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128</w:t>
            </w:r>
          </w:p>
        </w:tc>
        <w:tc>
          <w:tcPr>
            <w:tcW w:w="3578" w:type="dxa"/>
            <w:shd w:val="clear" w:color="auto" w:fill="auto"/>
            <w:noWrap/>
            <w:hideMark/>
          </w:tcPr>
          <w:p w:rsidR="00DB73D0" w:rsidRPr="00CD35BB" w:rsidRDefault="00DB73D0" w:rsidP="00CD35BB">
            <w:pPr>
              <w:rPr>
                <w:sz w:val="18"/>
                <w:szCs w:val="18"/>
              </w:rPr>
            </w:pPr>
            <w:r w:rsidRPr="00CD35BB">
              <w:rPr>
                <w:sz w:val="18"/>
                <w:szCs w:val="18"/>
              </w:rPr>
              <w:t>Nigeria</w:t>
            </w:r>
          </w:p>
        </w:tc>
        <w:tc>
          <w:tcPr>
            <w:tcW w:w="1077" w:type="dxa"/>
            <w:shd w:val="clear" w:color="000000" w:fill="FFFFFF"/>
            <w:noWrap/>
            <w:hideMark/>
          </w:tcPr>
          <w:p w:rsidR="00DB73D0" w:rsidRPr="004E7D79" w:rsidRDefault="00DB73D0" w:rsidP="006A67BA">
            <w:pPr>
              <w:jc w:val="right"/>
              <w:rPr>
                <w:bCs/>
                <w:sz w:val="18"/>
                <w:szCs w:val="18"/>
              </w:rPr>
            </w:pPr>
            <w:r w:rsidRPr="004E7D79">
              <w:rPr>
                <w:bCs/>
                <w:sz w:val="18"/>
                <w:szCs w:val="18"/>
              </w:rPr>
              <w:t xml:space="preserve">0.208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1 525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1 796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2 052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lastRenderedPageBreak/>
              <w:t>129</w:t>
            </w:r>
          </w:p>
        </w:tc>
        <w:tc>
          <w:tcPr>
            <w:tcW w:w="3578" w:type="dxa"/>
            <w:shd w:val="clear" w:color="000000" w:fill="FFFFFF"/>
            <w:noWrap/>
            <w:hideMark/>
          </w:tcPr>
          <w:p w:rsidR="00DB73D0" w:rsidRPr="00CD35BB" w:rsidRDefault="00DB73D0" w:rsidP="00CD35BB">
            <w:pPr>
              <w:rPr>
                <w:sz w:val="18"/>
                <w:szCs w:val="18"/>
              </w:rPr>
            </w:pPr>
            <w:r w:rsidRPr="00CD35BB">
              <w:rPr>
                <w:sz w:val="18"/>
                <w:szCs w:val="18"/>
              </w:rPr>
              <w:t>Niue</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130</w:t>
            </w:r>
          </w:p>
        </w:tc>
        <w:tc>
          <w:tcPr>
            <w:tcW w:w="3578" w:type="dxa"/>
            <w:shd w:val="clear" w:color="auto" w:fill="auto"/>
            <w:noWrap/>
            <w:hideMark/>
          </w:tcPr>
          <w:p w:rsidR="00DB73D0" w:rsidRPr="00CD35BB" w:rsidRDefault="00DB73D0" w:rsidP="00CD35BB">
            <w:pPr>
              <w:rPr>
                <w:sz w:val="18"/>
                <w:szCs w:val="18"/>
              </w:rPr>
            </w:pPr>
            <w:r w:rsidRPr="00CD35BB">
              <w:rPr>
                <w:sz w:val="18"/>
                <w:szCs w:val="18"/>
              </w:rPr>
              <w:t>Norway</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0.845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6 197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7 295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8 335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131</w:t>
            </w:r>
          </w:p>
        </w:tc>
        <w:tc>
          <w:tcPr>
            <w:tcW w:w="3578" w:type="dxa"/>
            <w:shd w:val="clear" w:color="auto" w:fill="auto"/>
            <w:noWrap/>
            <w:hideMark/>
          </w:tcPr>
          <w:p w:rsidR="00DB73D0" w:rsidRPr="00CD35BB" w:rsidRDefault="00DB73D0" w:rsidP="00CD35BB">
            <w:pPr>
              <w:rPr>
                <w:sz w:val="18"/>
                <w:szCs w:val="18"/>
              </w:rPr>
            </w:pPr>
            <w:r w:rsidRPr="00CD35BB">
              <w:rPr>
                <w:sz w:val="18"/>
                <w:szCs w:val="18"/>
              </w:rPr>
              <w:t>Oman</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0.113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825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971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1 109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132</w:t>
            </w:r>
          </w:p>
        </w:tc>
        <w:tc>
          <w:tcPr>
            <w:tcW w:w="3578" w:type="dxa"/>
            <w:shd w:val="clear" w:color="auto" w:fill="auto"/>
            <w:noWrap/>
            <w:hideMark/>
          </w:tcPr>
          <w:p w:rsidR="00DB73D0" w:rsidRPr="00CD35BB" w:rsidRDefault="00DB73D0" w:rsidP="00CD35BB">
            <w:pPr>
              <w:rPr>
                <w:sz w:val="18"/>
                <w:szCs w:val="18"/>
              </w:rPr>
            </w:pPr>
            <w:r w:rsidRPr="00CD35BB">
              <w:rPr>
                <w:sz w:val="18"/>
                <w:szCs w:val="18"/>
              </w:rPr>
              <w:t>Pakistan</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133</w:t>
            </w:r>
          </w:p>
        </w:tc>
        <w:tc>
          <w:tcPr>
            <w:tcW w:w="3578" w:type="dxa"/>
            <w:shd w:val="clear" w:color="auto" w:fill="auto"/>
            <w:noWrap/>
            <w:hideMark/>
          </w:tcPr>
          <w:p w:rsidR="00DB73D0" w:rsidRPr="00CD35BB" w:rsidRDefault="00DB73D0" w:rsidP="00CD35BB">
            <w:pPr>
              <w:rPr>
                <w:sz w:val="18"/>
                <w:szCs w:val="18"/>
              </w:rPr>
            </w:pPr>
            <w:r w:rsidRPr="00CD35BB">
              <w:rPr>
                <w:sz w:val="18"/>
                <w:szCs w:val="18"/>
              </w:rPr>
              <w:t>Palau</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134</w:t>
            </w:r>
          </w:p>
        </w:tc>
        <w:tc>
          <w:tcPr>
            <w:tcW w:w="3578" w:type="dxa"/>
            <w:shd w:val="clear" w:color="auto" w:fill="auto"/>
            <w:noWrap/>
            <w:hideMark/>
          </w:tcPr>
          <w:p w:rsidR="00DB73D0" w:rsidRPr="00CD35BB" w:rsidRDefault="00DB73D0" w:rsidP="00CD35BB">
            <w:pPr>
              <w:rPr>
                <w:sz w:val="18"/>
                <w:szCs w:val="18"/>
              </w:rPr>
            </w:pPr>
            <w:r w:rsidRPr="00CD35BB">
              <w:rPr>
                <w:sz w:val="18"/>
                <w:szCs w:val="18"/>
              </w:rPr>
              <w:t>Panama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135</w:t>
            </w:r>
          </w:p>
        </w:tc>
        <w:tc>
          <w:tcPr>
            <w:tcW w:w="3578" w:type="dxa"/>
            <w:shd w:val="clear" w:color="auto" w:fill="auto"/>
            <w:noWrap/>
            <w:hideMark/>
          </w:tcPr>
          <w:p w:rsidR="00DB73D0" w:rsidRPr="00CD35BB" w:rsidRDefault="00DB73D0" w:rsidP="00CD35BB">
            <w:pPr>
              <w:rPr>
                <w:sz w:val="18"/>
                <w:szCs w:val="18"/>
              </w:rPr>
            </w:pPr>
            <w:r w:rsidRPr="00CD35BB">
              <w:rPr>
                <w:sz w:val="18"/>
                <w:szCs w:val="18"/>
              </w:rPr>
              <w:t>Papua New Guinea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136</w:t>
            </w:r>
          </w:p>
        </w:tc>
        <w:tc>
          <w:tcPr>
            <w:tcW w:w="3578" w:type="dxa"/>
            <w:shd w:val="clear" w:color="auto" w:fill="auto"/>
            <w:noWrap/>
            <w:hideMark/>
          </w:tcPr>
          <w:p w:rsidR="00DB73D0" w:rsidRPr="00CD35BB" w:rsidRDefault="00DB73D0" w:rsidP="00CD35BB">
            <w:pPr>
              <w:rPr>
                <w:sz w:val="18"/>
                <w:szCs w:val="18"/>
              </w:rPr>
            </w:pPr>
            <w:r w:rsidRPr="00CD35BB">
              <w:rPr>
                <w:sz w:val="18"/>
                <w:szCs w:val="18"/>
              </w:rPr>
              <w:t>Paraguay</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137</w:t>
            </w:r>
          </w:p>
        </w:tc>
        <w:tc>
          <w:tcPr>
            <w:tcW w:w="3578" w:type="dxa"/>
            <w:shd w:val="clear" w:color="auto" w:fill="auto"/>
            <w:noWrap/>
            <w:hideMark/>
          </w:tcPr>
          <w:p w:rsidR="00DB73D0" w:rsidRPr="00CD35BB" w:rsidRDefault="00DB73D0" w:rsidP="00CD35BB">
            <w:pPr>
              <w:rPr>
                <w:sz w:val="18"/>
                <w:szCs w:val="18"/>
              </w:rPr>
            </w:pPr>
            <w:r w:rsidRPr="00CD35BB">
              <w:rPr>
                <w:sz w:val="18"/>
                <w:szCs w:val="18"/>
              </w:rPr>
              <w:t>Peru</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0.135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993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1 169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1 335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138</w:t>
            </w:r>
          </w:p>
        </w:tc>
        <w:tc>
          <w:tcPr>
            <w:tcW w:w="3578" w:type="dxa"/>
            <w:shd w:val="clear" w:color="auto" w:fill="auto"/>
            <w:noWrap/>
            <w:hideMark/>
          </w:tcPr>
          <w:p w:rsidR="00DB73D0" w:rsidRPr="00CD35BB" w:rsidRDefault="00DB73D0" w:rsidP="00CD35BB">
            <w:pPr>
              <w:rPr>
                <w:sz w:val="18"/>
                <w:szCs w:val="18"/>
              </w:rPr>
            </w:pPr>
            <w:r w:rsidRPr="00CD35BB">
              <w:rPr>
                <w:sz w:val="18"/>
                <w:szCs w:val="18"/>
              </w:rPr>
              <w:t>Philippines</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0.164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1 204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1 418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1 620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139</w:t>
            </w:r>
          </w:p>
        </w:tc>
        <w:tc>
          <w:tcPr>
            <w:tcW w:w="3578" w:type="dxa"/>
            <w:shd w:val="clear" w:color="auto" w:fill="auto"/>
            <w:noWrap/>
            <w:hideMark/>
          </w:tcPr>
          <w:p w:rsidR="00DB73D0" w:rsidRPr="00CD35BB" w:rsidRDefault="00DB73D0" w:rsidP="00CD35BB">
            <w:pPr>
              <w:rPr>
                <w:sz w:val="18"/>
                <w:szCs w:val="18"/>
              </w:rPr>
            </w:pPr>
            <w:r w:rsidRPr="00CD35BB">
              <w:rPr>
                <w:sz w:val="18"/>
                <w:szCs w:val="18"/>
              </w:rPr>
              <w:t>Poland</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0.837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6 138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7 227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8 257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140</w:t>
            </w:r>
          </w:p>
        </w:tc>
        <w:tc>
          <w:tcPr>
            <w:tcW w:w="3578" w:type="dxa"/>
            <w:shd w:val="clear" w:color="auto" w:fill="auto"/>
            <w:noWrap/>
            <w:hideMark/>
          </w:tcPr>
          <w:p w:rsidR="00DB73D0" w:rsidRPr="00CD35BB" w:rsidRDefault="00DB73D0" w:rsidP="00CD35BB">
            <w:pPr>
              <w:rPr>
                <w:sz w:val="18"/>
                <w:szCs w:val="18"/>
              </w:rPr>
            </w:pPr>
            <w:r w:rsidRPr="00CD35BB">
              <w:rPr>
                <w:sz w:val="18"/>
                <w:szCs w:val="18"/>
              </w:rPr>
              <w:t>Portugal</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0.390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2 861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3 368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3 </w:t>
            </w:r>
            <w:r w:rsidR="00206CEF">
              <w:rPr>
                <w:bCs/>
                <w:sz w:val="18"/>
                <w:szCs w:val="18"/>
              </w:rPr>
              <w:t>8</w:t>
            </w:r>
            <w:r w:rsidRPr="004E7D79">
              <w:rPr>
                <w:bCs/>
                <w:sz w:val="18"/>
                <w:szCs w:val="18"/>
              </w:rPr>
              <w:t xml:space="preserve">49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141</w:t>
            </w:r>
          </w:p>
        </w:tc>
        <w:tc>
          <w:tcPr>
            <w:tcW w:w="3578" w:type="dxa"/>
            <w:shd w:val="clear" w:color="auto" w:fill="auto"/>
            <w:noWrap/>
            <w:hideMark/>
          </w:tcPr>
          <w:p w:rsidR="00DB73D0" w:rsidRPr="00CD35BB" w:rsidRDefault="00DB73D0" w:rsidP="00CD35BB">
            <w:pPr>
              <w:rPr>
                <w:sz w:val="18"/>
                <w:szCs w:val="18"/>
              </w:rPr>
            </w:pPr>
            <w:r w:rsidRPr="00CD35BB">
              <w:rPr>
                <w:sz w:val="18"/>
                <w:szCs w:val="18"/>
              </w:rPr>
              <w:t>Qatar</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0.268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1 963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2 312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2 641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142</w:t>
            </w:r>
          </w:p>
        </w:tc>
        <w:tc>
          <w:tcPr>
            <w:tcW w:w="3578" w:type="dxa"/>
            <w:shd w:val="clear" w:color="auto" w:fill="auto"/>
            <w:noWrap/>
            <w:hideMark/>
          </w:tcPr>
          <w:p w:rsidR="00DB73D0" w:rsidRPr="00CD35BB" w:rsidRDefault="00DB73D0" w:rsidP="00CD35BB">
            <w:pPr>
              <w:rPr>
                <w:sz w:val="18"/>
                <w:szCs w:val="18"/>
              </w:rPr>
            </w:pPr>
            <w:r w:rsidRPr="00CD35BB">
              <w:rPr>
                <w:sz w:val="18"/>
                <w:szCs w:val="18"/>
              </w:rPr>
              <w:t>Republic of Korea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2.030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14 882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17 521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20 018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143</w:t>
            </w:r>
          </w:p>
        </w:tc>
        <w:tc>
          <w:tcPr>
            <w:tcW w:w="3578" w:type="dxa"/>
            <w:shd w:val="clear" w:color="auto" w:fill="auto"/>
            <w:noWrap/>
            <w:hideMark/>
          </w:tcPr>
          <w:p w:rsidR="00DB73D0" w:rsidRPr="00CD35BB" w:rsidRDefault="00DB73D0" w:rsidP="00CD35BB">
            <w:pPr>
              <w:rPr>
                <w:sz w:val="18"/>
                <w:szCs w:val="18"/>
              </w:rPr>
            </w:pPr>
            <w:r w:rsidRPr="00CD35BB">
              <w:rPr>
                <w:sz w:val="18"/>
                <w:szCs w:val="18"/>
              </w:rPr>
              <w:t>Republic of Moldova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144</w:t>
            </w:r>
          </w:p>
        </w:tc>
        <w:tc>
          <w:tcPr>
            <w:tcW w:w="3578" w:type="dxa"/>
            <w:shd w:val="clear" w:color="auto" w:fill="auto"/>
            <w:noWrap/>
            <w:hideMark/>
          </w:tcPr>
          <w:p w:rsidR="00DB73D0" w:rsidRPr="00CD35BB" w:rsidRDefault="00DB73D0" w:rsidP="00CD35BB">
            <w:pPr>
              <w:rPr>
                <w:sz w:val="18"/>
                <w:szCs w:val="18"/>
              </w:rPr>
            </w:pPr>
            <w:r w:rsidRPr="00CD35BB">
              <w:rPr>
                <w:sz w:val="18"/>
                <w:szCs w:val="18"/>
              </w:rPr>
              <w:t>Romania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0.183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1 343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1 581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1 806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145</w:t>
            </w:r>
          </w:p>
        </w:tc>
        <w:tc>
          <w:tcPr>
            <w:tcW w:w="3578" w:type="dxa"/>
            <w:shd w:val="clear" w:color="auto" w:fill="auto"/>
            <w:noWrap/>
            <w:hideMark/>
          </w:tcPr>
          <w:p w:rsidR="00DB73D0" w:rsidRPr="00CD35BB" w:rsidRDefault="00DB73D0" w:rsidP="00CD35BB">
            <w:pPr>
              <w:rPr>
                <w:sz w:val="18"/>
                <w:szCs w:val="18"/>
              </w:rPr>
            </w:pPr>
            <w:r w:rsidRPr="00CD35BB">
              <w:rPr>
                <w:sz w:val="18"/>
                <w:szCs w:val="18"/>
              </w:rPr>
              <w:t>Russian Federation</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3.075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22 538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26 535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30 317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146</w:t>
            </w:r>
          </w:p>
        </w:tc>
        <w:tc>
          <w:tcPr>
            <w:tcW w:w="3578" w:type="dxa"/>
            <w:shd w:val="clear" w:color="auto" w:fill="auto"/>
            <w:noWrap/>
            <w:hideMark/>
          </w:tcPr>
          <w:p w:rsidR="00DB73D0" w:rsidRPr="00CD35BB" w:rsidRDefault="00DB73D0" w:rsidP="00CD35BB">
            <w:pPr>
              <w:rPr>
                <w:sz w:val="18"/>
                <w:szCs w:val="18"/>
              </w:rPr>
            </w:pPr>
            <w:r w:rsidRPr="00CD35BB">
              <w:rPr>
                <w:sz w:val="18"/>
                <w:szCs w:val="18"/>
              </w:rPr>
              <w:t>Rwanda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147</w:t>
            </w:r>
          </w:p>
        </w:tc>
        <w:tc>
          <w:tcPr>
            <w:tcW w:w="3578" w:type="dxa"/>
            <w:shd w:val="clear" w:color="auto" w:fill="auto"/>
            <w:noWrap/>
            <w:hideMark/>
          </w:tcPr>
          <w:p w:rsidR="00DB73D0" w:rsidRPr="00CD35BB" w:rsidRDefault="00DB73D0" w:rsidP="00CD35BB">
            <w:pPr>
              <w:rPr>
                <w:sz w:val="18"/>
                <w:szCs w:val="18"/>
              </w:rPr>
            </w:pPr>
            <w:r w:rsidRPr="00CD35BB">
              <w:rPr>
                <w:sz w:val="18"/>
                <w:szCs w:val="18"/>
              </w:rPr>
              <w:t>Saint Kitts and Nevis</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148</w:t>
            </w:r>
          </w:p>
        </w:tc>
        <w:tc>
          <w:tcPr>
            <w:tcW w:w="3578" w:type="dxa"/>
            <w:shd w:val="clear" w:color="auto" w:fill="auto"/>
            <w:noWrap/>
            <w:hideMark/>
          </w:tcPr>
          <w:p w:rsidR="00DB73D0" w:rsidRPr="00CD35BB" w:rsidRDefault="00DB73D0" w:rsidP="00CD35BB">
            <w:pPr>
              <w:rPr>
                <w:sz w:val="18"/>
                <w:szCs w:val="18"/>
              </w:rPr>
            </w:pPr>
            <w:r w:rsidRPr="00CD35BB">
              <w:rPr>
                <w:sz w:val="18"/>
                <w:szCs w:val="18"/>
              </w:rPr>
              <w:t>Saint Lucia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149</w:t>
            </w:r>
          </w:p>
        </w:tc>
        <w:tc>
          <w:tcPr>
            <w:tcW w:w="3578" w:type="dxa"/>
            <w:shd w:val="clear" w:color="auto" w:fill="auto"/>
            <w:noWrap/>
            <w:hideMark/>
          </w:tcPr>
          <w:p w:rsidR="00DB73D0" w:rsidRPr="00CD35BB" w:rsidRDefault="00DB73D0" w:rsidP="00CD35BB">
            <w:pPr>
              <w:rPr>
                <w:sz w:val="18"/>
                <w:szCs w:val="18"/>
              </w:rPr>
            </w:pPr>
            <w:r w:rsidRPr="00CD35BB">
              <w:rPr>
                <w:sz w:val="18"/>
                <w:szCs w:val="18"/>
              </w:rPr>
              <w:t xml:space="preserve">Saint Vincent and the Grenadines </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150</w:t>
            </w:r>
          </w:p>
        </w:tc>
        <w:tc>
          <w:tcPr>
            <w:tcW w:w="3578" w:type="dxa"/>
            <w:shd w:val="clear" w:color="auto" w:fill="auto"/>
            <w:noWrap/>
            <w:hideMark/>
          </w:tcPr>
          <w:p w:rsidR="00DB73D0" w:rsidRPr="00CD35BB" w:rsidRDefault="00DB73D0" w:rsidP="00CD35BB">
            <w:pPr>
              <w:rPr>
                <w:sz w:val="18"/>
                <w:szCs w:val="18"/>
              </w:rPr>
            </w:pPr>
            <w:r w:rsidRPr="00CD35BB">
              <w:rPr>
                <w:sz w:val="18"/>
                <w:szCs w:val="18"/>
              </w:rPr>
              <w:t>Samoa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151</w:t>
            </w:r>
          </w:p>
        </w:tc>
        <w:tc>
          <w:tcPr>
            <w:tcW w:w="3578" w:type="dxa"/>
            <w:shd w:val="clear" w:color="auto" w:fill="auto"/>
            <w:noWrap/>
            <w:hideMark/>
          </w:tcPr>
          <w:p w:rsidR="00DB73D0" w:rsidRPr="00CD35BB" w:rsidRDefault="00DB73D0" w:rsidP="00CD35BB">
            <w:pPr>
              <w:rPr>
                <w:sz w:val="18"/>
                <w:szCs w:val="18"/>
              </w:rPr>
            </w:pPr>
            <w:r w:rsidRPr="00CD35BB">
              <w:rPr>
                <w:sz w:val="18"/>
                <w:szCs w:val="18"/>
              </w:rPr>
              <w:t>San Marino</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152</w:t>
            </w:r>
          </w:p>
        </w:tc>
        <w:tc>
          <w:tcPr>
            <w:tcW w:w="3578" w:type="dxa"/>
            <w:shd w:val="clear" w:color="auto" w:fill="auto"/>
            <w:noWrap/>
            <w:hideMark/>
          </w:tcPr>
          <w:p w:rsidR="00DB73D0" w:rsidRPr="00CD35BB" w:rsidRDefault="00DB73D0" w:rsidP="00CD35BB">
            <w:pPr>
              <w:rPr>
                <w:sz w:val="18"/>
                <w:szCs w:val="18"/>
              </w:rPr>
            </w:pPr>
            <w:r w:rsidRPr="00CD35BB">
              <w:rPr>
                <w:sz w:val="18"/>
                <w:szCs w:val="18"/>
              </w:rPr>
              <w:t>Sao Tome and Principe</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153</w:t>
            </w:r>
          </w:p>
        </w:tc>
        <w:tc>
          <w:tcPr>
            <w:tcW w:w="3578" w:type="dxa"/>
            <w:shd w:val="clear" w:color="auto" w:fill="auto"/>
            <w:noWrap/>
            <w:hideMark/>
          </w:tcPr>
          <w:p w:rsidR="00DB73D0" w:rsidRPr="00CD35BB" w:rsidRDefault="00DB73D0" w:rsidP="00CD35BB">
            <w:pPr>
              <w:rPr>
                <w:sz w:val="18"/>
                <w:szCs w:val="18"/>
              </w:rPr>
            </w:pPr>
            <w:r w:rsidRPr="00CD35BB">
              <w:rPr>
                <w:sz w:val="18"/>
                <w:szCs w:val="18"/>
              </w:rPr>
              <w:t>Saudi Arabia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1.141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8 364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9 848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11 251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154</w:t>
            </w:r>
          </w:p>
        </w:tc>
        <w:tc>
          <w:tcPr>
            <w:tcW w:w="3578" w:type="dxa"/>
            <w:shd w:val="clear" w:color="auto" w:fill="auto"/>
            <w:noWrap/>
            <w:hideMark/>
          </w:tcPr>
          <w:p w:rsidR="00DB73D0" w:rsidRPr="00CD35BB" w:rsidRDefault="00DB73D0" w:rsidP="00CD35BB">
            <w:pPr>
              <w:rPr>
                <w:sz w:val="18"/>
                <w:szCs w:val="18"/>
              </w:rPr>
            </w:pPr>
            <w:r w:rsidRPr="00CD35BB">
              <w:rPr>
                <w:sz w:val="18"/>
                <w:szCs w:val="18"/>
              </w:rPr>
              <w:t>Senegal</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155</w:t>
            </w:r>
          </w:p>
        </w:tc>
        <w:tc>
          <w:tcPr>
            <w:tcW w:w="3578" w:type="dxa"/>
            <w:shd w:val="clear" w:color="auto" w:fill="auto"/>
            <w:noWrap/>
            <w:hideMark/>
          </w:tcPr>
          <w:p w:rsidR="00DB73D0" w:rsidRPr="00CD35BB" w:rsidRDefault="00DB73D0" w:rsidP="00CD35BB">
            <w:pPr>
              <w:rPr>
                <w:sz w:val="18"/>
                <w:szCs w:val="18"/>
              </w:rPr>
            </w:pPr>
            <w:r w:rsidRPr="00CD35BB">
              <w:rPr>
                <w:sz w:val="18"/>
                <w:szCs w:val="18"/>
              </w:rPr>
              <w:t>Serbia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156</w:t>
            </w:r>
          </w:p>
        </w:tc>
        <w:tc>
          <w:tcPr>
            <w:tcW w:w="3578" w:type="dxa"/>
            <w:shd w:val="clear" w:color="auto" w:fill="auto"/>
            <w:noWrap/>
            <w:hideMark/>
          </w:tcPr>
          <w:p w:rsidR="00DB73D0" w:rsidRPr="00CD35BB" w:rsidRDefault="00DB73D0" w:rsidP="00CD35BB">
            <w:pPr>
              <w:rPr>
                <w:sz w:val="18"/>
                <w:szCs w:val="18"/>
              </w:rPr>
            </w:pPr>
            <w:r w:rsidRPr="00CD35BB">
              <w:rPr>
                <w:sz w:val="18"/>
                <w:szCs w:val="18"/>
              </w:rPr>
              <w:t>Seychelles</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157</w:t>
            </w:r>
          </w:p>
        </w:tc>
        <w:tc>
          <w:tcPr>
            <w:tcW w:w="3578" w:type="dxa"/>
            <w:shd w:val="clear" w:color="auto" w:fill="auto"/>
            <w:noWrap/>
            <w:hideMark/>
          </w:tcPr>
          <w:p w:rsidR="00DB73D0" w:rsidRPr="00CD35BB" w:rsidRDefault="00DB73D0" w:rsidP="00CD35BB">
            <w:pPr>
              <w:rPr>
                <w:sz w:val="18"/>
                <w:szCs w:val="18"/>
              </w:rPr>
            </w:pPr>
            <w:r w:rsidRPr="00CD35BB">
              <w:rPr>
                <w:sz w:val="18"/>
                <w:szCs w:val="18"/>
              </w:rPr>
              <w:t>Sierra Leone</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158</w:t>
            </w:r>
          </w:p>
        </w:tc>
        <w:tc>
          <w:tcPr>
            <w:tcW w:w="3578" w:type="dxa"/>
            <w:shd w:val="clear" w:color="auto" w:fill="auto"/>
            <w:noWrap/>
            <w:hideMark/>
          </w:tcPr>
          <w:p w:rsidR="00DB73D0" w:rsidRPr="00CD35BB" w:rsidRDefault="00DB73D0" w:rsidP="00CD35BB">
            <w:pPr>
              <w:rPr>
                <w:sz w:val="18"/>
                <w:szCs w:val="18"/>
              </w:rPr>
            </w:pPr>
            <w:r w:rsidRPr="00CD35BB">
              <w:rPr>
                <w:sz w:val="18"/>
                <w:szCs w:val="18"/>
              </w:rPr>
              <w:t>Singapore</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0.445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3 262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3 841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4 389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159</w:t>
            </w:r>
          </w:p>
        </w:tc>
        <w:tc>
          <w:tcPr>
            <w:tcW w:w="3578" w:type="dxa"/>
            <w:shd w:val="clear" w:color="auto" w:fill="auto"/>
            <w:noWrap/>
            <w:hideMark/>
          </w:tcPr>
          <w:p w:rsidR="00DB73D0" w:rsidRPr="00CD35BB" w:rsidRDefault="00DB73D0" w:rsidP="00CD35BB">
            <w:pPr>
              <w:rPr>
                <w:sz w:val="18"/>
                <w:szCs w:val="18"/>
              </w:rPr>
            </w:pPr>
            <w:r w:rsidRPr="00CD35BB">
              <w:rPr>
                <w:sz w:val="18"/>
                <w:szCs w:val="18"/>
              </w:rPr>
              <w:t>Slovakia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0.159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1 168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1 375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1 571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160</w:t>
            </w:r>
          </w:p>
        </w:tc>
        <w:tc>
          <w:tcPr>
            <w:tcW w:w="3578" w:type="dxa"/>
            <w:shd w:val="clear" w:color="auto" w:fill="auto"/>
            <w:noWrap/>
            <w:hideMark/>
          </w:tcPr>
          <w:p w:rsidR="00DB73D0" w:rsidRPr="00CD35BB" w:rsidRDefault="00DB73D0" w:rsidP="00CD35BB">
            <w:pPr>
              <w:rPr>
                <w:sz w:val="18"/>
                <w:szCs w:val="18"/>
              </w:rPr>
            </w:pPr>
            <w:r w:rsidRPr="00CD35BB">
              <w:rPr>
                <w:sz w:val="18"/>
                <w:szCs w:val="18"/>
              </w:rPr>
              <w:t>Slovenia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161</w:t>
            </w:r>
          </w:p>
        </w:tc>
        <w:tc>
          <w:tcPr>
            <w:tcW w:w="3578" w:type="dxa"/>
            <w:shd w:val="clear" w:color="auto" w:fill="auto"/>
            <w:noWrap/>
            <w:hideMark/>
          </w:tcPr>
          <w:p w:rsidR="00DB73D0" w:rsidRPr="00CD35BB" w:rsidRDefault="00DB73D0" w:rsidP="00CD35BB">
            <w:pPr>
              <w:rPr>
                <w:sz w:val="18"/>
                <w:szCs w:val="18"/>
              </w:rPr>
            </w:pPr>
            <w:r w:rsidRPr="00CD35BB">
              <w:rPr>
                <w:sz w:val="18"/>
                <w:szCs w:val="18"/>
              </w:rPr>
              <w:t>Solomon Islands</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162</w:t>
            </w:r>
          </w:p>
        </w:tc>
        <w:tc>
          <w:tcPr>
            <w:tcW w:w="3578" w:type="dxa"/>
            <w:shd w:val="clear" w:color="auto" w:fill="auto"/>
            <w:noWrap/>
            <w:hideMark/>
          </w:tcPr>
          <w:p w:rsidR="00DB73D0" w:rsidRPr="00CD35BB" w:rsidRDefault="00DB73D0" w:rsidP="00CD35BB">
            <w:pPr>
              <w:rPr>
                <w:sz w:val="18"/>
                <w:szCs w:val="18"/>
              </w:rPr>
            </w:pPr>
            <w:r w:rsidRPr="00CD35BB">
              <w:rPr>
                <w:sz w:val="18"/>
                <w:szCs w:val="18"/>
              </w:rPr>
              <w:t>Somalia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163</w:t>
            </w:r>
          </w:p>
        </w:tc>
        <w:tc>
          <w:tcPr>
            <w:tcW w:w="3578" w:type="dxa"/>
            <w:shd w:val="clear" w:color="auto" w:fill="auto"/>
            <w:noWrap/>
            <w:hideMark/>
          </w:tcPr>
          <w:p w:rsidR="00DB73D0" w:rsidRPr="00CD35BB" w:rsidRDefault="00DB73D0" w:rsidP="00CD35BB">
            <w:pPr>
              <w:rPr>
                <w:sz w:val="18"/>
                <w:szCs w:val="18"/>
              </w:rPr>
            </w:pPr>
            <w:r w:rsidRPr="00CD35BB">
              <w:rPr>
                <w:sz w:val="18"/>
                <w:szCs w:val="18"/>
              </w:rPr>
              <w:t>South Africa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0.362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2 657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3 128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3 574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164</w:t>
            </w:r>
          </w:p>
        </w:tc>
        <w:tc>
          <w:tcPr>
            <w:tcW w:w="3578" w:type="dxa"/>
            <w:shd w:val="clear" w:color="auto" w:fill="auto"/>
            <w:noWrap/>
            <w:hideMark/>
          </w:tcPr>
          <w:p w:rsidR="00DB73D0" w:rsidRPr="00CD35BB" w:rsidRDefault="00DB73D0" w:rsidP="00CD35BB">
            <w:pPr>
              <w:rPr>
                <w:sz w:val="18"/>
                <w:szCs w:val="18"/>
              </w:rPr>
            </w:pPr>
            <w:r w:rsidRPr="00CD35BB">
              <w:rPr>
                <w:sz w:val="18"/>
                <w:szCs w:val="18"/>
              </w:rPr>
              <w:t>South Sudan</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206CEF" w:rsidP="006A67BA">
            <w:pPr>
              <w:jc w:val="right"/>
              <w:rPr>
                <w:bCs/>
                <w:sz w:val="18"/>
                <w:szCs w:val="18"/>
              </w:rPr>
            </w:pPr>
            <w:r w:rsidRPr="004E7D79">
              <w:rPr>
                <w:bCs/>
                <w:sz w:val="18"/>
                <w:szCs w:val="18"/>
              </w:rPr>
              <w:sym w:font="Symbol" w:char="F02D"/>
            </w:r>
            <w:r w:rsidR="00DB73D0" w:rsidRPr="004E7D79">
              <w:rPr>
                <w:bCs/>
                <w:sz w:val="18"/>
                <w:szCs w:val="18"/>
              </w:rPr>
              <w:t xml:space="preserve">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165</w:t>
            </w:r>
          </w:p>
        </w:tc>
        <w:tc>
          <w:tcPr>
            <w:tcW w:w="3578" w:type="dxa"/>
            <w:shd w:val="clear" w:color="auto" w:fill="auto"/>
            <w:noWrap/>
            <w:hideMark/>
          </w:tcPr>
          <w:p w:rsidR="00DB73D0" w:rsidRPr="00CD35BB" w:rsidRDefault="00DB73D0" w:rsidP="00CD35BB">
            <w:pPr>
              <w:rPr>
                <w:sz w:val="18"/>
                <w:szCs w:val="18"/>
              </w:rPr>
            </w:pPr>
            <w:r w:rsidRPr="00CD35BB">
              <w:rPr>
                <w:sz w:val="18"/>
                <w:szCs w:val="18"/>
              </w:rPr>
              <w:t>Spain</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2.433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17 830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20 992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23 985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166</w:t>
            </w:r>
          </w:p>
        </w:tc>
        <w:tc>
          <w:tcPr>
            <w:tcW w:w="3578" w:type="dxa"/>
            <w:shd w:val="clear" w:color="auto" w:fill="auto"/>
            <w:noWrap/>
            <w:hideMark/>
          </w:tcPr>
          <w:p w:rsidR="00DB73D0" w:rsidRPr="00CD35BB" w:rsidRDefault="00DB73D0" w:rsidP="00CD35BB">
            <w:pPr>
              <w:rPr>
                <w:sz w:val="18"/>
                <w:szCs w:val="18"/>
              </w:rPr>
            </w:pPr>
            <w:r w:rsidRPr="00CD35BB">
              <w:rPr>
                <w:sz w:val="18"/>
                <w:szCs w:val="18"/>
              </w:rPr>
              <w:t>Sri Lanka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167</w:t>
            </w:r>
          </w:p>
        </w:tc>
        <w:tc>
          <w:tcPr>
            <w:tcW w:w="3578" w:type="dxa"/>
            <w:shd w:val="clear" w:color="auto" w:fill="auto"/>
            <w:noWrap/>
            <w:hideMark/>
          </w:tcPr>
          <w:p w:rsidR="00DB73D0" w:rsidRPr="00CD35BB" w:rsidRDefault="00DB73D0" w:rsidP="00CD35BB">
            <w:pPr>
              <w:rPr>
                <w:sz w:val="18"/>
                <w:szCs w:val="18"/>
              </w:rPr>
            </w:pPr>
            <w:r w:rsidRPr="00CD35BB">
              <w:rPr>
                <w:sz w:val="18"/>
                <w:szCs w:val="18"/>
              </w:rPr>
              <w:t>Sudan</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168</w:t>
            </w:r>
          </w:p>
        </w:tc>
        <w:tc>
          <w:tcPr>
            <w:tcW w:w="3578" w:type="dxa"/>
            <w:shd w:val="clear" w:color="auto" w:fill="auto"/>
            <w:noWrap/>
            <w:hideMark/>
          </w:tcPr>
          <w:p w:rsidR="00DB73D0" w:rsidRPr="00CD35BB" w:rsidRDefault="00DB73D0" w:rsidP="00CD35BB">
            <w:pPr>
              <w:rPr>
                <w:sz w:val="18"/>
                <w:szCs w:val="18"/>
              </w:rPr>
            </w:pPr>
            <w:r w:rsidRPr="00CD35BB">
              <w:rPr>
                <w:sz w:val="18"/>
                <w:szCs w:val="18"/>
              </w:rPr>
              <w:t>Suriname</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169</w:t>
            </w:r>
          </w:p>
        </w:tc>
        <w:tc>
          <w:tcPr>
            <w:tcW w:w="3578" w:type="dxa"/>
            <w:shd w:val="clear" w:color="auto" w:fill="auto"/>
            <w:noWrap/>
            <w:hideMark/>
          </w:tcPr>
          <w:p w:rsidR="00DB73D0" w:rsidRPr="00CD35BB" w:rsidRDefault="00DB73D0" w:rsidP="00CD35BB">
            <w:pPr>
              <w:rPr>
                <w:sz w:val="18"/>
                <w:szCs w:val="18"/>
              </w:rPr>
            </w:pPr>
            <w:r w:rsidRPr="00CD35BB">
              <w:rPr>
                <w:sz w:val="18"/>
                <w:szCs w:val="18"/>
              </w:rPr>
              <w:t>Swaziland</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170</w:t>
            </w:r>
          </w:p>
        </w:tc>
        <w:tc>
          <w:tcPr>
            <w:tcW w:w="3578" w:type="dxa"/>
            <w:shd w:val="clear" w:color="auto" w:fill="auto"/>
            <w:noWrap/>
            <w:hideMark/>
          </w:tcPr>
          <w:p w:rsidR="00DB73D0" w:rsidRPr="00CD35BB" w:rsidRDefault="00DB73D0" w:rsidP="00CD35BB">
            <w:pPr>
              <w:rPr>
                <w:sz w:val="18"/>
                <w:szCs w:val="18"/>
              </w:rPr>
            </w:pPr>
            <w:r w:rsidRPr="00CD35BB">
              <w:rPr>
                <w:sz w:val="18"/>
                <w:szCs w:val="18"/>
              </w:rPr>
              <w:t>Sweden</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0.952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6 977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8 215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9 386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171</w:t>
            </w:r>
          </w:p>
        </w:tc>
        <w:tc>
          <w:tcPr>
            <w:tcW w:w="3578" w:type="dxa"/>
            <w:shd w:val="clear" w:color="auto" w:fill="auto"/>
            <w:noWrap/>
            <w:hideMark/>
          </w:tcPr>
          <w:p w:rsidR="00DB73D0" w:rsidRPr="00CD35BB" w:rsidRDefault="00DB73D0" w:rsidP="00CD35BB">
            <w:pPr>
              <w:rPr>
                <w:sz w:val="18"/>
                <w:szCs w:val="18"/>
              </w:rPr>
            </w:pPr>
            <w:r w:rsidRPr="00CD35BB">
              <w:rPr>
                <w:sz w:val="18"/>
                <w:szCs w:val="18"/>
              </w:rPr>
              <w:t>Switzerland</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1.135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8 320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9 796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11 192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172</w:t>
            </w:r>
          </w:p>
        </w:tc>
        <w:tc>
          <w:tcPr>
            <w:tcW w:w="3578" w:type="dxa"/>
            <w:shd w:val="clear" w:color="auto" w:fill="auto"/>
            <w:noWrap/>
            <w:hideMark/>
          </w:tcPr>
          <w:p w:rsidR="00DB73D0" w:rsidRPr="00CD35BB" w:rsidRDefault="00DB73D0" w:rsidP="00CD35BB">
            <w:pPr>
              <w:rPr>
                <w:sz w:val="18"/>
                <w:szCs w:val="18"/>
              </w:rPr>
            </w:pPr>
            <w:r w:rsidRPr="00CD35BB">
              <w:rPr>
                <w:sz w:val="18"/>
                <w:szCs w:val="18"/>
              </w:rPr>
              <w:t>Syrian Arab Republic</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lastRenderedPageBreak/>
              <w:t>173</w:t>
            </w:r>
          </w:p>
        </w:tc>
        <w:tc>
          <w:tcPr>
            <w:tcW w:w="3578" w:type="dxa"/>
            <w:shd w:val="clear" w:color="auto" w:fill="auto"/>
            <w:noWrap/>
            <w:hideMark/>
          </w:tcPr>
          <w:p w:rsidR="00DB73D0" w:rsidRPr="00CD35BB" w:rsidRDefault="00DB73D0" w:rsidP="00CD35BB">
            <w:pPr>
              <w:rPr>
                <w:sz w:val="18"/>
                <w:szCs w:val="18"/>
              </w:rPr>
            </w:pPr>
            <w:r w:rsidRPr="00CD35BB">
              <w:rPr>
                <w:sz w:val="18"/>
                <w:szCs w:val="18"/>
              </w:rPr>
              <w:t>Tajikistan</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174</w:t>
            </w:r>
          </w:p>
        </w:tc>
        <w:tc>
          <w:tcPr>
            <w:tcW w:w="3578" w:type="dxa"/>
            <w:shd w:val="clear" w:color="auto" w:fill="auto"/>
            <w:noWrap/>
            <w:hideMark/>
          </w:tcPr>
          <w:p w:rsidR="00DB73D0" w:rsidRPr="00CD35BB" w:rsidRDefault="00DB73D0" w:rsidP="00CD35BB">
            <w:pPr>
              <w:rPr>
                <w:sz w:val="18"/>
                <w:szCs w:val="18"/>
              </w:rPr>
            </w:pPr>
            <w:r w:rsidRPr="00CD35BB">
              <w:rPr>
                <w:sz w:val="18"/>
                <w:szCs w:val="18"/>
              </w:rPr>
              <w:t>Thailand</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0.290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2 124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2 501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2 857 </w:t>
            </w:r>
          </w:p>
        </w:tc>
      </w:tr>
      <w:tr w:rsidR="00DB73D0" w:rsidRPr="00DB6883" w:rsidTr="00715700">
        <w:trPr>
          <w:trHeight w:val="337"/>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175</w:t>
            </w:r>
          </w:p>
        </w:tc>
        <w:tc>
          <w:tcPr>
            <w:tcW w:w="3578" w:type="dxa"/>
            <w:shd w:val="clear" w:color="auto" w:fill="auto"/>
            <w:hideMark/>
          </w:tcPr>
          <w:p w:rsidR="00DB73D0" w:rsidRPr="00CD35BB" w:rsidRDefault="00DB73D0" w:rsidP="00CD35BB">
            <w:pPr>
              <w:rPr>
                <w:sz w:val="18"/>
                <w:szCs w:val="18"/>
              </w:rPr>
            </w:pPr>
            <w:r w:rsidRPr="00CD35BB">
              <w:rPr>
                <w:sz w:val="18"/>
                <w:szCs w:val="18"/>
              </w:rPr>
              <w:t>The former Yugoslav Republic of Macedonia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176</w:t>
            </w:r>
          </w:p>
        </w:tc>
        <w:tc>
          <w:tcPr>
            <w:tcW w:w="3578" w:type="dxa"/>
            <w:shd w:val="clear" w:color="auto" w:fill="auto"/>
            <w:hideMark/>
          </w:tcPr>
          <w:p w:rsidR="00DB73D0" w:rsidRPr="00CD35BB" w:rsidRDefault="00DB73D0" w:rsidP="00CD35BB">
            <w:pPr>
              <w:rPr>
                <w:sz w:val="18"/>
                <w:szCs w:val="18"/>
              </w:rPr>
            </w:pPr>
            <w:r w:rsidRPr="00CD35BB">
              <w:rPr>
                <w:sz w:val="18"/>
                <w:szCs w:val="18"/>
              </w:rPr>
              <w:t>Timor-Leste</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177</w:t>
            </w:r>
          </w:p>
        </w:tc>
        <w:tc>
          <w:tcPr>
            <w:tcW w:w="3578" w:type="dxa"/>
            <w:shd w:val="clear" w:color="auto" w:fill="auto"/>
            <w:noWrap/>
            <w:hideMark/>
          </w:tcPr>
          <w:p w:rsidR="00DB73D0" w:rsidRPr="00CD35BB" w:rsidRDefault="00DB73D0" w:rsidP="00CD35BB">
            <w:pPr>
              <w:rPr>
                <w:sz w:val="18"/>
                <w:szCs w:val="18"/>
              </w:rPr>
            </w:pPr>
            <w:r w:rsidRPr="00CD35BB">
              <w:rPr>
                <w:sz w:val="18"/>
                <w:szCs w:val="18"/>
              </w:rPr>
              <w:t>Togo</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178</w:t>
            </w:r>
          </w:p>
        </w:tc>
        <w:tc>
          <w:tcPr>
            <w:tcW w:w="3578" w:type="dxa"/>
            <w:shd w:val="clear" w:color="auto" w:fill="auto"/>
            <w:noWrap/>
            <w:hideMark/>
          </w:tcPr>
          <w:p w:rsidR="00DB73D0" w:rsidRPr="00CD35BB" w:rsidRDefault="00DB73D0" w:rsidP="00CD35BB">
            <w:pPr>
              <w:rPr>
                <w:sz w:val="18"/>
                <w:szCs w:val="18"/>
              </w:rPr>
            </w:pPr>
            <w:r w:rsidRPr="00CD35BB">
              <w:rPr>
                <w:sz w:val="18"/>
                <w:szCs w:val="18"/>
              </w:rPr>
              <w:t>Tonga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179</w:t>
            </w:r>
          </w:p>
        </w:tc>
        <w:tc>
          <w:tcPr>
            <w:tcW w:w="3578" w:type="dxa"/>
            <w:shd w:val="clear" w:color="auto" w:fill="auto"/>
            <w:noWrap/>
            <w:hideMark/>
          </w:tcPr>
          <w:p w:rsidR="00DB73D0" w:rsidRPr="00CD35BB" w:rsidRDefault="00DB73D0" w:rsidP="00CD35BB">
            <w:pPr>
              <w:rPr>
                <w:sz w:val="18"/>
                <w:szCs w:val="18"/>
              </w:rPr>
            </w:pPr>
            <w:r w:rsidRPr="00CD35BB">
              <w:rPr>
                <w:sz w:val="18"/>
                <w:szCs w:val="18"/>
              </w:rPr>
              <w:t>Trinidad and Tobago</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180</w:t>
            </w:r>
          </w:p>
        </w:tc>
        <w:tc>
          <w:tcPr>
            <w:tcW w:w="3578" w:type="dxa"/>
            <w:shd w:val="clear" w:color="auto" w:fill="auto"/>
            <w:noWrap/>
            <w:hideMark/>
          </w:tcPr>
          <w:p w:rsidR="00DB73D0" w:rsidRPr="00CD35BB" w:rsidRDefault="00DB73D0" w:rsidP="00CD35BB">
            <w:pPr>
              <w:rPr>
                <w:sz w:val="18"/>
                <w:szCs w:val="18"/>
              </w:rPr>
            </w:pPr>
            <w:r w:rsidRPr="00CD35BB">
              <w:rPr>
                <w:sz w:val="18"/>
                <w:szCs w:val="18"/>
              </w:rPr>
              <w:t>Tunisia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181</w:t>
            </w:r>
          </w:p>
        </w:tc>
        <w:tc>
          <w:tcPr>
            <w:tcW w:w="3578" w:type="dxa"/>
            <w:shd w:val="clear" w:color="auto" w:fill="auto"/>
            <w:noWrap/>
            <w:hideMark/>
          </w:tcPr>
          <w:p w:rsidR="00DB73D0" w:rsidRPr="00CD35BB" w:rsidRDefault="00DB73D0" w:rsidP="00CD35BB">
            <w:pPr>
              <w:rPr>
                <w:sz w:val="18"/>
                <w:szCs w:val="18"/>
              </w:rPr>
            </w:pPr>
            <w:r w:rsidRPr="00CD35BB">
              <w:rPr>
                <w:sz w:val="18"/>
                <w:szCs w:val="18"/>
              </w:rPr>
              <w:t>Turkey</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1.014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7 430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8 748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9 995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182</w:t>
            </w:r>
          </w:p>
        </w:tc>
        <w:tc>
          <w:tcPr>
            <w:tcW w:w="3578" w:type="dxa"/>
            <w:shd w:val="clear" w:color="auto" w:fill="auto"/>
            <w:noWrap/>
            <w:hideMark/>
          </w:tcPr>
          <w:p w:rsidR="00DB73D0" w:rsidRPr="00CD35BB" w:rsidRDefault="00DB73D0" w:rsidP="00CD35BB">
            <w:pPr>
              <w:rPr>
                <w:sz w:val="18"/>
                <w:szCs w:val="18"/>
              </w:rPr>
            </w:pPr>
            <w:r w:rsidRPr="00CD35BB">
              <w:rPr>
                <w:sz w:val="18"/>
                <w:szCs w:val="18"/>
              </w:rPr>
              <w:t>Turkmenistan</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183</w:t>
            </w:r>
          </w:p>
        </w:tc>
        <w:tc>
          <w:tcPr>
            <w:tcW w:w="3578" w:type="dxa"/>
            <w:shd w:val="clear" w:color="auto" w:fill="auto"/>
            <w:noWrap/>
            <w:hideMark/>
          </w:tcPr>
          <w:p w:rsidR="00DB73D0" w:rsidRPr="00CD35BB" w:rsidRDefault="00DB73D0" w:rsidP="00CD35BB">
            <w:pPr>
              <w:rPr>
                <w:sz w:val="18"/>
                <w:szCs w:val="18"/>
              </w:rPr>
            </w:pPr>
            <w:r w:rsidRPr="00CD35BB">
              <w:rPr>
                <w:sz w:val="18"/>
                <w:szCs w:val="18"/>
              </w:rPr>
              <w:t>Tuvalu</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184</w:t>
            </w:r>
          </w:p>
        </w:tc>
        <w:tc>
          <w:tcPr>
            <w:tcW w:w="3578" w:type="dxa"/>
            <w:shd w:val="clear" w:color="auto" w:fill="auto"/>
            <w:noWrap/>
            <w:hideMark/>
          </w:tcPr>
          <w:p w:rsidR="00DB73D0" w:rsidRPr="00CD35BB" w:rsidRDefault="00DB73D0" w:rsidP="00CD35BB">
            <w:pPr>
              <w:rPr>
                <w:sz w:val="18"/>
                <w:szCs w:val="18"/>
              </w:rPr>
            </w:pPr>
            <w:r w:rsidRPr="00CD35BB">
              <w:rPr>
                <w:sz w:val="18"/>
                <w:szCs w:val="18"/>
              </w:rPr>
              <w:t>Uganda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185</w:t>
            </w:r>
          </w:p>
        </w:tc>
        <w:tc>
          <w:tcPr>
            <w:tcW w:w="3578" w:type="dxa"/>
            <w:shd w:val="clear" w:color="auto" w:fill="auto"/>
            <w:noWrap/>
            <w:hideMark/>
          </w:tcPr>
          <w:p w:rsidR="00DB73D0" w:rsidRPr="00CD35BB" w:rsidRDefault="00DB73D0" w:rsidP="00CD35BB">
            <w:pPr>
              <w:rPr>
                <w:sz w:val="18"/>
                <w:szCs w:val="18"/>
              </w:rPr>
            </w:pPr>
            <w:r w:rsidRPr="00CD35BB">
              <w:rPr>
                <w:sz w:val="18"/>
                <w:szCs w:val="18"/>
              </w:rPr>
              <w:t>Ukraine</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0.103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752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885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 1 011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186</w:t>
            </w:r>
          </w:p>
        </w:tc>
        <w:tc>
          <w:tcPr>
            <w:tcW w:w="3578" w:type="dxa"/>
            <w:shd w:val="clear" w:color="auto" w:fill="auto"/>
            <w:noWrap/>
            <w:hideMark/>
          </w:tcPr>
          <w:p w:rsidR="00DB73D0" w:rsidRPr="00CD35BB" w:rsidRDefault="00DB73D0" w:rsidP="00CD35BB">
            <w:pPr>
              <w:rPr>
                <w:sz w:val="18"/>
                <w:szCs w:val="18"/>
              </w:rPr>
            </w:pPr>
            <w:r w:rsidRPr="00CD35BB">
              <w:rPr>
                <w:sz w:val="18"/>
                <w:szCs w:val="18"/>
              </w:rPr>
              <w:t>United Arab Emirates</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0.601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4 408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5 190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 5 930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187</w:t>
            </w:r>
          </w:p>
        </w:tc>
        <w:tc>
          <w:tcPr>
            <w:tcW w:w="3578" w:type="dxa"/>
            <w:shd w:val="clear" w:color="auto" w:fill="auto"/>
            <w:noWrap/>
            <w:hideMark/>
          </w:tcPr>
          <w:p w:rsidR="00DB73D0" w:rsidRPr="00CD35BB" w:rsidRDefault="00DB73D0" w:rsidP="00CD35BB">
            <w:pPr>
              <w:rPr>
                <w:sz w:val="18"/>
                <w:szCs w:val="18"/>
              </w:rPr>
            </w:pPr>
            <w:r w:rsidRPr="00CD35BB">
              <w:rPr>
                <w:sz w:val="18"/>
                <w:szCs w:val="18"/>
              </w:rPr>
              <w:t>United Kingdom of Great Britain and Northern Ireland</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4.444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32 574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38 351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43 817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188</w:t>
            </w:r>
          </w:p>
        </w:tc>
        <w:tc>
          <w:tcPr>
            <w:tcW w:w="3578" w:type="dxa"/>
            <w:shd w:val="clear" w:color="auto" w:fill="auto"/>
            <w:noWrap/>
            <w:hideMark/>
          </w:tcPr>
          <w:p w:rsidR="00DB73D0" w:rsidRPr="00CD35BB" w:rsidRDefault="00DB73D0" w:rsidP="00CD35BB">
            <w:pPr>
              <w:rPr>
                <w:sz w:val="18"/>
                <w:szCs w:val="18"/>
              </w:rPr>
            </w:pPr>
            <w:r w:rsidRPr="00CD35BB">
              <w:rPr>
                <w:sz w:val="18"/>
                <w:szCs w:val="18"/>
              </w:rPr>
              <w:t>United Republic of Tanzania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189</w:t>
            </w:r>
          </w:p>
        </w:tc>
        <w:tc>
          <w:tcPr>
            <w:tcW w:w="3578" w:type="dxa"/>
            <w:shd w:val="clear" w:color="auto" w:fill="auto"/>
            <w:noWrap/>
            <w:hideMark/>
          </w:tcPr>
          <w:p w:rsidR="00DB73D0" w:rsidRPr="00CD35BB" w:rsidRDefault="00DB73D0" w:rsidP="00CD35BB">
            <w:pPr>
              <w:rPr>
                <w:sz w:val="18"/>
                <w:szCs w:val="18"/>
              </w:rPr>
            </w:pPr>
            <w:r w:rsidRPr="00CD35BB">
              <w:rPr>
                <w:sz w:val="18"/>
                <w:szCs w:val="18"/>
              </w:rPr>
              <w:t>United States of America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21.906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160 570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189 047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215 991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190</w:t>
            </w:r>
          </w:p>
        </w:tc>
        <w:tc>
          <w:tcPr>
            <w:tcW w:w="3578" w:type="dxa"/>
            <w:shd w:val="clear" w:color="auto" w:fill="auto"/>
            <w:noWrap/>
            <w:hideMark/>
          </w:tcPr>
          <w:p w:rsidR="00DB73D0" w:rsidRPr="00CD35BB" w:rsidRDefault="00DB73D0" w:rsidP="00CD35BB">
            <w:pPr>
              <w:rPr>
                <w:sz w:val="18"/>
                <w:szCs w:val="18"/>
              </w:rPr>
            </w:pPr>
            <w:r w:rsidRPr="00CD35BB">
              <w:rPr>
                <w:sz w:val="18"/>
                <w:szCs w:val="18"/>
              </w:rPr>
              <w:t>Uruguay</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191</w:t>
            </w:r>
          </w:p>
        </w:tc>
        <w:tc>
          <w:tcPr>
            <w:tcW w:w="3578" w:type="dxa"/>
            <w:shd w:val="clear" w:color="auto" w:fill="auto"/>
            <w:noWrap/>
            <w:hideMark/>
          </w:tcPr>
          <w:p w:rsidR="00DB73D0" w:rsidRPr="00CD35BB" w:rsidRDefault="00DB73D0" w:rsidP="00CD35BB">
            <w:pPr>
              <w:rPr>
                <w:sz w:val="18"/>
                <w:szCs w:val="18"/>
              </w:rPr>
            </w:pPr>
            <w:r w:rsidRPr="00CD35BB">
              <w:rPr>
                <w:sz w:val="18"/>
                <w:szCs w:val="18"/>
              </w:rPr>
              <w:t>Uzbekistan</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192</w:t>
            </w:r>
          </w:p>
        </w:tc>
        <w:tc>
          <w:tcPr>
            <w:tcW w:w="3578" w:type="dxa"/>
            <w:shd w:val="clear" w:color="auto" w:fill="auto"/>
            <w:noWrap/>
            <w:hideMark/>
          </w:tcPr>
          <w:p w:rsidR="00DB73D0" w:rsidRPr="00CD35BB" w:rsidRDefault="00DB73D0" w:rsidP="00CD35BB">
            <w:pPr>
              <w:rPr>
                <w:sz w:val="18"/>
                <w:szCs w:val="18"/>
              </w:rPr>
            </w:pPr>
            <w:r w:rsidRPr="00CD35BB">
              <w:rPr>
                <w:sz w:val="18"/>
                <w:szCs w:val="18"/>
              </w:rPr>
              <w:t>Vanuatu</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193</w:t>
            </w:r>
          </w:p>
        </w:tc>
        <w:tc>
          <w:tcPr>
            <w:tcW w:w="3578" w:type="dxa"/>
            <w:shd w:val="clear" w:color="auto" w:fill="auto"/>
            <w:noWrap/>
            <w:hideMark/>
          </w:tcPr>
          <w:p w:rsidR="00DB73D0" w:rsidRPr="00CD35BB" w:rsidRDefault="00DB73D0" w:rsidP="00CD35BB">
            <w:pPr>
              <w:rPr>
                <w:sz w:val="18"/>
                <w:szCs w:val="18"/>
              </w:rPr>
            </w:pPr>
            <w:r w:rsidRPr="00CD35BB">
              <w:rPr>
                <w:sz w:val="18"/>
                <w:szCs w:val="18"/>
              </w:rPr>
              <w:t>Venezuela (Bolivarian Republic of)</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0.569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4 168 </w:t>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4 907 </w:t>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 5 606 </w:t>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194</w:t>
            </w:r>
          </w:p>
        </w:tc>
        <w:tc>
          <w:tcPr>
            <w:tcW w:w="3578" w:type="dxa"/>
            <w:shd w:val="clear" w:color="auto" w:fill="auto"/>
            <w:noWrap/>
            <w:hideMark/>
          </w:tcPr>
          <w:p w:rsidR="00DB73D0" w:rsidRPr="00CD35BB" w:rsidRDefault="00DB73D0" w:rsidP="00CD35BB">
            <w:pPr>
              <w:rPr>
                <w:sz w:val="18"/>
                <w:szCs w:val="18"/>
              </w:rPr>
            </w:pPr>
            <w:r w:rsidRPr="00CD35BB">
              <w:rPr>
                <w:sz w:val="18"/>
                <w:szCs w:val="18"/>
              </w:rPr>
              <w:t>Viet Nam</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195</w:t>
            </w:r>
          </w:p>
        </w:tc>
        <w:tc>
          <w:tcPr>
            <w:tcW w:w="3578" w:type="dxa"/>
            <w:shd w:val="clear" w:color="auto" w:fill="auto"/>
            <w:noWrap/>
            <w:hideMark/>
          </w:tcPr>
          <w:p w:rsidR="00DB73D0" w:rsidRPr="00CD35BB" w:rsidRDefault="00DB73D0" w:rsidP="00CD35BB">
            <w:pPr>
              <w:rPr>
                <w:sz w:val="18"/>
                <w:szCs w:val="18"/>
              </w:rPr>
            </w:pPr>
            <w:r w:rsidRPr="00CD35BB">
              <w:rPr>
                <w:sz w:val="18"/>
                <w:szCs w:val="18"/>
              </w:rPr>
              <w:t>Yemen</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shd w:val="clear" w:color="auto" w:fill="auto"/>
            <w:noWrap/>
            <w:hideMark/>
          </w:tcPr>
          <w:p w:rsidR="00DB73D0" w:rsidRPr="004E7D79" w:rsidRDefault="00DB73D0" w:rsidP="006A67BA">
            <w:pPr>
              <w:jc w:val="right"/>
              <w:rPr>
                <w:sz w:val="18"/>
                <w:szCs w:val="18"/>
              </w:rPr>
            </w:pPr>
            <w:r w:rsidRPr="004E7D79">
              <w:rPr>
                <w:sz w:val="18"/>
                <w:szCs w:val="18"/>
              </w:rPr>
              <w:t>196</w:t>
            </w:r>
          </w:p>
        </w:tc>
        <w:tc>
          <w:tcPr>
            <w:tcW w:w="3578" w:type="dxa"/>
            <w:shd w:val="clear" w:color="auto" w:fill="auto"/>
            <w:noWrap/>
            <w:hideMark/>
          </w:tcPr>
          <w:p w:rsidR="00DB73D0" w:rsidRPr="00CD35BB" w:rsidRDefault="00DB73D0" w:rsidP="00CD35BB">
            <w:pPr>
              <w:rPr>
                <w:sz w:val="18"/>
                <w:szCs w:val="18"/>
              </w:rPr>
            </w:pPr>
            <w:r w:rsidRPr="00CD35BB">
              <w:rPr>
                <w:sz w:val="18"/>
                <w:szCs w:val="18"/>
              </w:rPr>
              <w:t>Zambia</w:t>
            </w:r>
          </w:p>
        </w:tc>
        <w:tc>
          <w:tcPr>
            <w:tcW w:w="1077" w:type="dxa"/>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300"/>
        </w:trPr>
        <w:tc>
          <w:tcPr>
            <w:tcW w:w="618" w:type="dxa"/>
            <w:tcBorders>
              <w:bottom w:val="single" w:sz="4" w:space="0" w:color="auto"/>
            </w:tcBorders>
            <w:shd w:val="clear" w:color="auto" w:fill="auto"/>
            <w:noWrap/>
            <w:hideMark/>
          </w:tcPr>
          <w:p w:rsidR="00DB73D0" w:rsidRPr="004E7D79" w:rsidRDefault="00DB73D0" w:rsidP="006A67BA">
            <w:pPr>
              <w:jc w:val="right"/>
              <w:rPr>
                <w:sz w:val="18"/>
                <w:szCs w:val="18"/>
              </w:rPr>
            </w:pPr>
            <w:r w:rsidRPr="004E7D79">
              <w:rPr>
                <w:sz w:val="18"/>
                <w:szCs w:val="18"/>
              </w:rPr>
              <w:t>197</w:t>
            </w:r>
          </w:p>
        </w:tc>
        <w:tc>
          <w:tcPr>
            <w:tcW w:w="3578" w:type="dxa"/>
            <w:tcBorders>
              <w:bottom w:val="single" w:sz="4" w:space="0" w:color="auto"/>
            </w:tcBorders>
            <w:shd w:val="clear" w:color="auto" w:fill="auto"/>
            <w:noWrap/>
            <w:hideMark/>
          </w:tcPr>
          <w:p w:rsidR="00DB73D0" w:rsidRPr="00CD35BB" w:rsidRDefault="00DB73D0" w:rsidP="00CD35BB">
            <w:pPr>
              <w:rPr>
                <w:sz w:val="18"/>
                <w:szCs w:val="18"/>
              </w:rPr>
            </w:pPr>
            <w:r w:rsidRPr="00CD35BB">
              <w:rPr>
                <w:sz w:val="18"/>
                <w:szCs w:val="18"/>
              </w:rPr>
              <w:t>Zimbabwe</w:t>
            </w:r>
          </w:p>
        </w:tc>
        <w:tc>
          <w:tcPr>
            <w:tcW w:w="1077" w:type="dxa"/>
            <w:tcBorders>
              <w:bottom w:val="single" w:sz="4" w:space="0" w:color="auto"/>
            </w:tcBorders>
            <w:shd w:val="clear" w:color="auto" w:fill="auto"/>
            <w:noWrap/>
            <w:hideMark/>
          </w:tcPr>
          <w:p w:rsidR="00DB73D0" w:rsidRPr="004E7D79" w:rsidRDefault="00DB73D0" w:rsidP="006A67BA">
            <w:pPr>
              <w:jc w:val="right"/>
              <w:rPr>
                <w:bCs/>
                <w:sz w:val="18"/>
                <w:szCs w:val="18"/>
              </w:rPr>
            </w:pPr>
            <w:r w:rsidRPr="004E7D79">
              <w:rPr>
                <w:bCs/>
                <w:sz w:val="18"/>
                <w:szCs w:val="18"/>
              </w:rPr>
              <w:t xml:space="preserve">0.000 </w:t>
            </w:r>
          </w:p>
        </w:tc>
        <w:tc>
          <w:tcPr>
            <w:tcW w:w="1057" w:type="dxa"/>
            <w:tcBorders>
              <w:bottom w:val="single" w:sz="4" w:space="0" w:color="auto"/>
            </w:tcBorders>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355" w:type="dxa"/>
            <w:tcBorders>
              <w:bottom w:val="single" w:sz="4" w:space="0" w:color="auto"/>
            </w:tcBorders>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c>
          <w:tcPr>
            <w:tcW w:w="1403" w:type="dxa"/>
            <w:tcBorders>
              <w:bottom w:val="single" w:sz="4" w:space="0" w:color="auto"/>
            </w:tcBorders>
            <w:shd w:val="clear" w:color="auto" w:fill="auto"/>
            <w:noWrap/>
            <w:hideMark/>
          </w:tcPr>
          <w:p w:rsidR="00DB73D0" w:rsidRPr="004E7D79" w:rsidRDefault="00DB73D0" w:rsidP="006A67BA">
            <w:pPr>
              <w:jc w:val="right"/>
              <w:rPr>
                <w:bCs/>
                <w:sz w:val="18"/>
                <w:szCs w:val="18"/>
              </w:rPr>
            </w:pPr>
            <w:r w:rsidRPr="004E7D79">
              <w:rPr>
                <w:bCs/>
                <w:sz w:val="18"/>
                <w:szCs w:val="18"/>
              </w:rPr>
              <w:sym w:font="Symbol" w:char="F02D"/>
            </w:r>
          </w:p>
        </w:tc>
      </w:tr>
      <w:tr w:rsidR="00DB73D0" w:rsidRPr="00DB6883" w:rsidTr="00715700">
        <w:trPr>
          <w:trHeight w:val="191"/>
        </w:trPr>
        <w:tc>
          <w:tcPr>
            <w:tcW w:w="618" w:type="dxa"/>
            <w:tcBorders>
              <w:top w:val="single" w:sz="4" w:space="0" w:color="auto"/>
              <w:bottom w:val="single" w:sz="12" w:space="0" w:color="auto"/>
            </w:tcBorders>
            <w:shd w:val="clear" w:color="auto" w:fill="auto"/>
            <w:noWrap/>
            <w:hideMark/>
          </w:tcPr>
          <w:p w:rsidR="00DB73D0" w:rsidRPr="004E7D79" w:rsidRDefault="00DB73D0" w:rsidP="006A67BA">
            <w:pPr>
              <w:spacing w:before="40" w:after="40"/>
              <w:rPr>
                <w:sz w:val="18"/>
                <w:szCs w:val="18"/>
              </w:rPr>
            </w:pPr>
            <w:r w:rsidRPr="004E7D79">
              <w:rPr>
                <w:sz w:val="18"/>
                <w:szCs w:val="18"/>
              </w:rPr>
              <w:t> </w:t>
            </w:r>
          </w:p>
        </w:tc>
        <w:tc>
          <w:tcPr>
            <w:tcW w:w="3578" w:type="dxa"/>
            <w:tcBorders>
              <w:top w:val="single" w:sz="4" w:space="0" w:color="auto"/>
              <w:bottom w:val="single" w:sz="12" w:space="0" w:color="auto"/>
            </w:tcBorders>
            <w:shd w:val="clear" w:color="auto" w:fill="auto"/>
            <w:noWrap/>
            <w:hideMark/>
          </w:tcPr>
          <w:p w:rsidR="00DB73D0" w:rsidRPr="004E7D79" w:rsidRDefault="00DB73D0" w:rsidP="00CD35BB">
            <w:pPr>
              <w:spacing w:before="40" w:after="40"/>
              <w:ind w:firstLine="181"/>
              <w:rPr>
                <w:b/>
                <w:bCs/>
                <w:sz w:val="18"/>
                <w:szCs w:val="18"/>
              </w:rPr>
            </w:pPr>
            <w:r w:rsidRPr="004E7D79">
              <w:rPr>
                <w:b/>
                <w:bCs/>
                <w:sz w:val="18"/>
                <w:szCs w:val="18"/>
              </w:rPr>
              <w:t>Total</w:t>
            </w:r>
          </w:p>
        </w:tc>
        <w:tc>
          <w:tcPr>
            <w:tcW w:w="1077" w:type="dxa"/>
            <w:tcBorders>
              <w:top w:val="single" w:sz="4" w:space="0" w:color="auto"/>
              <w:bottom w:val="single" w:sz="12" w:space="0" w:color="auto"/>
            </w:tcBorders>
            <w:shd w:val="clear" w:color="auto" w:fill="auto"/>
            <w:noWrap/>
            <w:hideMark/>
          </w:tcPr>
          <w:p w:rsidR="00DB73D0" w:rsidRPr="004E7D79" w:rsidRDefault="00DB73D0" w:rsidP="006A67BA">
            <w:pPr>
              <w:spacing w:before="40" w:after="40"/>
              <w:jc w:val="right"/>
              <w:rPr>
                <w:b/>
                <w:bCs/>
                <w:sz w:val="18"/>
                <w:szCs w:val="18"/>
              </w:rPr>
            </w:pPr>
            <w:r w:rsidRPr="004E7D79">
              <w:rPr>
                <w:b/>
                <w:bCs/>
                <w:sz w:val="18"/>
                <w:szCs w:val="18"/>
              </w:rPr>
              <w:t xml:space="preserve">100.000 </w:t>
            </w:r>
          </w:p>
        </w:tc>
        <w:tc>
          <w:tcPr>
            <w:tcW w:w="1057" w:type="dxa"/>
            <w:tcBorders>
              <w:top w:val="single" w:sz="4" w:space="0" w:color="auto"/>
              <w:bottom w:val="single" w:sz="12" w:space="0" w:color="auto"/>
            </w:tcBorders>
            <w:shd w:val="clear" w:color="auto" w:fill="auto"/>
            <w:noWrap/>
            <w:hideMark/>
          </w:tcPr>
          <w:p w:rsidR="00DB73D0" w:rsidRPr="004E7D79" w:rsidRDefault="00DB73D0" w:rsidP="006A67BA">
            <w:pPr>
              <w:spacing w:before="40" w:after="40"/>
              <w:jc w:val="right"/>
              <w:rPr>
                <w:b/>
                <w:bCs/>
                <w:sz w:val="18"/>
                <w:szCs w:val="18"/>
              </w:rPr>
            </w:pPr>
            <w:r w:rsidRPr="004E7D79">
              <w:rPr>
                <w:b/>
                <w:bCs/>
                <w:sz w:val="18"/>
                <w:szCs w:val="18"/>
              </w:rPr>
              <w:t xml:space="preserve">733 000 </w:t>
            </w:r>
          </w:p>
        </w:tc>
        <w:tc>
          <w:tcPr>
            <w:tcW w:w="1355" w:type="dxa"/>
            <w:tcBorders>
              <w:top w:val="single" w:sz="4" w:space="0" w:color="auto"/>
              <w:bottom w:val="single" w:sz="12" w:space="0" w:color="auto"/>
            </w:tcBorders>
            <w:shd w:val="clear" w:color="auto" w:fill="auto"/>
            <w:noWrap/>
            <w:hideMark/>
          </w:tcPr>
          <w:p w:rsidR="00DB73D0" w:rsidRPr="004E7D79" w:rsidRDefault="00DB73D0" w:rsidP="006A67BA">
            <w:pPr>
              <w:spacing w:before="40" w:after="40"/>
              <w:jc w:val="right"/>
              <w:rPr>
                <w:b/>
                <w:bCs/>
                <w:sz w:val="18"/>
                <w:szCs w:val="18"/>
              </w:rPr>
            </w:pPr>
            <w:r w:rsidRPr="004E7D79">
              <w:rPr>
                <w:b/>
                <w:bCs/>
                <w:sz w:val="18"/>
                <w:szCs w:val="18"/>
              </w:rPr>
              <w:t xml:space="preserve">863 000 </w:t>
            </w:r>
          </w:p>
        </w:tc>
        <w:tc>
          <w:tcPr>
            <w:tcW w:w="1403" w:type="dxa"/>
            <w:tcBorders>
              <w:top w:val="single" w:sz="4" w:space="0" w:color="auto"/>
              <w:bottom w:val="single" w:sz="12" w:space="0" w:color="auto"/>
            </w:tcBorders>
            <w:shd w:val="clear" w:color="auto" w:fill="auto"/>
            <w:noWrap/>
            <w:hideMark/>
          </w:tcPr>
          <w:p w:rsidR="00DB73D0" w:rsidRPr="004E7D79" w:rsidRDefault="00DB73D0" w:rsidP="006A67BA">
            <w:pPr>
              <w:spacing w:before="40" w:after="40"/>
              <w:jc w:val="right"/>
              <w:rPr>
                <w:b/>
                <w:bCs/>
                <w:sz w:val="18"/>
                <w:szCs w:val="18"/>
              </w:rPr>
            </w:pPr>
            <w:r w:rsidRPr="004E7D79">
              <w:rPr>
                <w:b/>
                <w:bCs/>
                <w:sz w:val="18"/>
                <w:szCs w:val="18"/>
              </w:rPr>
              <w:t xml:space="preserve">986 000 </w:t>
            </w:r>
          </w:p>
        </w:tc>
      </w:tr>
    </w:tbl>
    <w:p w:rsidR="005B70FF" w:rsidRDefault="005B70FF" w:rsidP="00DB73D0">
      <w:pPr>
        <w:pStyle w:val="Normalpool"/>
      </w:pPr>
    </w:p>
    <w:p w:rsidR="005D62F6" w:rsidRDefault="005B70FF" w:rsidP="00715700">
      <w:pPr>
        <w:tabs>
          <w:tab w:val="clear" w:pos="1247"/>
          <w:tab w:val="clear" w:pos="1814"/>
          <w:tab w:val="clear" w:pos="2381"/>
          <w:tab w:val="clear" w:pos="2948"/>
          <w:tab w:val="clear" w:pos="3515"/>
          <w:tab w:val="left" w:pos="731"/>
        </w:tabs>
        <w:sectPr w:rsidR="005D62F6" w:rsidSect="006E6722">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907" w:right="992" w:bottom="1418" w:left="1418" w:header="539" w:footer="975" w:gutter="0"/>
          <w:cols w:space="539"/>
          <w:titlePg/>
          <w:docGrid w:linePitch="360"/>
        </w:sectPr>
      </w:pPr>
      <w:r>
        <w:tab/>
      </w:r>
    </w:p>
    <w:p w:rsidR="00DB73D0" w:rsidRPr="004E7D79" w:rsidRDefault="00DB73D0" w:rsidP="00CD35BB">
      <w:pPr>
        <w:pStyle w:val="ZZAnxheader"/>
        <w:rPr>
          <w:lang w:eastAsia="zh-CN"/>
        </w:rPr>
      </w:pPr>
      <w:r w:rsidRPr="0010641C">
        <w:rPr>
          <w:lang w:eastAsia="zh-CN"/>
        </w:rPr>
        <w:lastRenderedPageBreak/>
        <w:t xml:space="preserve">Annex </w:t>
      </w:r>
      <w:r w:rsidRPr="00535E7E">
        <w:rPr>
          <w:lang w:eastAsia="zh-CN"/>
        </w:rPr>
        <w:t>III</w:t>
      </w:r>
      <w:r w:rsidR="00592109">
        <w:rPr>
          <w:lang w:eastAsia="zh-CN"/>
        </w:rPr>
        <w:t xml:space="preserve"> </w:t>
      </w:r>
    </w:p>
    <w:p w:rsidR="00DB73D0" w:rsidRPr="00E50CBA" w:rsidRDefault="00DB73D0" w:rsidP="00CD35BB">
      <w:pPr>
        <w:pStyle w:val="ZZAnxtitle"/>
        <w:rPr>
          <w:lang w:eastAsia="zh-CN"/>
        </w:rPr>
      </w:pPr>
      <w:r w:rsidRPr="00CA5517">
        <w:rPr>
          <w:lang w:eastAsia="zh-CN"/>
        </w:rPr>
        <w:t>Contri</w:t>
      </w:r>
      <w:r>
        <w:rPr>
          <w:lang w:eastAsia="zh-CN"/>
        </w:rPr>
        <w:t>butions by parties to the tenth</w:t>
      </w:r>
      <w:r w:rsidRPr="00CA5517">
        <w:rPr>
          <w:lang w:eastAsia="zh-CN"/>
        </w:rPr>
        <w:t xml:space="preserve"> replenishment of the Multilate</w:t>
      </w:r>
      <w:r>
        <w:rPr>
          <w:lang w:eastAsia="zh-CN"/>
        </w:rPr>
        <w:t>ral Fund (2018, 2019 and 2020</w:t>
      </w:r>
      <w:r w:rsidRPr="00CA5517">
        <w:rPr>
          <w:lang w:eastAsia="zh-CN"/>
        </w:rPr>
        <w:t xml:space="preserve">) </w:t>
      </w:r>
      <w:r w:rsidR="004A2FEB">
        <w:rPr>
          <w:lang w:eastAsia="zh-CN"/>
        </w:rPr>
        <w:br/>
      </w:r>
      <w:r w:rsidRPr="00CA5517">
        <w:rPr>
          <w:lang w:eastAsia="zh-CN"/>
        </w:rPr>
        <w:t xml:space="preserve">(replenishment at </w:t>
      </w:r>
      <w:r>
        <w:rPr>
          <w:lang w:eastAsia="zh-CN"/>
        </w:rPr>
        <w:t>$540 million, of which</w:t>
      </w:r>
      <w:r w:rsidRPr="00CA5517">
        <w:rPr>
          <w:lang w:eastAsia="zh-CN"/>
        </w:rPr>
        <w:t xml:space="preserve"> </w:t>
      </w:r>
      <w:r>
        <w:rPr>
          <w:lang w:eastAsia="zh-CN"/>
        </w:rPr>
        <w:t>$5</w:t>
      </w:r>
      <w:r w:rsidRPr="00CA5517">
        <w:rPr>
          <w:lang w:eastAsia="zh-CN"/>
        </w:rPr>
        <w:t>00</w:t>
      </w:r>
      <w:r>
        <w:rPr>
          <w:lang w:eastAsia="zh-CN"/>
        </w:rPr>
        <w:t> </w:t>
      </w:r>
      <w:r w:rsidRPr="00CA5517">
        <w:rPr>
          <w:lang w:eastAsia="zh-CN"/>
        </w:rPr>
        <w:t>million from new contributions)</w:t>
      </w:r>
    </w:p>
    <w:tbl>
      <w:tblPr>
        <w:tblStyle w:val="TableGrid"/>
        <w:tblW w:w="13183"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8"/>
        <w:gridCol w:w="1159"/>
        <w:gridCol w:w="1378"/>
        <w:gridCol w:w="1378"/>
        <w:gridCol w:w="1378"/>
        <w:gridCol w:w="1379"/>
        <w:gridCol w:w="1378"/>
        <w:gridCol w:w="1378"/>
        <w:gridCol w:w="1378"/>
        <w:gridCol w:w="1379"/>
      </w:tblGrid>
      <w:tr w:rsidR="00DB73D0" w:rsidRPr="00747F4C" w:rsidTr="00715700">
        <w:trPr>
          <w:trHeight w:val="1158"/>
          <w:tblHeader/>
        </w:trPr>
        <w:tc>
          <w:tcPr>
            <w:tcW w:w="998" w:type="dxa"/>
            <w:tcBorders>
              <w:top w:val="single" w:sz="4" w:space="0" w:color="auto"/>
              <w:bottom w:val="single" w:sz="12" w:space="0" w:color="auto"/>
            </w:tcBorders>
            <w:noWrap/>
            <w:hideMark/>
          </w:tcPr>
          <w:p w:rsidR="00DB73D0" w:rsidRPr="00C258B6" w:rsidRDefault="00DB73D0" w:rsidP="00CD35BB">
            <w:pPr>
              <w:spacing w:before="40" w:after="40"/>
              <w:jc w:val="center"/>
              <w:rPr>
                <w:i/>
                <w:iCs/>
                <w:sz w:val="18"/>
                <w:szCs w:val="18"/>
              </w:rPr>
            </w:pPr>
          </w:p>
        </w:tc>
        <w:tc>
          <w:tcPr>
            <w:tcW w:w="1159" w:type="dxa"/>
            <w:tcBorders>
              <w:top w:val="single" w:sz="4" w:space="0" w:color="auto"/>
              <w:bottom w:val="single" w:sz="12" w:space="0" w:color="auto"/>
            </w:tcBorders>
            <w:noWrap/>
            <w:hideMark/>
          </w:tcPr>
          <w:p w:rsidR="00DB73D0" w:rsidRPr="00C258B6" w:rsidRDefault="00DB73D0" w:rsidP="00E17AC1">
            <w:pPr>
              <w:spacing w:before="40" w:after="40"/>
              <w:ind w:left="-112" w:firstLine="112"/>
              <w:rPr>
                <w:i/>
                <w:sz w:val="18"/>
                <w:szCs w:val="18"/>
              </w:rPr>
            </w:pPr>
            <w:r w:rsidRPr="00C258B6">
              <w:rPr>
                <w:i/>
                <w:sz w:val="18"/>
                <w:szCs w:val="18"/>
              </w:rPr>
              <w:t>Country</w:t>
            </w:r>
          </w:p>
        </w:tc>
        <w:tc>
          <w:tcPr>
            <w:tcW w:w="1378" w:type="dxa"/>
            <w:tcBorders>
              <w:top w:val="single" w:sz="4" w:space="0" w:color="auto"/>
              <w:bottom w:val="single" w:sz="12" w:space="0" w:color="auto"/>
            </w:tcBorders>
            <w:hideMark/>
          </w:tcPr>
          <w:p w:rsidR="00DB73D0" w:rsidRPr="00C258B6" w:rsidRDefault="00DB73D0" w:rsidP="00CD35BB">
            <w:pPr>
              <w:spacing w:before="40" w:after="40"/>
              <w:jc w:val="center"/>
              <w:rPr>
                <w:i/>
                <w:sz w:val="18"/>
                <w:szCs w:val="18"/>
              </w:rPr>
            </w:pPr>
            <w:r w:rsidRPr="00C258B6">
              <w:rPr>
                <w:i/>
                <w:sz w:val="18"/>
                <w:szCs w:val="18"/>
              </w:rPr>
              <w:t xml:space="preserve">United Nations </w:t>
            </w:r>
            <w:r w:rsidRPr="00C258B6">
              <w:rPr>
                <w:bCs/>
                <w:i/>
                <w:color w:val="000000"/>
                <w:sz w:val="18"/>
                <w:szCs w:val="18"/>
              </w:rPr>
              <w:t>scale</w:t>
            </w:r>
            <w:r w:rsidRPr="00C258B6">
              <w:rPr>
                <w:i/>
                <w:sz w:val="18"/>
                <w:szCs w:val="18"/>
              </w:rPr>
              <w:t xml:space="preserve"> of </w:t>
            </w:r>
            <w:r w:rsidRPr="00C258B6">
              <w:rPr>
                <w:bCs/>
                <w:i/>
                <w:color w:val="000000"/>
                <w:sz w:val="18"/>
                <w:szCs w:val="18"/>
              </w:rPr>
              <w:t>assessment</w:t>
            </w:r>
            <w:r w:rsidRPr="00C258B6">
              <w:rPr>
                <w:i/>
                <w:sz w:val="18"/>
                <w:szCs w:val="18"/>
              </w:rPr>
              <w:t xml:space="preserve"> for </w:t>
            </w:r>
            <w:r w:rsidRPr="00C258B6">
              <w:rPr>
                <w:i/>
                <w:iCs/>
                <w:sz w:val="18"/>
                <w:szCs w:val="18"/>
              </w:rPr>
              <w:t>2017</w:t>
            </w:r>
          </w:p>
        </w:tc>
        <w:tc>
          <w:tcPr>
            <w:tcW w:w="1378" w:type="dxa"/>
            <w:tcBorders>
              <w:top w:val="single" w:sz="4" w:space="0" w:color="auto"/>
              <w:bottom w:val="single" w:sz="12" w:space="0" w:color="auto"/>
            </w:tcBorders>
            <w:hideMark/>
          </w:tcPr>
          <w:p w:rsidR="00DB73D0" w:rsidRPr="00C258B6" w:rsidRDefault="00DB73D0" w:rsidP="00CD35BB">
            <w:pPr>
              <w:spacing w:before="40" w:after="40"/>
              <w:jc w:val="center"/>
              <w:rPr>
                <w:i/>
                <w:sz w:val="18"/>
                <w:szCs w:val="18"/>
              </w:rPr>
            </w:pPr>
            <w:r w:rsidRPr="00C258B6">
              <w:rPr>
                <w:i/>
                <w:sz w:val="18"/>
                <w:szCs w:val="18"/>
              </w:rPr>
              <w:t>Adjusted United Nations s</w:t>
            </w:r>
            <w:r w:rsidRPr="00C258B6">
              <w:rPr>
                <w:i/>
                <w:iCs/>
                <w:sz w:val="18"/>
                <w:szCs w:val="18"/>
              </w:rPr>
              <w:t>cale</w:t>
            </w:r>
            <w:r w:rsidRPr="00C258B6">
              <w:rPr>
                <w:i/>
                <w:sz w:val="18"/>
                <w:szCs w:val="18"/>
              </w:rPr>
              <w:t xml:space="preserve"> of a</w:t>
            </w:r>
            <w:r w:rsidRPr="00C258B6">
              <w:rPr>
                <w:i/>
                <w:iCs/>
                <w:sz w:val="18"/>
                <w:szCs w:val="18"/>
              </w:rPr>
              <w:t xml:space="preserve">ssessment </w:t>
            </w:r>
            <w:r w:rsidRPr="00C258B6">
              <w:rPr>
                <w:i/>
                <w:sz w:val="18"/>
                <w:szCs w:val="18"/>
              </w:rPr>
              <w:t>with no party contributing more than 22</w:t>
            </w:r>
            <w:r w:rsidR="00C258B6" w:rsidRPr="00CD35BB">
              <w:rPr>
                <w:i/>
                <w:sz w:val="18"/>
                <w:szCs w:val="18"/>
              </w:rPr>
              <w:t> </w:t>
            </w:r>
            <w:r w:rsidRPr="00C258B6">
              <w:rPr>
                <w:i/>
                <w:sz w:val="18"/>
                <w:szCs w:val="18"/>
              </w:rPr>
              <w:t>per cent</w:t>
            </w:r>
          </w:p>
        </w:tc>
        <w:tc>
          <w:tcPr>
            <w:tcW w:w="1378" w:type="dxa"/>
            <w:tcBorders>
              <w:top w:val="single" w:sz="4" w:space="0" w:color="auto"/>
              <w:bottom w:val="single" w:sz="12" w:space="0" w:color="auto"/>
            </w:tcBorders>
            <w:hideMark/>
          </w:tcPr>
          <w:p w:rsidR="00DB73D0" w:rsidRPr="00C258B6" w:rsidRDefault="00DB73D0" w:rsidP="00CD35BB">
            <w:pPr>
              <w:spacing w:before="40" w:after="40"/>
              <w:jc w:val="center"/>
              <w:rPr>
                <w:i/>
                <w:sz w:val="18"/>
                <w:szCs w:val="18"/>
              </w:rPr>
            </w:pPr>
            <w:r w:rsidRPr="00C258B6">
              <w:rPr>
                <w:i/>
                <w:sz w:val="18"/>
                <w:szCs w:val="18"/>
              </w:rPr>
              <w:t xml:space="preserve">Annual contributions for 2018, 2019 and 2020 </w:t>
            </w:r>
            <w:r w:rsidRPr="00C258B6">
              <w:rPr>
                <w:i/>
                <w:iCs/>
                <w:sz w:val="18"/>
                <w:szCs w:val="18"/>
              </w:rPr>
              <w:t>(</w:t>
            </w:r>
            <w:r w:rsidRPr="00C258B6">
              <w:rPr>
                <w:i/>
                <w:sz w:val="18"/>
                <w:szCs w:val="18"/>
              </w:rPr>
              <w:t xml:space="preserve">United States </w:t>
            </w:r>
            <w:r w:rsidRPr="00C258B6">
              <w:rPr>
                <w:i/>
                <w:iCs/>
                <w:sz w:val="18"/>
                <w:szCs w:val="18"/>
              </w:rPr>
              <w:t>dollars</w:t>
            </w:r>
            <w:r w:rsidRPr="00C258B6">
              <w:rPr>
                <w:i/>
                <w:sz w:val="18"/>
                <w:szCs w:val="18"/>
              </w:rPr>
              <w:t>)</w:t>
            </w:r>
          </w:p>
        </w:tc>
        <w:tc>
          <w:tcPr>
            <w:tcW w:w="1379" w:type="dxa"/>
            <w:tcBorders>
              <w:top w:val="single" w:sz="4" w:space="0" w:color="auto"/>
              <w:bottom w:val="single" w:sz="12" w:space="0" w:color="auto"/>
            </w:tcBorders>
            <w:hideMark/>
          </w:tcPr>
          <w:p w:rsidR="00DB73D0" w:rsidRPr="00C258B6" w:rsidRDefault="00DB73D0" w:rsidP="00CD35BB">
            <w:pPr>
              <w:spacing w:before="40" w:after="40"/>
              <w:jc w:val="center"/>
              <w:rPr>
                <w:i/>
                <w:sz w:val="18"/>
                <w:szCs w:val="18"/>
              </w:rPr>
            </w:pPr>
            <w:r w:rsidRPr="00C258B6">
              <w:rPr>
                <w:i/>
                <w:sz w:val="18"/>
                <w:szCs w:val="18"/>
              </w:rPr>
              <w:t xml:space="preserve">Average inflation rate for the period </w:t>
            </w:r>
            <w:r w:rsidR="00C258B6" w:rsidRPr="00CD35BB">
              <w:rPr>
                <w:i/>
                <w:sz w:val="18"/>
                <w:szCs w:val="18"/>
              </w:rPr>
              <w:br/>
            </w:r>
            <w:r w:rsidRPr="00C258B6">
              <w:rPr>
                <w:i/>
                <w:sz w:val="18"/>
                <w:szCs w:val="18"/>
              </w:rPr>
              <w:t>2015</w:t>
            </w:r>
            <w:r w:rsidRPr="00C258B6">
              <w:rPr>
                <w:i/>
                <w:iCs/>
                <w:sz w:val="18"/>
                <w:szCs w:val="18"/>
              </w:rPr>
              <w:t>–</w:t>
            </w:r>
            <w:r w:rsidRPr="00C258B6">
              <w:rPr>
                <w:i/>
                <w:sz w:val="18"/>
                <w:szCs w:val="18"/>
              </w:rPr>
              <w:t xml:space="preserve">2017 </w:t>
            </w:r>
            <w:r w:rsidRPr="00CD35BB">
              <w:rPr>
                <w:bCs/>
                <w:i/>
                <w:color w:val="000000"/>
                <w:sz w:val="18"/>
                <w:szCs w:val="18"/>
              </w:rPr>
              <w:t>(percentage)</w:t>
            </w:r>
            <w:r w:rsidRPr="00CD35BB">
              <w:rPr>
                <w:i/>
                <w:iCs/>
                <w:sz w:val="18"/>
                <w:szCs w:val="18"/>
                <w:vertAlign w:val="superscript"/>
              </w:rPr>
              <w:t>a</w:t>
            </w:r>
          </w:p>
        </w:tc>
        <w:tc>
          <w:tcPr>
            <w:tcW w:w="1378" w:type="dxa"/>
            <w:tcBorders>
              <w:top w:val="single" w:sz="4" w:space="0" w:color="auto"/>
              <w:bottom w:val="single" w:sz="12" w:space="0" w:color="auto"/>
            </w:tcBorders>
            <w:hideMark/>
          </w:tcPr>
          <w:p w:rsidR="00DB73D0" w:rsidRPr="00C258B6" w:rsidRDefault="00DB73D0" w:rsidP="00CD35BB">
            <w:pPr>
              <w:spacing w:before="40" w:after="40"/>
              <w:jc w:val="center"/>
              <w:rPr>
                <w:i/>
                <w:sz w:val="18"/>
                <w:szCs w:val="18"/>
              </w:rPr>
            </w:pPr>
            <w:r w:rsidRPr="00C258B6">
              <w:rPr>
                <w:i/>
                <w:sz w:val="18"/>
                <w:szCs w:val="18"/>
              </w:rPr>
              <w:t xml:space="preserve">Qualifying for fixed exchange rate </w:t>
            </w:r>
            <w:r w:rsidRPr="00CD35BB">
              <w:rPr>
                <w:i/>
                <w:sz w:val="18"/>
                <w:szCs w:val="18"/>
              </w:rPr>
              <w:t>mechanism.</w:t>
            </w:r>
            <w:r w:rsidRPr="00C258B6">
              <w:rPr>
                <w:i/>
                <w:sz w:val="18"/>
                <w:szCs w:val="18"/>
              </w:rPr>
              <w:t xml:space="preserve"> 1=Yes;</w:t>
            </w:r>
            <w:r w:rsidRPr="00C258B6">
              <w:rPr>
                <w:i/>
                <w:sz w:val="18"/>
                <w:szCs w:val="18"/>
              </w:rPr>
              <w:br/>
              <w:t>0=No</w:t>
            </w:r>
          </w:p>
        </w:tc>
        <w:tc>
          <w:tcPr>
            <w:tcW w:w="1378" w:type="dxa"/>
            <w:tcBorders>
              <w:top w:val="single" w:sz="4" w:space="0" w:color="auto"/>
              <w:bottom w:val="single" w:sz="12" w:space="0" w:color="auto"/>
            </w:tcBorders>
            <w:hideMark/>
          </w:tcPr>
          <w:p w:rsidR="00DB73D0" w:rsidRPr="00C258B6" w:rsidRDefault="00DB73D0" w:rsidP="00CD35BB">
            <w:pPr>
              <w:spacing w:before="40" w:after="40"/>
              <w:jc w:val="center"/>
              <w:rPr>
                <w:i/>
                <w:sz w:val="18"/>
                <w:szCs w:val="18"/>
              </w:rPr>
            </w:pPr>
            <w:r w:rsidRPr="00C258B6">
              <w:rPr>
                <w:i/>
                <w:sz w:val="18"/>
                <w:szCs w:val="18"/>
              </w:rPr>
              <w:t xml:space="preserve">Fixed exchange rate </w:t>
            </w:r>
            <w:r w:rsidRPr="00CD35BB">
              <w:rPr>
                <w:i/>
                <w:sz w:val="18"/>
                <w:szCs w:val="18"/>
              </w:rPr>
              <w:t>mechanism:</w:t>
            </w:r>
            <w:r w:rsidRPr="00C258B6">
              <w:rPr>
                <w:i/>
                <w:sz w:val="18"/>
                <w:szCs w:val="18"/>
              </w:rPr>
              <w:t xml:space="preserve"> </w:t>
            </w:r>
            <w:r w:rsidRPr="00C258B6">
              <w:rPr>
                <w:i/>
                <w:iCs/>
                <w:sz w:val="18"/>
                <w:szCs w:val="18"/>
              </w:rPr>
              <w:t>users'</w:t>
            </w:r>
            <w:r w:rsidRPr="00C258B6">
              <w:rPr>
                <w:i/>
                <w:sz w:val="18"/>
                <w:szCs w:val="18"/>
              </w:rPr>
              <w:t xml:space="preserve"> currencies rate of e</w:t>
            </w:r>
            <w:r w:rsidRPr="00C258B6">
              <w:rPr>
                <w:i/>
                <w:iCs/>
                <w:sz w:val="18"/>
                <w:szCs w:val="18"/>
              </w:rPr>
              <w:t>xchange</w:t>
            </w:r>
            <w:r w:rsidRPr="00C258B6">
              <w:rPr>
                <w:i/>
                <w:iCs/>
                <w:sz w:val="18"/>
                <w:szCs w:val="18"/>
                <w:vertAlign w:val="superscript"/>
              </w:rPr>
              <w:t>b</w:t>
            </w:r>
          </w:p>
        </w:tc>
        <w:tc>
          <w:tcPr>
            <w:tcW w:w="1378" w:type="dxa"/>
            <w:tcBorders>
              <w:top w:val="single" w:sz="4" w:space="0" w:color="auto"/>
              <w:bottom w:val="single" w:sz="12" w:space="0" w:color="auto"/>
            </w:tcBorders>
            <w:hideMark/>
          </w:tcPr>
          <w:p w:rsidR="00DB73D0" w:rsidRPr="00C258B6" w:rsidRDefault="00DB73D0" w:rsidP="00CD35BB">
            <w:pPr>
              <w:spacing w:before="40" w:after="40"/>
              <w:jc w:val="center"/>
              <w:rPr>
                <w:i/>
                <w:sz w:val="18"/>
                <w:szCs w:val="18"/>
              </w:rPr>
            </w:pPr>
            <w:r w:rsidRPr="00C258B6">
              <w:rPr>
                <w:i/>
                <w:sz w:val="18"/>
                <w:szCs w:val="18"/>
              </w:rPr>
              <w:t xml:space="preserve">Fixed </w:t>
            </w:r>
            <w:r w:rsidRPr="00CD35BB">
              <w:rPr>
                <w:i/>
                <w:sz w:val="18"/>
                <w:szCs w:val="18"/>
              </w:rPr>
              <w:t xml:space="preserve">exchange mechanism: </w:t>
            </w:r>
            <w:r w:rsidRPr="00C258B6">
              <w:rPr>
                <w:i/>
                <w:iCs/>
                <w:sz w:val="18"/>
                <w:szCs w:val="18"/>
              </w:rPr>
              <w:t>users</w:t>
            </w:r>
            <w:r w:rsidRPr="00C258B6">
              <w:rPr>
                <w:i/>
                <w:sz w:val="18"/>
                <w:szCs w:val="18"/>
              </w:rPr>
              <w:t xml:space="preserve"> national currencies</w:t>
            </w:r>
          </w:p>
        </w:tc>
        <w:tc>
          <w:tcPr>
            <w:tcW w:w="1379" w:type="dxa"/>
            <w:tcBorders>
              <w:top w:val="single" w:sz="4" w:space="0" w:color="auto"/>
              <w:bottom w:val="single" w:sz="12" w:space="0" w:color="auto"/>
            </w:tcBorders>
            <w:hideMark/>
          </w:tcPr>
          <w:p w:rsidR="00DB73D0" w:rsidRPr="00C258B6" w:rsidRDefault="00DB73D0" w:rsidP="00CD35BB">
            <w:pPr>
              <w:spacing w:before="40" w:after="40"/>
              <w:jc w:val="center"/>
              <w:rPr>
                <w:i/>
                <w:sz w:val="18"/>
                <w:szCs w:val="18"/>
              </w:rPr>
            </w:pPr>
            <w:r w:rsidRPr="00C258B6">
              <w:rPr>
                <w:i/>
                <w:sz w:val="18"/>
                <w:szCs w:val="18"/>
              </w:rPr>
              <w:t xml:space="preserve">Fixed exchange </w:t>
            </w:r>
            <w:r w:rsidRPr="00CD35BB">
              <w:rPr>
                <w:i/>
                <w:sz w:val="18"/>
                <w:szCs w:val="18"/>
              </w:rPr>
              <w:t>mechanism:</w:t>
            </w:r>
            <w:r w:rsidRPr="00C258B6">
              <w:rPr>
                <w:i/>
                <w:sz w:val="18"/>
                <w:szCs w:val="18"/>
              </w:rPr>
              <w:t xml:space="preserve"> users’ contribution amount in national currency</w:t>
            </w:r>
          </w:p>
        </w:tc>
      </w:tr>
      <w:tr w:rsidR="00DB73D0" w:rsidRPr="00747F4C" w:rsidTr="00715700">
        <w:trPr>
          <w:trHeight w:val="161"/>
        </w:trPr>
        <w:tc>
          <w:tcPr>
            <w:tcW w:w="998" w:type="dxa"/>
            <w:tcBorders>
              <w:top w:val="single" w:sz="12" w:space="0" w:color="auto"/>
            </w:tcBorders>
            <w:noWrap/>
            <w:hideMark/>
          </w:tcPr>
          <w:p w:rsidR="00DB73D0" w:rsidRPr="00747F4C" w:rsidRDefault="00DB73D0" w:rsidP="006A67BA">
            <w:pPr>
              <w:spacing w:before="40" w:after="40"/>
              <w:rPr>
                <w:sz w:val="18"/>
                <w:szCs w:val="18"/>
              </w:rPr>
            </w:pPr>
            <w:r w:rsidRPr="00747F4C">
              <w:rPr>
                <w:sz w:val="18"/>
                <w:szCs w:val="18"/>
              </w:rPr>
              <w:t>1</w:t>
            </w:r>
          </w:p>
        </w:tc>
        <w:tc>
          <w:tcPr>
            <w:tcW w:w="1159" w:type="dxa"/>
            <w:tcBorders>
              <w:top w:val="single" w:sz="12" w:space="0" w:color="auto"/>
            </w:tcBorders>
            <w:noWrap/>
            <w:hideMark/>
          </w:tcPr>
          <w:p w:rsidR="00DB73D0" w:rsidRPr="00747F4C" w:rsidRDefault="00DB73D0" w:rsidP="006A67BA">
            <w:pPr>
              <w:spacing w:before="40" w:after="40"/>
              <w:rPr>
                <w:sz w:val="18"/>
                <w:szCs w:val="18"/>
              </w:rPr>
            </w:pPr>
            <w:r w:rsidRPr="00747F4C">
              <w:rPr>
                <w:sz w:val="18"/>
                <w:szCs w:val="18"/>
              </w:rPr>
              <w:t>Andorra</w:t>
            </w:r>
          </w:p>
        </w:tc>
        <w:tc>
          <w:tcPr>
            <w:tcW w:w="1378" w:type="dxa"/>
            <w:tcBorders>
              <w:top w:val="single" w:sz="12" w:space="0" w:color="auto"/>
            </w:tcBorders>
            <w:noWrap/>
            <w:hideMark/>
          </w:tcPr>
          <w:p w:rsidR="00DB73D0" w:rsidRPr="00747F4C" w:rsidRDefault="00DB73D0" w:rsidP="006A67BA">
            <w:pPr>
              <w:spacing w:before="40" w:after="40"/>
              <w:jc w:val="right"/>
              <w:rPr>
                <w:sz w:val="18"/>
                <w:szCs w:val="18"/>
              </w:rPr>
            </w:pPr>
            <w:r w:rsidRPr="00747F4C">
              <w:rPr>
                <w:sz w:val="18"/>
                <w:szCs w:val="18"/>
              </w:rPr>
              <w:t>0.006</w:t>
            </w:r>
          </w:p>
        </w:tc>
        <w:tc>
          <w:tcPr>
            <w:tcW w:w="1378" w:type="dxa"/>
            <w:tcBorders>
              <w:top w:val="single" w:sz="12" w:space="0" w:color="auto"/>
            </w:tcBorders>
            <w:noWrap/>
            <w:hideMark/>
          </w:tcPr>
          <w:p w:rsidR="00DB73D0" w:rsidRPr="00747F4C" w:rsidRDefault="00DB73D0" w:rsidP="006A67BA">
            <w:pPr>
              <w:spacing w:before="40" w:after="40"/>
              <w:jc w:val="right"/>
              <w:rPr>
                <w:sz w:val="18"/>
                <w:szCs w:val="18"/>
              </w:rPr>
            </w:pPr>
            <w:r w:rsidRPr="00747F4C">
              <w:rPr>
                <w:sz w:val="18"/>
                <w:szCs w:val="18"/>
              </w:rPr>
              <w:t>0.0091</w:t>
            </w:r>
          </w:p>
        </w:tc>
        <w:tc>
          <w:tcPr>
            <w:tcW w:w="1378" w:type="dxa"/>
            <w:tcBorders>
              <w:top w:val="single" w:sz="12" w:space="0" w:color="auto"/>
            </w:tcBorders>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15 167 </w:t>
            </w:r>
          </w:p>
        </w:tc>
        <w:tc>
          <w:tcPr>
            <w:tcW w:w="1379" w:type="dxa"/>
            <w:tcBorders>
              <w:top w:val="single" w:sz="12" w:space="0" w:color="auto"/>
            </w:tcBorders>
            <w:noWrap/>
            <w:hideMark/>
          </w:tcPr>
          <w:p w:rsidR="00DB73D0" w:rsidRPr="00747F4C" w:rsidRDefault="00DB73D0" w:rsidP="006A67BA">
            <w:pPr>
              <w:spacing w:before="40" w:after="40"/>
              <w:jc w:val="right"/>
              <w:rPr>
                <w:sz w:val="18"/>
                <w:szCs w:val="18"/>
              </w:rPr>
            </w:pPr>
          </w:p>
        </w:tc>
        <w:tc>
          <w:tcPr>
            <w:tcW w:w="1378" w:type="dxa"/>
            <w:tcBorders>
              <w:top w:val="single" w:sz="12" w:space="0" w:color="auto"/>
            </w:tcBorders>
            <w:noWrap/>
            <w:hideMark/>
          </w:tcPr>
          <w:p w:rsidR="00DB73D0" w:rsidRPr="00747F4C" w:rsidRDefault="00DB73D0" w:rsidP="006A67BA">
            <w:pPr>
              <w:spacing w:before="40" w:after="40"/>
              <w:jc w:val="right"/>
              <w:rPr>
                <w:sz w:val="18"/>
                <w:szCs w:val="18"/>
              </w:rPr>
            </w:pPr>
          </w:p>
        </w:tc>
        <w:tc>
          <w:tcPr>
            <w:tcW w:w="1378" w:type="dxa"/>
            <w:tcBorders>
              <w:top w:val="single" w:sz="12" w:space="0" w:color="auto"/>
            </w:tcBorders>
            <w:noWrap/>
            <w:hideMark/>
          </w:tcPr>
          <w:p w:rsidR="00DB73D0" w:rsidRPr="00747F4C" w:rsidRDefault="00DB73D0" w:rsidP="006A67BA">
            <w:pPr>
              <w:spacing w:before="40" w:after="40"/>
              <w:jc w:val="right"/>
              <w:rPr>
                <w:sz w:val="18"/>
                <w:szCs w:val="18"/>
              </w:rPr>
            </w:pPr>
            <w:r w:rsidRPr="00747F4C">
              <w:rPr>
                <w:sz w:val="18"/>
                <w:szCs w:val="18"/>
              </w:rPr>
              <w:t>0.92656</w:t>
            </w:r>
          </w:p>
        </w:tc>
        <w:tc>
          <w:tcPr>
            <w:tcW w:w="1378" w:type="dxa"/>
            <w:tcBorders>
              <w:top w:val="single" w:sz="12" w:space="0" w:color="auto"/>
            </w:tcBorders>
            <w:noWrap/>
            <w:hideMark/>
          </w:tcPr>
          <w:p w:rsidR="00DB73D0" w:rsidRPr="00747F4C" w:rsidRDefault="00DB73D0" w:rsidP="006A67BA">
            <w:pPr>
              <w:spacing w:before="40" w:after="40"/>
              <w:rPr>
                <w:sz w:val="18"/>
                <w:szCs w:val="18"/>
              </w:rPr>
            </w:pPr>
            <w:r w:rsidRPr="00747F4C">
              <w:rPr>
                <w:sz w:val="18"/>
                <w:szCs w:val="18"/>
              </w:rPr>
              <w:t>Euro</w:t>
            </w:r>
          </w:p>
        </w:tc>
        <w:tc>
          <w:tcPr>
            <w:tcW w:w="1379" w:type="dxa"/>
            <w:tcBorders>
              <w:top w:val="single" w:sz="12" w:space="0" w:color="auto"/>
            </w:tcBorders>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w:t>
            </w:r>
          </w:p>
        </w:tc>
      </w:tr>
      <w:tr w:rsidR="00DB73D0" w:rsidRPr="00747F4C" w:rsidTr="00CD35BB">
        <w:trPr>
          <w:trHeight w:val="207"/>
        </w:trPr>
        <w:tc>
          <w:tcPr>
            <w:tcW w:w="998" w:type="dxa"/>
            <w:noWrap/>
            <w:hideMark/>
          </w:tcPr>
          <w:p w:rsidR="00DB73D0" w:rsidRPr="00747F4C" w:rsidRDefault="00DB73D0" w:rsidP="006A67BA">
            <w:pPr>
              <w:spacing w:before="40" w:after="40"/>
              <w:rPr>
                <w:sz w:val="18"/>
                <w:szCs w:val="18"/>
              </w:rPr>
            </w:pPr>
            <w:r w:rsidRPr="00747F4C">
              <w:rPr>
                <w:sz w:val="18"/>
                <w:szCs w:val="18"/>
              </w:rPr>
              <w:t>2</w:t>
            </w:r>
          </w:p>
        </w:tc>
        <w:tc>
          <w:tcPr>
            <w:tcW w:w="1159" w:type="dxa"/>
            <w:noWrap/>
            <w:hideMark/>
          </w:tcPr>
          <w:p w:rsidR="00DB73D0" w:rsidRPr="00747F4C" w:rsidRDefault="00DB73D0" w:rsidP="006A67BA">
            <w:pPr>
              <w:spacing w:before="40" w:after="40"/>
              <w:rPr>
                <w:sz w:val="18"/>
                <w:szCs w:val="18"/>
              </w:rPr>
            </w:pPr>
            <w:r w:rsidRPr="00747F4C">
              <w:rPr>
                <w:sz w:val="18"/>
                <w:szCs w:val="18"/>
              </w:rPr>
              <w:t>Australia</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2.337</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3.5338</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5 889 667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1.83</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1.33011</w:t>
            </w:r>
          </w:p>
        </w:tc>
        <w:tc>
          <w:tcPr>
            <w:tcW w:w="1378" w:type="dxa"/>
            <w:noWrap/>
            <w:hideMark/>
          </w:tcPr>
          <w:p w:rsidR="00DB73D0" w:rsidRPr="00747F4C" w:rsidRDefault="00DB73D0" w:rsidP="006A67BA">
            <w:pPr>
              <w:spacing w:before="40" w:after="40"/>
              <w:rPr>
                <w:sz w:val="18"/>
                <w:szCs w:val="18"/>
              </w:rPr>
            </w:pPr>
            <w:r w:rsidRPr="00747F4C">
              <w:rPr>
                <w:sz w:val="18"/>
                <w:szCs w:val="18"/>
              </w:rPr>
              <w:t xml:space="preserve">Australian </w:t>
            </w:r>
            <w:r w:rsidRPr="00747F4C">
              <w:rPr>
                <w:color w:val="000000"/>
                <w:sz w:val="18"/>
                <w:szCs w:val="18"/>
              </w:rPr>
              <w:t>dollar</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7 833 905 </w:t>
            </w:r>
          </w:p>
        </w:tc>
      </w:tr>
      <w:tr w:rsidR="00DB73D0" w:rsidRPr="00747F4C" w:rsidTr="00CD35BB">
        <w:trPr>
          <w:trHeight w:val="143"/>
        </w:trPr>
        <w:tc>
          <w:tcPr>
            <w:tcW w:w="998" w:type="dxa"/>
            <w:noWrap/>
            <w:hideMark/>
          </w:tcPr>
          <w:p w:rsidR="00DB73D0" w:rsidRPr="00747F4C" w:rsidRDefault="00DB73D0" w:rsidP="006A67BA">
            <w:pPr>
              <w:spacing w:before="40" w:after="40"/>
              <w:rPr>
                <w:sz w:val="18"/>
                <w:szCs w:val="18"/>
              </w:rPr>
            </w:pPr>
            <w:r w:rsidRPr="00747F4C">
              <w:rPr>
                <w:sz w:val="18"/>
                <w:szCs w:val="18"/>
              </w:rPr>
              <w:t>3</w:t>
            </w:r>
          </w:p>
        </w:tc>
        <w:tc>
          <w:tcPr>
            <w:tcW w:w="1159" w:type="dxa"/>
            <w:noWrap/>
            <w:hideMark/>
          </w:tcPr>
          <w:p w:rsidR="00DB73D0" w:rsidRPr="00747F4C" w:rsidRDefault="00DB73D0" w:rsidP="006A67BA">
            <w:pPr>
              <w:spacing w:before="40" w:after="40"/>
              <w:rPr>
                <w:sz w:val="18"/>
                <w:szCs w:val="18"/>
              </w:rPr>
            </w:pPr>
            <w:r w:rsidRPr="00747F4C">
              <w:rPr>
                <w:sz w:val="18"/>
                <w:szCs w:val="18"/>
              </w:rPr>
              <w:t>Austria</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0.72</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1.0887</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1 814 500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1.38</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0.92656</w:t>
            </w:r>
          </w:p>
        </w:tc>
        <w:tc>
          <w:tcPr>
            <w:tcW w:w="1378" w:type="dxa"/>
            <w:noWrap/>
            <w:hideMark/>
          </w:tcPr>
          <w:p w:rsidR="00DB73D0" w:rsidRPr="00747F4C" w:rsidRDefault="00DB73D0" w:rsidP="006A67BA">
            <w:pPr>
              <w:spacing w:before="40" w:after="40"/>
              <w:rPr>
                <w:sz w:val="18"/>
                <w:szCs w:val="18"/>
              </w:rPr>
            </w:pPr>
            <w:r w:rsidRPr="00747F4C">
              <w:rPr>
                <w:sz w:val="18"/>
                <w:szCs w:val="18"/>
              </w:rPr>
              <w:t>Euro</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1 681 243 </w:t>
            </w:r>
          </w:p>
        </w:tc>
      </w:tr>
      <w:tr w:rsidR="00DB73D0" w:rsidRPr="00747F4C" w:rsidTr="00CD35BB">
        <w:trPr>
          <w:trHeight w:val="48"/>
        </w:trPr>
        <w:tc>
          <w:tcPr>
            <w:tcW w:w="998" w:type="dxa"/>
            <w:noWrap/>
            <w:hideMark/>
          </w:tcPr>
          <w:p w:rsidR="00DB73D0" w:rsidRPr="00747F4C" w:rsidRDefault="00DB73D0" w:rsidP="006A67BA">
            <w:pPr>
              <w:spacing w:before="40" w:after="40"/>
              <w:rPr>
                <w:sz w:val="18"/>
                <w:szCs w:val="18"/>
              </w:rPr>
            </w:pPr>
            <w:r w:rsidRPr="00747F4C">
              <w:rPr>
                <w:sz w:val="18"/>
                <w:szCs w:val="18"/>
              </w:rPr>
              <w:t>4</w:t>
            </w:r>
          </w:p>
        </w:tc>
        <w:tc>
          <w:tcPr>
            <w:tcW w:w="1159" w:type="dxa"/>
            <w:noWrap/>
            <w:hideMark/>
          </w:tcPr>
          <w:p w:rsidR="00DB73D0" w:rsidRPr="00747F4C" w:rsidRDefault="00DB73D0" w:rsidP="006A67BA">
            <w:pPr>
              <w:spacing w:before="40" w:after="40"/>
              <w:rPr>
                <w:sz w:val="18"/>
                <w:szCs w:val="18"/>
              </w:rPr>
            </w:pPr>
            <w:r w:rsidRPr="00747F4C">
              <w:rPr>
                <w:sz w:val="18"/>
                <w:szCs w:val="18"/>
              </w:rPr>
              <w:t>Azerbaijan</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0.06</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0.0907</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151 167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6.1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1.766571</w:t>
            </w:r>
          </w:p>
        </w:tc>
        <w:tc>
          <w:tcPr>
            <w:tcW w:w="1378" w:type="dxa"/>
            <w:noWrap/>
            <w:hideMark/>
          </w:tcPr>
          <w:p w:rsidR="00DB73D0" w:rsidRPr="00747F4C" w:rsidRDefault="00DB73D0" w:rsidP="006A67BA">
            <w:pPr>
              <w:spacing w:before="40" w:after="40"/>
              <w:rPr>
                <w:sz w:val="18"/>
                <w:szCs w:val="18"/>
              </w:rPr>
            </w:pPr>
            <w:r w:rsidRPr="00747F4C">
              <w:rPr>
                <w:color w:val="000000"/>
                <w:sz w:val="18"/>
                <w:szCs w:val="18"/>
              </w:rPr>
              <w:t>Azerbaijani</w:t>
            </w:r>
            <w:r w:rsidRPr="00747F4C">
              <w:rPr>
                <w:sz w:val="18"/>
                <w:szCs w:val="18"/>
              </w:rPr>
              <w:t xml:space="preserve"> manat</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267 047 </w:t>
            </w:r>
          </w:p>
        </w:tc>
      </w:tr>
      <w:tr w:rsidR="00DB73D0" w:rsidRPr="00747F4C" w:rsidTr="00CD35BB">
        <w:trPr>
          <w:trHeight w:val="389"/>
        </w:trPr>
        <w:tc>
          <w:tcPr>
            <w:tcW w:w="998" w:type="dxa"/>
            <w:noWrap/>
            <w:hideMark/>
          </w:tcPr>
          <w:p w:rsidR="00DB73D0" w:rsidRPr="00747F4C" w:rsidRDefault="00DB73D0" w:rsidP="006A67BA">
            <w:pPr>
              <w:spacing w:before="40" w:after="40"/>
              <w:rPr>
                <w:sz w:val="18"/>
                <w:szCs w:val="18"/>
              </w:rPr>
            </w:pPr>
            <w:r w:rsidRPr="00747F4C">
              <w:rPr>
                <w:sz w:val="18"/>
                <w:szCs w:val="18"/>
              </w:rPr>
              <w:t>5</w:t>
            </w:r>
          </w:p>
        </w:tc>
        <w:tc>
          <w:tcPr>
            <w:tcW w:w="1159" w:type="dxa"/>
            <w:noWrap/>
            <w:hideMark/>
          </w:tcPr>
          <w:p w:rsidR="00DB73D0" w:rsidRPr="00747F4C" w:rsidRDefault="00DB73D0" w:rsidP="006A67BA">
            <w:pPr>
              <w:spacing w:before="40" w:after="40"/>
              <w:rPr>
                <w:sz w:val="18"/>
                <w:szCs w:val="18"/>
              </w:rPr>
            </w:pPr>
            <w:r w:rsidRPr="00747F4C">
              <w:rPr>
                <w:sz w:val="18"/>
                <w:szCs w:val="18"/>
              </w:rPr>
              <w:t>Belarus</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0.056</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0.0847</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141 167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39.73</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1.90247</w:t>
            </w:r>
          </w:p>
        </w:tc>
        <w:tc>
          <w:tcPr>
            <w:tcW w:w="1378" w:type="dxa"/>
            <w:noWrap/>
            <w:hideMark/>
          </w:tcPr>
          <w:p w:rsidR="00DB73D0" w:rsidRPr="00747F4C" w:rsidRDefault="00DB73D0" w:rsidP="006A67BA">
            <w:pPr>
              <w:spacing w:before="40" w:after="40"/>
              <w:rPr>
                <w:sz w:val="18"/>
                <w:szCs w:val="18"/>
              </w:rPr>
            </w:pPr>
            <w:r w:rsidRPr="00747F4C">
              <w:rPr>
                <w:sz w:val="18"/>
                <w:szCs w:val="18"/>
              </w:rPr>
              <w:t>Belarusian ruble</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w:t>
            </w:r>
          </w:p>
        </w:tc>
      </w:tr>
      <w:tr w:rsidR="00DB73D0" w:rsidRPr="00747F4C" w:rsidTr="00CD35BB">
        <w:trPr>
          <w:trHeight w:val="295"/>
        </w:trPr>
        <w:tc>
          <w:tcPr>
            <w:tcW w:w="998" w:type="dxa"/>
            <w:noWrap/>
            <w:hideMark/>
          </w:tcPr>
          <w:p w:rsidR="00DB73D0" w:rsidRPr="00747F4C" w:rsidRDefault="00DB73D0" w:rsidP="006A67BA">
            <w:pPr>
              <w:spacing w:before="40" w:after="40"/>
              <w:rPr>
                <w:sz w:val="18"/>
                <w:szCs w:val="18"/>
              </w:rPr>
            </w:pPr>
            <w:r w:rsidRPr="00747F4C">
              <w:rPr>
                <w:sz w:val="18"/>
                <w:szCs w:val="18"/>
              </w:rPr>
              <w:t>6</w:t>
            </w:r>
          </w:p>
        </w:tc>
        <w:tc>
          <w:tcPr>
            <w:tcW w:w="1159" w:type="dxa"/>
            <w:noWrap/>
            <w:hideMark/>
          </w:tcPr>
          <w:p w:rsidR="00DB73D0" w:rsidRPr="00747F4C" w:rsidRDefault="00DB73D0" w:rsidP="006A67BA">
            <w:pPr>
              <w:spacing w:before="40" w:after="40"/>
              <w:rPr>
                <w:sz w:val="18"/>
                <w:szCs w:val="18"/>
              </w:rPr>
            </w:pPr>
            <w:r w:rsidRPr="00747F4C">
              <w:rPr>
                <w:sz w:val="18"/>
                <w:szCs w:val="18"/>
              </w:rPr>
              <w:t>Belgium</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0.885</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1.3382</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2 230 333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1.62</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0.92656</w:t>
            </w:r>
          </w:p>
        </w:tc>
        <w:tc>
          <w:tcPr>
            <w:tcW w:w="1378" w:type="dxa"/>
            <w:noWrap/>
            <w:hideMark/>
          </w:tcPr>
          <w:p w:rsidR="00DB73D0" w:rsidRPr="00747F4C" w:rsidRDefault="00DB73D0" w:rsidP="006A67BA">
            <w:pPr>
              <w:spacing w:before="40" w:after="40"/>
              <w:rPr>
                <w:sz w:val="18"/>
                <w:szCs w:val="18"/>
              </w:rPr>
            </w:pPr>
            <w:r w:rsidRPr="00747F4C">
              <w:rPr>
                <w:sz w:val="18"/>
                <w:szCs w:val="18"/>
              </w:rPr>
              <w:t>Euro</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2 066 538 </w:t>
            </w:r>
          </w:p>
        </w:tc>
      </w:tr>
      <w:tr w:rsidR="00DB73D0" w:rsidRPr="00747F4C" w:rsidTr="00CD35BB">
        <w:trPr>
          <w:trHeight w:val="167"/>
        </w:trPr>
        <w:tc>
          <w:tcPr>
            <w:tcW w:w="998" w:type="dxa"/>
            <w:noWrap/>
            <w:hideMark/>
          </w:tcPr>
          <w:p w:rsidR="00DB73D0" w:rsidRPr="00747F4C" w:rsidRDefault="00DB73D0" w:rsidP="006A67BA">
            <w:pPr>
              <w:spacing w:before="40" w:after="40"/>
              <w:rPr>
                <w:sz w:val="18"/>
                <w:szCs w:val="18"/>
              </w:rPr>
            </w:pPr>
            <w:r w:rsidRPr="00747F4C">
              <w:rPr>
                <w:sz w:val="18"/>
                <w:szCs w:val="18"/>
              </w:rPr>
              <w:t>7</w:t>
            </w:r>
          </w:p>
        </w:tc>
        <w:tc>
          <w:tcPr>
            <w:tcW w:w="1159" w:type="dxa"/>
            <w:noWrap/>
            <w:hideMark/>
          </w:tcPr>
          <w:p w:rsidR="00DB73D0" w:rsidRPr="00747F4C" w:rsidRDefault="00DB73D0" w:rsidP="006A67BA">
            <w:pPr>
              <w:spacing w:before="40" w:after="40"/>
              <w:rPr>
                <w:sz w:val="18"/>
                <w:szCs w:val="18"/>
              </w:rPr>
            </w:pPr>
            <w:r w:rsidRPr="00747F4C">
              <w:rPr>
                <w:sz w:val="18"/>
                <w:szCs w:val="18"/>
              </w:rPr>
              <w:t>Bulgaria</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0.045</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0.0680</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113 333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0.47</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1.81244</w:t>
            </w:r>
          </w:p>
        </w:tc>
        <w:tc>
          <w:tcPr>
            <w:tcW w:w="1378" w:type="dxa"/>
            <w:noWrap/>
            <w:hideMark/>
          </w:tcPr>
          <w:p w:rsidR="00DB73D0" w:rsidRPr="00747F4C" w:rsidRDefault="00DB73D0" w:rsidP="006A67BA">
            <w:pPr>
              <w:spacing w:before="40" w:after="40"/>
              <w:rPr>
                <w:sz w:val="18"/>
                <w:szCs w:val="18"/>
              </w:rPr>
            </w:pPr>
            <w:r w:rsidRPr="00747F4C">
              <w:rPr>
                <w:sz w:val="18"/>
                <w:szCs w:val="18"/>
              </w:rPr>
              <w:t>Bulgarian lev</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205 410 </w:t>
            </w:r>
          </w:p>
        </w:tc>
      </w:tr>
      <w:tr w:rsidR="00DB73D0" w:rsidRPr="00747F4C" w:rsidTr="00CD35BB">
        <w:trPr>
          <w:trHeight w:val="60"/>
        </w:trPr>
        <w:tc>
          <w:tcPr>
            <w:tcW w:w="998" w:type="dxa"/>
            <w:noWrap/>
            <w:hideMark/>
          </w:tcPr>
          <w:p w:rsidR="00DB73D0" w:rsidRPr="00747F4C" w:rsidRDefault="00DB73D0" w:rsidP="006A67BA">
            <w:pPr>
              <w:spacing w:before="40" w:after="40"/>
              <w:rPr>
                <w:sz w:val="18"/>
                <w:szCs w:val="18"/>
              </w:rPr>
            </w:pPr>
            <w:r w:rsidRPr="00747F4C">
              <w:rPr>
                <w:sz w:val="18"/>
                <w:szCs w:val="18"/>
              </w:rPr>
              <w:t>8</w:t>
            </w:r>
          </w:p>
        </w:tc>
        <w:tc>
          <w:tcPr>
            <w:tcW w:w="1159" w:type="dxa"/>
            <w:noWrap/>
            <w:hideMark/>
          </w:tcPr>
          <w:p w:rsidR="00DB73D0" w:rsidRPr="00747F4C" w:rsidRDefault="00DB73D0" w:rsidP="006A67BA">
            <w:pPr>
              <w:spacing w:before="40" w:after="40"/>
              <w:rPr>
                <w:sz w:val="18"/>
                <w:szCs w:val="18"/>
              </w:rPr>
            </w:pPr>
            <w:r w:rsidRPr="00747F4C">
              <w:rPr>
                <w:sz w:val="18"/>
                <w:szCs w:val="18"/>
              </w:rPr>
              <w:t>Canada</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2.921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4.4168</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7 361 333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1.41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1.33367</w:t>
            </w:r>
          </w:p>
        </w:tc>
        <w:tc>
          <w:tcPr>
            <w:tcW w:w="1378" w:type="dxa"/>
            <w:noWrap/>
            <w:hideMark/>
          </w:tcPr>
          <w:p w:rsidR="00DB73D0" w:rsidRPr="00747F4C" w:rsidRDefault="00DB73D0" w:rsidP="006A67BA">
            <w:pPr>
              <w:spacing w:before="40" w:after="40"/>
              <w:rPr>
                <w:sz w:val="18"/>
                <w:szCs w:val="18"/>
              </w:rPr>
            </w:pPr>
            <w:r w:rsidRPr="00747F4C">
              <w:rPr>
                <w:sz w:val="18"/>
                <w:szCs w:val="18"/>
              </w:rPr>
              <w:t>Canadian dollar</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9 817 589 </w:t>
            </w:r>
          </w:p>
        </w:tc>
      </w:tr>
      <w:tr w:rsidR="00DB73D0" w:rsidRPr="00747F4C" w:rsidTr="00CD35BB">
        <w:trPr>
          <w:trHeight w:val="161"/>
        </w:trPr>
        <w:tc>
          <w:tcPr>
            <w:tcW w:w="998" w:type="dxa"/>
            <w:noWrap/>
            <w:hideMark/>
          </w:tcPr>
          <w:p w:rsidR="00DB73D0" w:rsidRPr="00747F4C" w:rsidRDefault="00DB73D0" w:rsidP="006A67BA">
            <w:pPr>
              <w:spacing w:before="40" w:after="40"/>
              <w:rPr>
                <w:sz w:val="18"/>
                <w:szCs w:val="18"/>
              </w:rPr>
            </w:pPr>
            <w:r w:rsidRPr="00747F4C">
              <w:rPr>
                <w:sz w:val="18"/>
                <w:szCs w:val="18"/>
              </w:rPr>
              <w:t>9</w:t>
            </w:r>
          </w:p>
        </w:tc>
        <w:tc>
          <w:tcPr>
            <w:tcW w:w="1159" w:type="dxa"/>
            <w:noWrap/>
            <w:hideMark/>
          </w:tcPr>
          <w:p w:rsidR="00DB73D0" w:rsidRPr="00747F4C" w:rsidRDefault="00DB73D0" w:rsidP="006A67BA">
            <w:pPr>
              <w:spacing w:before="40" w:after="40"/>
              <w:rPr>
                <w:sz w:val="18"/>
                <w:szCs w:val="18"/>
              </w:rPr>
            </w:pPr>
            <w:r w:rsidRPr="00747F4C">
              <w:rPr>
                <w:sz w:val="18"/>
                <w:szCs w:val="18"/>
              </w:rPr>
              <w:t>Croatia</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0.099</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0.1497</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249 500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-0.18</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6.88629</w:t>
            </w:r>
          </w:p>
        </w:tc>
        <w:tc>
          <w:tcPr>
            <w:tcW w:w="1378" w:type="dxa"/>
            <w:noWrap/>
            <w:hideMark/>
          </w:tcPr>
          <w:p w:rsidR="00DB73D0" w:rsidRPr="00747F4C" w:rsidRDefault="00DB73D0" w:rsidP="006A67BA">
            <w:pPr>
              <w:spacing w:before="40" w:after="40"/>
              <w:rPr>
                <w:sz w:val="18"/>
                <w:szCs w:val="18"/>
              </w:rPr>
            </w:pPr>
            <w:r w:rsidRPr="00747F4C">
              <w:rPr>
                <w:color w:val="000000"/>
                <w:sz w:val="18"/>
                <w:szCs w:val="18"/>
              </w:rPr>
              <w:t>Croatian</w:t>
            </w:r>
            <w:r w:rsidRPr="00747F4C">
              <w:rPr>
                <w:sz w:val="18"/>
                <w:szCs w:val="18"/>
              </w:rPr>
              <w:t xml:space="preserve"> kuna</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1 718 129 </w:t>
            </w:r>
          </w:p>
        </w:tc>
      </w:tr>
      <w:tr w:rsidR="00DB73D0" w:rsidRPr="00747F4C" w:rsidTr="00CD35BB">
        <w:trPr>
          <w:trHeight w:val="221"/>
        </w:trPr>
        <w:tc>
          <w:tcPr>
            <w:tcW w:w="998" w:type="dxa"/>
            <w:noWrap/>
            <w:hideMark/>
          </w:tcPr>
          <w:p w:rsidR="00DB73D0" w:rsidRPr="00747F4C" w:rsidRDefault="00DB73D0" w:rsidP="006A67BA">
            <w:pPr>
              <w:spacing w:before="40" w:after="40"/>
              <w:rPr>
                <w:sz w:val="18"/>
                <w:szCs w:val="18"/>
              </w:rPr>
            </w:pPr>
            <w:r w:rsidRPr="00747F4C">
              <w:rPr>
                <w:sz w:val="18"/>
                <w:szCs w:val="18"/>
              </w:rPr>
              <w:t>10</w:t>
            </w:r>
          </w:p>
        </w:tc>
        <w:tc>
          <w:tcPr>
            <w:tcW w:w="1159" w:type="dxa"/>
            <w:noWrap/>
            <w:hideMark/>
          </w:tcPr>
          <w:p w:rsidR="00DB73D0" w:rsidRPr="00747F4C" w:rsidRDefault="00DB73D0" w:rsidP="006A67BA">
            <w:pPr>
              <w:spacing w:before="40" w:after="40"/>
              <w:rPr>
                <w:sz w:val="18"/>
                <w:szCs w:val="18"/>
              </w:rPr>
            </w:pPr>
            <w:r w:rsidRPr="00747F4C">
              <w:rPr>
                <w:sz w:val="18"/>
                <w:szCs w:val="18"/>
              </w:rPr>
              <w:t>Cyprus</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0.043</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0.0650</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108 333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-0.80</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0.92656</w:t>
            </w:r>
          </w:p>
        </w:tc>
        <w:tc>
          <w:tcPr>
            <w:tcW w:w="1378" w:type="dxa"/>
            <w:noWrap/>
            <w:hideMark/>
          </w:tcPr>
          <w:p w:rsidR="00DB73D0" w:rsidRPr="00747F4C" w:rsidRDefault="00DB73D0" w:rsidP="006A67BA">
            <w:pPr>
              <w:spacing w:before="40" w:after="40"/>
              <w:rPr>
                <w:sz w:val="18"/>
                <w:szCs w:val="18"/>
              </w:rPr>
            </w:pPr>
            <w:r w:rsidRPr="00747F4C">
              <w:rPr>
                <w:sz w:val="18"/>
                <w:szCs w:val="18"/>
              </w:rPr>
              <w:t>Euro</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100 377 </w:t>
            </w:r>
          </w:p>
        </w:tc>
      </w:tr>
      <w:tr w:rsidR="00DB73D0" w:rsidRPr="00747F4C" w:rsidTr="00CD35BB">
        <w:trPr>
          <w:trHeight w:val="60"/>
        </w:trPr>
        <w:tc>
          <w:tcPr>
            <w:tcW w:w="998" w:type="dxa"/>
            <w:noWrap/>
            <w:hideMark/>
          </w:tcPr>
          <w:p w:rsidR="00DB73D0" w:rsidRPr="00747F4C" w:rsidRDefault="00DB73D0" w:rsidP="006A67BA">
            <w:pPr>
              <w:spacing w:before="40" w:after="40"/>
              <w:rPr>
                <w:sz w:val="18"/>
                <w:szCs w:val="18"/>
              </w:rPr>
            </w:pPr>
            <w:r w:rsidRPr="00747F4C">
              <w:rPr>
                <w:sz w:val="18"/>
                <w:szCs w:val="18"/>
              </w:rPr>
              <w:t>11</w:t>
            </w:r>
          </w:p>
        </w:tc>
        <w:tc>
          <w:tcPr>
            <w:tcW w:w="1159" w:type="dxa"/>
            <w:noWrap/>
            <w:hideMark/>
          </w:tcPr>
          <w:p w:rsidR="00DB73D0" w:rsidRPr="00747F4C" w:rsidRDefault="00DB73D0" w:rsidP="006A67BA">
            <w:pPr>
              <w:spacing w:before="40" w:after="40"/>
              <w:rPr>
                <w:sz w:val="18"/>
                <w:szCs w:val="18"/>
              </w:rPr>
            </w:pPr>
            <w:r w:rsidRPr="00747F4C">
              <w:rPr>
                <w:sz w:val="18"/>
                <w:szCs w:val="18"/>
              </w:rPr>
              <w:t>Czechia</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0.344</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0.5202</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867 000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1.15</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24.78429</w:t>
            </w:r>
          </w:p>
        </w:tc>
        <w:tc>
          <w:tcPr>
            <w:tcW w:w="1378" w:type="dxa"/>
            <w:noWrap/>
            <w:hideMark/>
          </w:tcPr>
          <w:p w:rsidR="00DB73D0" w:rsidRPr="00747F4C" w:rsidRDefault="00DB73D0" w:rsidP="006A67BA">
            <w:pPr>
              <w:spacing w:before="40" w:after="40"/>
              <w:rPr>
                <w:sz w:val="18"/>
                <w:szCs w:val="18"/>
              </w:rPr>
            </w:pPr>
            <w:r w:rsidRPr="00747F4C">
              <w:rPr>
                <w:sz w:val="18"/>
                <w:szCs w:val="18"/>
              </w:rPr>
              <w:t>Czech koruna</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21 487 979 </w:t>
            </w:r>
          </w:p>
        </w:tc>
      </w:tr>
      <w:tr w:rsidR="00DB73D0" w:rsidRPr="00747F4C" w:rsidTr="00CD35BB">
        <w:trPr>
          <w:trHeight w:val="60"/>
        </w:trPr>
        <w:tc>
          <w:tcPr>
            <w:tcW w:w="998" w:type="dxa"/>
            <w:noWrap/>
            <w:hideMark/>
          </w:tcPr>
          <w:p w:rsidR="00DB73D0" w:rsidRPr="00747F4C" w:rsidRDefault="00DB73D0" w:rsidP="006A67BA">
            <w:pPr>
              <w:spacing w:before="40" w:after="40"/>
              <w:rPr>
                <w:sz w:val="18"/>
                <w:szCs w:val="18"/>
              </w:rPr>
            </w:pPr>
            <w:r w:rsidRPr="00747F4C">
              <w:rPr>
                <w:sz w:val="18"/>
                <w:szCs w:val="18"/>
              </w:rPr>
              <w:t>12</w:t>
            </w:r>
          </w:p>
        </w:tc>
        <w:tc>
          <w:tcPr>
            <w:tcW w:w="1159" w:type="dxa"/>
            <w:noWrap/>
            <w:hideMark/>
          </w:tcPr>
          <w:p w:rsidR="00DB73D0" w:rsidRPr="00747F4C" w:rsidRDefault="00DB73D0" w:rsidP="006A67BA">
            <w:pPr>
              <w:spacing w:before="40" w:after="40"/>
              <w:rPr>
                <w:sz w:val="18"/>
                <w:szCs w:val="18"/>
              </w:rPr>
            </w:pPr>
            <w:r w:rsidRPr="00747F4C">
              <w:rPr>
                <w:sz w:val="18"/>
                <w:szCs w:val="18"/>
              </w:rPr>
              <w:t>Denmark</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0.584</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0.8831</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1 471 833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0.55</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6.891</w:t>
            </w:r>
          </w:p>
        </w:tc>
        <w:tc>
          <w:tcPr>
            <w:tcW w:w="1378" w:type="dxa"/>
            <w:noWrap/>
            <w:hideMark/>
          </w:tcPr>
          <w:p w:rsidR="00DB73D0" w:rsidRPr="00747F4C" w:rsidRDefault="00DB73D0" w:rsidP="006A67BA">
            <w:pPr>
              <w:spacing w:before="40" w:after="40"/>
              <w:rPr>
                <w:sz w:val="18"/>
                <w:szCs w:val="18"/>
              </w:rPr>
            </w:pPr>
            <w:r w:rsidRPr="00747F4C">
              <w:rPr>
                <w:sz w:val="18"/>
                <w:szCs w:val="18"/>
              </w:rPr>
              <w:t>Danish krone</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10 142 404 </w:t>
            </w:r>
          </w:p>
        </w:tc>
      </w:tr>
      <w:tr w:rsidR="00DB73D0" w:rsidRPr="00747F4C" w:rsidTr="00CD35BB">
        <w:trPr>
          <w:trHeight w:val="225"/>
        </w:trPr>
        <w:tc>
          <w:tcPr>
            <w:tcW w:w="998" w:type="dxa"/>
            <w:noWrap/>
            <w:hideMark/>
          </w:tcPr>
          <w:p w:rsidR="00DB73D0" w:rsidRPr="00747F4C" w:rsidRDefault="00DB73D0" w:rsidP="006A67BA">
            <w:pPr>
              <w:spacing w:before="40" w:after="40"/>
              <w:rPr>
                <w:sz w:val="18"/>
                <w:szCs w:val="18"/>
              </w:rPr>
            </w:pPr>
            <w:r w:rsidRPr="00747F4C">
              <w:rPr>
                <w:sz w:val="18"/>
                <w:szCs w:val="18"/>
              </w:rPr>
              <w:t>13</w:t>
            </w:r>
          </w:p>
        </w:tc>
        <w:tc>
          <w:tcPr>
            <w:tcW w:w="1159" w:type="dxa"/>
            <w:noWrap/>
            <w:hideMark/>
          </w:tcPr>
          <w:p w:rsidR="00DB73D0" w:rsidRPr="00747F4C" w:rsidRDefault="00DB73D0" w:rsidP="006A67BA">
            <w:pPr>
              <w:spacing w:before="40" w:after="40"/>
              <w:rPr>
                <w:sz w:val="18"/>
                <w:szCs w:val="18"/>
              </w:rPr>
            </w:pPr>
            <w:r w:rsidRPr="00747F4C">
              <w:rPr>
                <w:sz w:val="18"/>
                <w:szCs w:val="18"/>
              </w:rPr>
              <w:t>Estonia</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0.038</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0.0575</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95 833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1.05</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0.92656</w:t>
            </w:r>
          </w:p>
        </w:tc>
        <w:tc>
          <w:tcPr>
            <w:tcW w:w="1378" w:type="dxa"/>
            <w:noWrap/>
            <w:hideMark/>
          </w:tcPr>
          <w:p w:rsidR="00DB73D0" w:rsidRPr="00747F4C" w:rsidRDefault="00DB73D0" w:rsidP="006A67BA">
            <w:pPr>
              <w:spacing w:before="40" w:after="40"/>
              <w:rPr>
                <w:sz w:val="18"/>
                <w:szCs w:val="18"/>
              </w:rPr>
            </w:pPr>
            <w:r w:rsidRPr="00747F4C">
              <w:rPr>
                <w:sz w:val="18"/>
                <w:szCs w:val="18"/>
              </w:rPr>
              <w:t>Euro</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88 795 </w:t>
            </w:r>
          </w:p>
        </w:tc>
      </w:tr>
      <w:tr w:rsidR="00DB73D0" w:rsidRPr="00747F4C" w:rsidTr="00CD35BB">
        <w:trPr>
          <w:trHeight w:val="215"/>
        </w:trPr>
        <w:tc>
          <w:tcPr>
            <w:tcW w:w="998" w:type="dxa"/>
            <w:noWrap/>
            <w:hideMark/>
          </w:tcPr>
          <w:p w:rsidR="00DB73D0" w:rsidRPr="00747F4C" w:rsidRDefault="00DB73D0" w:rsidP="006A67BA">
            <w:pPr>
              <w:spacing w:before="40" w:after="40"/>
              <w:rPr>
                <w:sz w:val="18"/>
                <w:szCs w:val="18"/>
              </w:rPr>
            </w:pPr>
            <w:r w:rsidRPr="00747F4C">
              <w:rPr>
                <w:sz w:val="18"/>
                <w:szCs w:val="18"/>
              </w:rPr>
              <w:t>14</w:t>
            </w:r>
          </w:p>
        </w:tc>
        <w:tc>
          <w:tcPr>
            <w:tcW w:w="1159" w:type="dxa"/>
            <w:noWrap/>
            <w:hideMark/>
          </w:tcPr>
          <w:p w:rsidR="00DB73D0" w:rsidRPr="00747F4C" w:rsidRDefault="00DB73D0" w:rsidP="006A67BA">
            <w:pPr>
              <w:spacing w:before="40" w:after="40"/>
              <w:rPr>
                <w:sz w:val="18"/>
                <w:szCs w:val="18"/>
              </w:rPr>
            </w:pPr>
            <w:r w:rsidRPr="00747F4C">
              <w:rPr>
                <w:sz w:val="18"/>
                <w:szCs w:val="18"/>
              </w:rPr>
              <w:t>Finland</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0.456</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0.6895</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1 149 167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0.34</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0.92656</w:t>
            </w:r>
          </w:p>
        </w:tc>
        <w:tc>
          <w:tcPr>
            <w:tcW w:w="1378" w:type="dxa"/>
            <w:noWrap/>
            <w:hideMark/>
          </w:tcPr>
          <w:p w:rsidR="00DB73D0" w:rsidRPr="00747F4C" w:rsidRDefault="00DB73D0" w:rsidP="006A67BA">
            <w:pPr>
              <w:spacing w:before="40" w:after="40"/>
              <w:rPr>
                <w:sz w:val="18"/>
                <w:szCs w:val="18"/>
              </w:rPr>
            </w:pPr>
            <w:r w:rsidRPr="00747F4C">
              <w:rPr>
                <w:sz w:val="18"/>
                <w:szCs w:val="18"/>
              </w:rPr>
              <w:t>Euro</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1 064 772 </w:t>
            </w:r>
          </w:p>
        </w:tc>
      </w:tr>
      <w:tr w:rsidR="00DB73D0" w:rsidRPr="00747F4C" w:rsidTr="00CD35BB">
        <w:trPr>
          <w:trHeight w:val="219"/>
        </w:trPr>
        <w:tc>
          <w:tcPr>
            <w:tcW w:w="998" w:type="dxa"/>
            <w:noWrap/>
            <w:hideMark/>
          </w:tcPr>
          <w:p w:rsidR="00DB73D0" w:rsidRPr="00747F4C" w:rsidRDefault="00DB73D0" w:rsidP="006A67BA">
            <w:pPr>
              <w:spacing w:before="40" w:after="40"/>
              <w:rPr>
                <w:sz w:val="18"/>
                <w:szCs w:val="18"/>
              </w:rPr>
            </w:pPr>
            <w:r w:rsidRPr="00747F4C">
              <w:rPr>
                <w:sz w:val="18"/>
                <w:szCs w:val="18"/>
              </w:rPr>
              <w:t>15</w:t>
            </w:r>
          </w:p>
        </w:tc>
        <w:tc>
          <w:tcPr>
            <w:tcW w:w="1159" w:type="dxa"/>
            <w:noWrap/>
            <w:hideMark/>
          </w:tcPr>
          <w:p w:rsidR="00DB73D0" w:rsidRPr="00747F4C" w:rsidRDefault="00DB73D0" w:rsidP="006A67BA">
            <w:pPr>
              <w:spacing w:before="40" w:after="40"/>
              <w:rPr>
                <w:sz w:val="18"/>
                <w:szCs w:val="18"/>
              </w:rPr>
            </w:pPr>
            <w:r w:rsidRPr="00747F4C">
              <w:rPr>
                <w:sz w:val="18"/>
                <w:szCs w:val="18"/>
              </w:rPr>
              <w:t xml:space="preserve">France </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4.859</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7.3473</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12 245 500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0.39</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0.92656</w:t>
            </w:r>
          </w:p>
        </w:tc>
        <w:tc>
          <w:tcPr>
            <w:tcW w:w="1378" w:type="dxa"/>
            <w:noWrap/>
            <w:hideMark/>
          </w:tcPr>
          <w:p w:rsidR="00DB73D0" w:rsidRPr="00747F4C" w:rsidRDefault="00DB73D0" w:rsidP="006A67BA">
            <w:pPr>
              <w:spacing w:before="40" w:after="40"/>
              <w:rPr>
                <w:sz w:val="18"/>
                <w:szCs w:val="18"/>
              </w:rPr>
            </w:pPr>
            <w:r w:rsidRPr="00747F4C">
              <w:rPr>
                <w:sz w:val="18"/>
                <w:szCs w:val="18"/>
              </w:rPr>
              <w:t>Euro</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11 346 191 </w:t>
            </w:r>
          </w:p>
        </w:tc>
      </w:tr>
      <w:tr w:rsidR="00DB73D0" w:rsidRPr="00747F4C" w:rsidTr="00CD35BB">
        <w:trPr>
          <w:trHeight w:val="209"/>
        </w:trPr>
        <w:tc>
          <w:tcPr>
            <w:tcW w:w="998" w:type="dxa"/>
            <w:noWrap/>
            <w:hideMark/>
          </w:tcPr>
          <w:p w:rsidR="00DB73D0" w:rsidRPr="00747F4C" w:rsidRDefault="00DB73D0" w:rsidP="006A67BA">
            <w:pPr>
              <w:spacing w:before="40" w:after="40"/>
              <w:rPr>
                <w:sz w:val="18"/>
                <w:szCs w:val="18"/>
              </w:rPr>
            </w:pPr>
            <w:r w:rsidRPr="00747F4C">
              <w:rPr>
                <w:sz w:val="18"/>
                <w:szCs w:val="18"/>
              </w:rPr>
              <w:t>16</w:t>
            </w:r>
          </w:p>
        </w:tc>
        <w:tc>
          <w:tcPr>
            <w:tcW w:w="1159" w:type="dxa"/>
            <w:noWrap/>
            <w:hideMark/>
          </w:tcPr>
          <w:p w:rsidR="00DB73D0" w:rsidRPr="00747F4C" w:rsidRDefault="00DB73D0" w:rsidP="006A67BA">
            <w:pPr>
              <w:spacing w:before="40" w:after="40"/>
              <w:rPr>
                <w:sz w:val="18"/>
                <w:szCs w:val="18"/>
              </w:rPr>
            </w:pPr>
            <w:r w:rsidRPr="00747F4C">
              <w:rPr>
                <w:sz w:val="18"/>
                <w:szCs w:val="18"/>
              </w:rPr>
              <w:t xml:space="preserve">Germany </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6.389</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9.6608</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16 101 333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0.86</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0.92656</w:t>
            </w:r>
          </w:p>
        </w:tc>
        <w:tc>
          <w:tcPr>
            <w:tcW w:w="1378" w:type="dxa"/>
            <w:noWrap/>
            <w:hideMark/>
          </w:tcPr>
          <w:p w:rsidR="00DB73D0" w:rsidRPr="00747F4C" w:rsidRDefault="00DB73D0" w:rsidP="006A67BA">
            <w:pPr>
              <w:spacing w:before="40" w:after="40"/>
              <w:rPr>
                <w:sz w:val="18"/>
                <w:szCs w:val="18"/>
              </w:rPr>
            </w:pPr>
            <w:r w:rsidRPr="00747F4C">
              <w:rPr>
                <w:sz w:val="18"/>
                <w:szCs w:val="18"/>
              </w:rPr>
              <w:t>Euro</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14 918 851 </w:t>
            </w:r>
          </w:p>
        </w:tc>
      </w:tr>
      <w:tr w:rsidR="00DB73D0" w:rsidRPr="00747F4C" w:rsidTr="00CD35BB">
        <w:trPr>
          <w:trHeight w:val="213"/>
        </w:trPr>
        <w:tc>
          <w:tcPr>
            <w:tcW w:w="998" w:type="dxa"/>
            <w:noWrap/>
            <w:hideMark/>
          </w:tcPr>
          <w:p w:rsidR="00DB73D0" w:rsidRPr="00747F4C" w:rsidRDefault="00DB73D0" w:rsidP="006A67BA">
            <w:pPr>
              <w:spacing w:before="40" w:after="40"/>
              <w:rPr>
                <w:sz w:val="18"/>
                <w:szCs w:val="18"/>
              </w:rPr>
            </w:pPr>
            <w:r w:rsidRPr="00747F4C">
              <w:rPr>
                <w:sz w:val="18"/>
                <w:szCs w:val="18"/>
              </w:rPr>
              <w:t>17</w:t>
            </w:r>
          </w:p>
        </w:tc>
        <w:tc>
          <w:tcPr>
            <w:tcW w:w="1159" w:type="dxa"/>
            <w:noWrap/>
            <w:hideMark/>
          </w:tcPr>
          <w:p w:rsidR="00DB73D0" w:rsidRPr="00747F4C" w:rsidRDefault="00DB73D0" w:rsidP="006A67BA">
            <w:pPr>
              <w:spacing w:before="40" w:after="40"/>
              <w:rPr>
                <w:sz w:val="18"/>
                <w:szCs w:val="18"/>
              </w:rPr>
            </w:pPr>
            <w:r w:rsidRPr="00747F4C">
              <w:rPr>
                <w:sz w:val="18"/>
                <w:szCs w:val="18"/>
              </w:rPr>
              <w:t>Greece</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0.471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0.7122</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1 187 000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-0.44</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0.92656</w:t>
            </w:r>
          </w:p>
        </w:tc>
        <w:tc>
          <w:tcPr>
            <w:tcW w:w="1378" w:type="dxa"/>
            <w:noWrap/>
            <w:hideMark/>
          </w:tcPr>
          <w:p w:rsidR="00DB73D0" w:rsidRPr="00747F4C" w:rsidRDefault="00DB73D0" w:rsidP="006A67BA">
            <w:pPr>
              <w:spacing w:before="40" w:after="40"/>
              <w:rPr>
                <w:sz w:val="18"/>
                <w:szCs w:val="18"/>
              </w:rPr>
            </w:pPr>
            <w:r w:rsidRPr="00747F4C">
              <w:rPr>
                <w:sz w:val="18"/>
                <w:szCs w:val="18"/>
              </w:rPr>
              <w:t>Euro</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1 099 827 </w:t>
            </w:r>
          </w:p>
        </w:tc>
      </w:tr>
      <w:tr w:rsidR="00DB73D0" w:rsidRPr="00747F4C" w:rsidTr="00CD35BB">
        <w:trPr>
          <w:trHeight w:val="203"/>
        </w:trPr>
        <w:tc>
          <w:tcPr>
            <w:tcW w:w="998" w:type="dxa"/>
            <w:noWrap/>
            <w:hideMark/>
          </w:tcPr>
          <w:p w:rsidR="00DB73D0" w:rsidRPr="00747F4C" w:rsidRDefault="00DB73D0" w:rsidP="006A67BA">
            <w:pPr>
              <w:spacing w:before="40" w:after="40"/>
              <w:rPr>
                <w:sz w:val="18"/>
                <w:szCs w:val="18"/>
              </w:rPr>
            </w:pPr>
            <w:r w:rsidRPr="00747F4C">
              <w:rPr>
                <w:sz w:val="18"/>
                <w:szCs w:val="18"/>
              </w:rPr>
              <w:t>18</w:t>
            </w:r>
          </w:p>
        </w:tc>
        <w:tc>
          <w:tcPr>
            <w:tcW w:w="1159" w:type="dxa"/>
            <w:noWrap/>
            <w:hideMark/>
          </w:tcPr>
          <w:p w:rsidR="00DB73D0" w:rsidRPr="00747F4C" w:rsidRDefault="00DB73D0" w:rsidP="006A67BA">
            <w:pPr>
              <w:spacing w:before="40" w:after="40"/>
              <w:rPr>
                <w:sz w:val="18"/>
                <w:szCs w:val="18"/>
              </w:rPr>
            </w:pPr>
            <w:r w:rsidRPr="00747F4C">
              <w:rPr>
                <w:sz w:val="18"/>
                <w:szCs w:val="18"/>
              </w:rPr>
              <w:t>Holy See</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0.001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0.0015</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2 500 </w:t>
            </w:r>
          </w:p>
        </w:tc>
        <w:tc>
          <w:tcPr>
            <w:tcW w:w="1379" w:type="dxa"/>
            <w:noWrap/>
            <w:hideMark/>
          </w:tcPr>
          <w:p w:rsidR="00DB73D0" w:rsidRPr="00747F4C" w:rsidRDefault="00DB73D0" w:rsidP="006A67BA">
            <w:pPr>
              <w:spacing w:before="40" w:after="40"/>
              <w:jc w:val="right"/>
              <w:rPr>
                <w:sz w:val="18"/>
                <w:szCs w:val="18"/>
              </w:rPr>
            </w:pPr>
          </w:p>
        </w:tc>
        <w:tc>
          <w:tcPr>
            <w:tcW w:w="1378" w:type="dxa"/>
            <w:noWrap/>
            <w:hideMark/>
          </w:tcPr>
          <w:p w:rsidR="00DB73D0" w:rsidRPr="00747F4C" w:rsidRDefault="00DB73D0" w:rsidP="006A67BA">
            <w:pPr>
              <w:spacing w:before="40" w:after="40"/>
              <w:jc w:val="right"/>
              <w:rPr>
                <w:sz w:val="18"/>
                <w:szCs w:val="18"/>
              </w:rPr>
            </w:pPr>
          </w:p>
        </w:tc>
        <w:tc>
          <w:tcPr>
            <w:tcW w:w="1378" w:type="dxa"/>
            <w:noWrap/>
            <w:hideMark/>
          </w:tcPr>
          <w:p w:rsidR="00DB73D0" w:rsidRPr="00747F4C" w:rsidRDefault="00DB73D0" w:rsidP="006A67BA">
            <w:pPr>
              <w:spacing w:before="40" w:after="40"/>
              <w:jc w:val="right"/>
              <w:rPr>
                <w:sz w:val="18"/>
                <w:szCs w:val="18"/>
              </w:rPr>
            </w:pPr>
          </w:p>
        </w:tc>
        <w:tc>
          <w:tcPr>
            <w:tcW w:w="1378" w:type="dxa"/>
            <w:noWrap/>
            <w:hideMark/>
          </w:tcPr>
          <w:p w:rsidR="00DB73D0" w:rsidRPr="00747F4C" w:rsidRDefault="00DB73D0" w:rsidP="006A67BA">
            <w:pPr>
              <w:spacing w:before="40" w:after="40"/>
              <w:rPr>
                <w:sz w:val="18"/>
                <w:szCs w:val="18"/>
              </w:rPr>
            </w:pP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w:t>
            </w:r>
          </w:p>
        </w:tc>
      </w:tr>
      <w:tr w:rsidR="00DB73D0" w:rsidRPr="00747F4C" w:rsidTr="00CD35BB">
        <w:trPr>
          <w:trHeight w:val="334"/>
        </w:trPr>
        <w:tc>
          <w:tcPr>
            <w:tcW w:w="998" w:type="dxa"/>
            <w:noWrap/>
            <w:hideMark/>
          </w:tcPr>
          <w:p w:rsidR="00DB73D0" w:rsidRPr="00747F4C" w:rsidRDefault="00DB73D0" w:rsidP="006A67BA">
            <w:pPr>
              <w:spacing w:before="40" w:after="40"/>
              <w:rPr>
                <w:sz w:val="18"/>
                <w:szCs w:val="18"/>
              </w:rPr>
            </w:pPr>
            <w:r w:rsidRPr="00747F4C">
              <w:rPr>
                <w:sz w:val="18"/>
                <w:szCs w:val="18"/>
              </w:rPr>
              <w:t>19</w:t>
            </w:r>
          </w:p>
        </w:tc>
        <w:tc>
          <w:tcPr>
            <w:tcW w:w="1159" w:type="dxa"/>
            <w:noWrap/>
            <w:hideMark/>
          </w:tcPr>
          <w:p w:rsidR="00DB73D0" w:rsidRPr="00747F4C" w:rsidRDefault="00DB73D0" w:rsidP="006A67BA">
            <w:pPr>
              <w:spacing w:before="40" w:after="40"/>
              <w:rPr>
                <w:sz w:val="18"/>
                <w:szCs w:val="18"/>
              </w:rPr>
            </w:pPr>
            <w:r w:rsidRPr="00747F4C">
              <w:rPr>
                <w:sz w:val="18"/>
                <w:szCs w:val="18"/>
              </w:rPr>
              <w:t>Hungary</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0.161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0.2434</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405 667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0.89</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285.8943</w:t>
            </w:r>
          </w:p>
        </w:tc>
        <w:tc>
          <w:tcPr>
            <w:tcW w:w="1378" w:type="dxa"/>
            <w:noWrap/>
            <w:hideMark/>
          </w:tcPr>
          <w:p w:rsidR="00DB73D0" w:rsidRPr="00747F4C" w:rsidRDefault="00DB73D0" w:rsidP="006A67BA">
            <w:pPr>
              <w:spacing w:before="40" w:after="40"/>
              <w:rPr>
                <w:sz w:val="18"/>
                <w:szCs w:val="18"/>
              </w:rPr>
            </w:pPr>
            <w:r w:rsidRPr="00747F4C">
              <w:rPr>
                <w:color w:val="000000"/>
                <w:sz w:val="18"/>
                <w:szCs w:val="18"/>
              </w:rPr>
              <w:t>Hungarian</w:t>
            </w:r>
            <w:r w:rsidRPr="00747F4C">
              <w:rPr>
                <w:sz w:val="18"/>
                <w:szCs w:val="18"/>
              </w:rPr>
              <w:t xml:space="preserve"> forint</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115 977 788 </w:t>
            </w:r>
          </w:p>
        </w:tc>
      </w:tr>
      <w:tr w:rsidR="00DB73D0" w:rsidRPr="00747F4C" w:rsidTr="00CD35BB">
        <w:trPr>
          <w:trHeight w:val="389"/>
        </w:trPr>
        <w:tc>
          <w:tcPr>
            <w:tcW w:w="998" w:type="dxa"/>
            <w:noWrap/>
            <w:hideMark/>
          </w:tcPr>
          <w:p w:rsidR="00DB73D0" w:rsidRPr="00747F4C" w:rsidRDefault="00DB73D0" w:rsidP="006A67BA">
            <w:pPr>
              <w:spacing w:before="40" w:after="40"/>
              <w:rPr>
                <w:sz w:val="18"/>
                <w:szCs w:val="18"/>
              </w:rPr>
            </w:pPr>
            <w:r w:rsidRPr="00747F4C">
              <w:rPr>
                <w:sz w:val="18"/>
                <w:szCs w:val="18"/>
              </w:rPr>
              <w:lastRenderedPageBreak/>
              <w:t>20</w:t>
            </w:r>
          </w:p>
        </w:tc>
        <w:tc>
          <w:tcPr>
            <w:tcW w:w="1159" w:type="dxa"/>
            <w:noWrap/>
            <w:hideMark/>
          </w:tcPr>
          <w:p w:rsidR="00DB73D0" w:rsidRPr="00747F4C" w:rsidRDefault="00DB73D0" w:rsidP="006A67BA">
            <w:pPr>
              <w:spacing w:before="40" w:after="40"/>
              <w:rPr>
                <w:sz w:val="18"/>
                <w:szCs w:val="18"/>
              </w:rPr>
            </w:pPr>
            <w:r w:rsidRPr="00747F4C">
              <w:rPr>
                <w:sz w:val="18"/>
                <w:szCs w:val="18"/>
              </w:rPr>
              <w:t>Iceland</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0.023</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0.0348</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58 000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1.99</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108.7457</w:t>
            </w:r>
          </w:p>
        </w:tc>
        <w:tc>
          <w:tcPr>
            <w:tcW w:w="1378" w:type="dxa"/>
            <w:noWrap/>
            <w:hideMark/>
          </w:tcPr>
          <w:p w:rsidR="00DB73D0" w:rsidRPr="00747F4C" w:rsidRDefault="00DB73D0" w:rsidP="006A67BA">
            <w:pPr>
              <w:spacing w:before="40" w:after="40"/>
              <w:rPr>
                <w:sz w:val="18"/>
                <w:szCs w:val="18"/>
              </w:rPr>
            </w:pPr>
            <w:r w:rsidRPr="00747F4C">
              <w:rPr>
                <w:color w:val="000000"/>
                <w:sz w:val="18"/>
                <w:szCs w:val="18"/>
              </w:rPr>
              <w:t>Icelandic</w:t>
            </w:r>
            <w:r w:rsidRPr="00747F4C">
              <w:rPr>
                <w:sz w:val="18"/>
                <w:szCs w:val="18"/>
              </w:rPr>
              <w:t xml:space="preserve"> </w:t>
            </w:r>
            <w:r w:rsidRPr="00747F4C">
              <w:rPr>
                <w:color w:val="000000"/>
                <w:sz w:val="18"/>
                <w:szCs w:val="18"/>
              </w:rPr>
              <w:t>króna</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6 307 251 </w:t>
            </w:r>
          </w:p>
        </w:tc>
      </w:tr>
      <w:tr w:rsidR="00DB73D0" w:rsidRPr="00747F4C" w:rsidTr="00CD35BB">
        <w:trPr>
          <w:trHeight w:val="207"/>
        </w:trPr>
        <w:tc>
          <w:tcPr>
            <w:tcW w:w="998" w:type="dxa"/>
            <w:noWrap/>
            <w:hideMark/>
          </w:tcPr>
          <w:p w:rsidR="00DB73D0" w:rsidRPr="00747F4C" w:rsidRDefault="00DB73D0" w:rsidP="006A67BA">
            <w:pPr>
              <w:spacing w:before="40" w:after="40"/>
              <w:rPr>
                <w:sz w:val="18"/>
                <w:szCs w:val="18"/>
              </w:rPr>
            </w:pPr>
            <w:r w:rsidRPr="00747F4C">
              <w:rPr>
                <w:sz w:val="18"/>
                <w:szCs w:val="18"/>
              </w:rPr>
              <w:t>21</w:t>
            </w:r>
          </w:p>
        </w:tc>
        <w:tc>
          <w:tcPr>
            <w:tcW w:w="1159" w:type="dxa"/>
            <w:noWrap/>
            <w:hideMark/>
          </w:tcPr>
          <w:p w:rsidR="00DB73D0" w:rsidRPr="00747F4C" w:rsidRDefault="00DB73D0" w:rsidP="006A67BA">
            <w:pPr>
              <w:spacing w:before="40" w:after="40"/>
              <w:rPr>
                <w:sz w:val="18"/>
                <w:szCs w:val="18"/>
              </w:rPr>
            </w:pPr>
            <w:r w:rsidRPr="00747F4C">
              <w:rPr>
                <w:sz w:val="18"/>
                <w:szCs w:val="18"/>
              </w:rPr>
              <w:t xml:space="preserve">Ireland </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0.335</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0.5066</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844 333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-0.02</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0.92656</w:t>
            </w:r>
          </w:p>
        </w:tc>
        <w:tc>
          <w:tcPr>
            <w:tcW w:w="1378" w:type="dxa"/>
            <w:noWrap/>
            <w:hideMark/>
          </w:tcPr>
          <w:p w:rsidR="00DB73D0" w:rsidRPr="00747F4C" w:rsidRDefault="00DB73D0" w:rsidP="006A67BA">
            <w:pPr>
              <w:spacing w:before="40" w:after="40"/>
              <w:rPr>
                <w:sz w:val="18"/>
                <w:szCs w:val="18"/>
              </w:rPr>
            </w:pPr>
            <w:r w:rsidRPr="00747F4C">
              <w:rPr>
                <w:sz w:val="18"/>
                <w:szCs w:val="18"/>
              </w:rPr>
              <w:t>Euro</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782 325 </w:t>
            </w:r>
          </w:p>
        </w:tc>
      </w:tr>
      <w:tr w:rsidR="00DB73D0" w:rsidRPr="00747F4C" w:rsidTr="00CD35BB">
        <w:trPr>
          <w:trHeight w:val="389"/>
        </w:trPr>
        <w:tc>
          <w:tcPr>
            <w:tcW w:w="998" w:type="dxa"/>
            <w:noWrap/>
            <w:hideMark/>
          </w:tcPr>
          <w:p w:rsidR="00DB73D0" w:rsidRPr="00747F4C" w:rsidRDefault="00DB73D0" w:rsidP="006A67BA">
            <w:pPr>
              <w:spacing w:before="40" w:after="40"/>
              <w:rPr>
                <w:sz w:val="18"/>
                <w:szCs w:val="18"/>
              </w:rPr>
            </w:pPr>
            <w:r w:rsidRPr="00747F4C">
              <w:rPr>
                <w:sz w:val="18"/>
                <w:szCs w:val="18"/>
              </w:rPr>
              <w:t>22</w:t>
            </w:r>
          </w:p>
        </w:tc>
        <w:tc>
          <w:tcPr>
            <w:tcW w:w="1159" w:type="dxa"/>
            <w:noWrap/>
            <w:hideMark/>
          </w:tcPr>
          <w:p w:rsidR="00DB73D0" w:rsidRPr="00747F4C" w:rsidRDefault="00DB73D0" w:rsidP="006A67BA">
            <w:pPr>
              <w:spacing w:before="40" w:after="40"/>
              <w:rPr>
                <w:sz w:val="18"/>
                <w:szCs w:val="18"/>
              </w:rPr>
            </w:pPr>
            <w:r w:rsidRPr="00747F4C">
              <w:rPr>
                <w:sz w:val="18"/>
                <w:szCs w:val="18"/>
              </w:rPr>
              <w:t>Israel</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0.43</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0.6502</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1 083 667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-0.27</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3.66</w:t>
            </w:r>
          </w:p>
        </w:tc>
        <w:tc>
          <w:tcPr>
            <w:tcW w:w="1378" w:type="dxa"/>
            <w:noWrap/>
            <w:hideMark/>
          </w:tcPr>
          <w:p w:rsidR="00DB73D0" w:rsidRPr="00747F4C" w:rsidRDefault="00DB73D0" w:rsidP="006A67BA">
            <w:pPr>
              <w:spacing w:before="40" w:after="40"/>
              <w:rPr>
                <w:sz w:val="18"/>
                <w:szCs w:val="18"/>
              </w:rPr>
            </w:pPr>
            <w:r w:rsidRPr="00747F4C">
              <w:rPr>
                <w:sz w:val="18"/>
                <w:szCs w:val="18"/>
              </w:rPr>
              <w:t xml:space="preserve">New </w:t>
            </w:r>
            <w:r w:rsidRPr="00747F4C">
              <w:rPr>
                <w:color w:val="000000"/>
                <w:sz w:val="18"/>
                <w:szCs w:val="18"/>
              </w:rPr>
              <w:t>Israeli</w:t>
            </w:r>
            <w:r w:rsidRPr="00747F4C">
              <w:rPr>
                <w:sz w:val="18"/>
                <w:szCs w:val="18"/>
              </w:rPr>
              <w:t xml:space="preserve"> shekel</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3 966 220 </w:t>
            </w:r>
          </w:p>
        </w:tc>
      </w:tr>
      <w:tr w:rsidR="00DB73D0" w:rsidRPr="00747F4C" w:rsidTr="00CD35BB">
        <w:trPr>
          <w:trHeight w:val="221"/>
        </w:trPr>
        <w:tc>
          <w:tcPr>
            <w:tcW w:w="998" w:type="dxa"/>
            <w:noWrap/>
            <w:hideMark/>
          </w:tcPr>
          <w:p w:rsidR="00DB73D0" w:rsidRPr="00747F4C" w:rsidRDefault="00DB73D0" w:rsidP="006A67BA">
            <w:pPr>
              <w:spacing w:before="40" w:after="40"/>
              <w:rPr>
                <w:sz w:val="18"/>
                <w:szCs w:val="18"/>
              </w:rPr>
            </w:pPr>
            <w:r w:rsidRPr="00747F4C">
              <w:rPr>
                <w:sz w:val="18"/>
                <w:szCs w:val="18"/>
              </w:rPr>
              <w:t>23</w:t>
            </w:r>
          </w:p>
        </w:tc>
        <w:tc>
          <w:tcPr>
            <w:tcW w:w="1159" w:type="dxa"/>
            <w:noWrap/>
            <w:hideMark/>
          </w:tcPr>
          <w:p w:rsidR="00DB73D0" w:rsidRPr="00747F4C" w:rsidRDefault="00DB73D0" w:rsidP="006A67BA">
            <w:pPr>
              <w:spacing w:before="40" w:after="40"/>
              <w:rPr>
                <w:sz w:val="18"/>
                <w:szCs w:val="18"/>
              </w:rPr>
            </w:pPr>
            <w:r w:rsidRPr="00747F4C">
              <w:rPr>
                <w:sz w:val="18"/>
                <w:szCs w:val="18"/>
              </w:rPr>
              <w:t>Italy</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3.748</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5.6673</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9 445 500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0.51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0.92656</w:t>
            </w:r>
          </w:p>
        </w:tc>
        <w:tc>
          <w:tcPr>
            <w:tcW w:w="1378" w:type="dxa"/>
            <w:noWrap/>
            <w:hideMark/>
          </w:tcPr>
          <w:p w:rsidR="00DB73D0" w:rsidRPr="00747F4C" w:rsidRDefault="00DB73D0" w:rsidP="006A67BA">
            <w:pPr>
              <w:spacing w:before="40" w:after="40"/>
              <w:rPr>
                <w:sz w:val="18"/>
                <w:szCs w:val="18"/>
              </w:rPr>
            </w:pPr>
            <w:r w:rsidRPr="00747F4C">
              <w:rPr>
                <w:sz w:val="18"/>
                <w:szCs w:val="18"/>
              </w:rPr>
              <w:t>Euro</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8 751 822 </w:t>
            </w:r>
          </w:p>
        </w:tc>
      </w:tr>
      <w:tr w:rsidR="00DB73D0" w:rsidRPr="00747F4C" w:rsidTr="00CD35BB">
        <w:trPr>
          <w:trHeight w:val="211"/>
        </w:trPr>
        <w:tc>
          <w:tcPr>
            <w:tcW w:w="998" w:type="dxa"/>
            <w:noWrap/>
            <w:hideMark/>
          </w:tcPr>
          <w:p w:rsidR="00DB73D0" w:rsidRPr="00747F4C" w:rsidRDefault="00DB73D0" w:rsidP="006A67BA">
            <w:pPr>
              <w:spacing w:before="40" w:after="40"/>
              <w:rPr>
                <w:sz w:val="18"/>
                <w:szCs w:val="18"/>
              </w:rPr>
            </w:pPr>
            <w:r w:rsidRPr="00747F4C">
              <w:rPr>
                <w:sz w:val="18"/>
                <w:szCs w:val="18"/>
              </w:rPr>
              <w:t>24</w:t>
            </w:r>
          </w:p>
        </w:tc>
        <w:tc>
          <w:tcPr>
            <w:tcW w:w="1159" w:type="dxa"/>
            <w:noWrap/>
            <w:hideMark/>
          </w:tcPr>
          <w:p w:rsidR="00DB73D0" w:rsidRPr="00747F4C" w:rsidRDefault="00DB73D0" w:rsidP="006A67BA">
            <w:pPr>
              <w:spacing w:before="40" w:after="40"/>
              <w:rPr>
                <w:sz w:val="18"/>
                <w:szCs w:val="18"/>
              </w:rPr>
            </w:pPr>
            <w:r w:rsidRPr="00747F4C">
              <w:rPr>
                <w:sz w:val="18"/>
                <w:szCs w:val="18"/>
              </w:rPr>
              <w:t xml:space="preserve">Japan </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9.68</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14.6371</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24 395 167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0.36</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112.6378</w:t>
            </w:r>
          </w:p>
        </w:tc>
        <w:tc>
          <w:tcPr>
            <w:tcW w:w="1378" w:type="dxa"/>
            <w:noWrap/>
            <w:hideMark/>
          </w:tcPr>
          <w:p w:rsidR="00DB73D0" w:rsidRPr="00747F4C" w:rsidRDefault="00DB73D0" w:rsidP="006A67BA">
            <w:pPr>
              <w:spacing w:before="40" w:after="40"/>
              <w:rPr>
                <w:sz w:val="18"/>
                <w:szCs w:val="18"/>
              </w:rPr>
            </w:pPr>
            <w:r w:rsidRPr="00747F4C">
              <w:rPr>
                <w:sz w:val="18"/>
                <w:szCs w:val="18"/>
              </w:rPr>
              <w:t>Yen</w:t>
            </w:r>
          </w:p>
        </w:tc>
        <w:tc>
          <w:tcPr>
            <w:tcW w:w="1379" w:type="dxa"/>
            <w:shd w:val="clear" w:color="auto" w:fill="auto"/>
            <w:noWrap/>
          </w:tcPr>
          <w:p w:rsidR="00DB73D0" w:rsidRPr="00747F4C" w:rsidRDefault="00DB73D0" w:rsidP="006A67BA">
            <w:pPr>
              <w:spacing w:before="40" w:after="40"/>
              <w:jc w:val="right"/>
              <w:rPr>
                <w:color w:val="000000"/>
                <w:sz w:val="17"/>
                <w:szCs w:val="17"/>
              </w:rPr>
            </w:pPr>
            <w:r w:rsidRPr="00747F4C">
              <w:rPr>
                <w:color w:val="000000"/>
                <w:sz w:val="17"/>
                <w:szCs w:val="17"/>
              </w:rPr>
              <w:t xml:space="preserve">2 747 817 909 </w:t>
            </w:r>
          </w:p>
        </w:tc>
      </w:tr>
      <w:tr w:rsidR="00DB73D0" w:rsidRPr="00747F4C" w:rsidTr="00CD35BB">
        <w:trPr>
          <w:trHeight w:val="201"/>
        </w:trPr>
        <w:tc>
          <w:tcPr>
            <w:tcW w:w="998" w:type="dxa"/>
            <w:noWrap/>
            <w:hideMark/>
          </w:tcPr>
          <w:p w:rsidR="00DB73D0" w:rsidRPr="00747F4C" w:rsidRDefault="00DB73D0" w:rsidP="006A67BA">
            <w:pPr>
              <w:spacing w:before="40" w:after="40"/>
              <w:rPr>
                <w:sz w:val="18"/>
                <w:szCs w:val="18"/>
              </w:rPr>
            </w:pPr>
            <w:r w:rsidRPr="00747F4C">
              <w:rPr>
                <w:sz w:val="18"/>
                <w:szCs w:val="18"/>
              </w:rPr>
              <w:t>25</w:t>
            </w:r>
          </w:p>
        </w:tc>
        <w:tc>
          <w:tcPr>
            <w:tcW w:w="1159" w:type="dxa"/>
            <w:noWrap/>
            <w:hideMark/>
          </w:tcPr>
          <w:p w:rsidR="00DB73D0" w:rsidRPr="00747F4C" w:rsidRDefault="00DB73D0" w:rsidP="006A67BA">
            <w:pPr>
              <w:spacing w:before="40" w:after="40"/>
              <w:rPr>
                <w:sz w:val="18"/>
                <w:szCs w:val="18"/>
              </w:rPr>
            </w:pPr>
            <w:r w:rsidRPr="00747F4C">
              <w:rPr>
                <w:sz w:val="18"/>
                <w:szCs w:val="18"/>
              </w:rPr>
              <w:t>Kazakhstan</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0.191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0.2888</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481 333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14.23</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319.2329</w:t>
            </w:r>
          </w:p>
        </w:tc>
        <w:tc>
          <w:tcPr>
            <w:tcW w:w="1378" w:type="dxa"/>
            <w:noWrap/>
            <w:hideMark/>
          </w:tcPr>
          <w:p w:rsidR="00DB73D0" w:rsidRPr="00747F4C" w:rsidRDefault="00DB73D0" w:rsidP="006A67BA">
            <w:pPr>
              <w:spacing w:before="40" w:after="40"/>
              <w:rPr>
                <w:sz w:val="18"/>
                <w:szCs w:val="18"/>
              </w:rPr>
            </w:pPr>
            <w:r w:rsidRPr="00747F4C">
              <w:rPr>
                <w:sz w:val="18"/>
                <w:szCs w:val="18"/>
              </w:rPr>
              <w:t>Tenge</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w:t>
            </w:r>
          </w:p>
        </w:tc>
      </w:tr>
      <w:tr w:rsidR="00DB73D0" w:rsidRPr="00747F4C" w:rsidTr="00CD35BB">
        <w:trPr>
          <w:trHeight w:val="205"/>
        </w:trPr>
        <w:tc>
          <w:tcPr>
            <w:tcW w:w="998" w:type="dxa"/>
            <w:noWrap/>
            <w:hideMark/>
          </w:tcPr>
          <w:p w:rsidR="00DB73D0" w:rsidRPr="00747F4C" w:rsidRDefault="00DB73D0" w:rsidP="006A67BA">
            <w:pPr>
              <w:spacing w:before="40" w:after="40"/>
              <w:rPr>
                <w:sz w:val="18"/>
                <w:szCs w:val="18"/>
              </w:rPr>
            </w:pPr>
            <w:r w:rsidRPr="00747F4C">
              <w:rPr>
                <w:sz w:val="18"/>
                <w:szCs w:val="18"/>
              </w:rPr>
              <w:t>26</w:t>
            </w:r>
          </w:p>
        </w:tc>
        <w:tc>
          <w:tcPr>
            <w:tcW w:w="1159" w:type="dxa"/>
            <w:noWrap/>
            <w:hideMark/>
          </w:tcPr>
          <w:p w:rsidR="00DB73D0" w:rsidRPr="00747F4C" w:rsidRDefault="00DB73D0" w:rsidP="006A67BA">
            <w:pPr>
              <w:spacing w:before="40" w:after="40"/>
              <w:rPr>
                <w:sz w:val="18"/>
                <w:szCs w:val="18"/>
              </w:rPr>
            </w:pPr>
            <w:r w:rsidRPr="00747F4C">
              <w:rPr>
                <w:sz w:val="18"/>
                <w:szCs w:val="18"/>
              </w:rPr>
              <w:t>Latvia</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0.05</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0.0756</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126 000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1.25</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0.92656</w:t>
            </w:r>
          </w:p>
        </w:tc>
        <w:tc>
          <w:tcPr>
            <w:tcW w:w="1378" w:type="dxa"/>
            <w:noWrap/>
            <w:hideMark/>
          </w:tcPr>
          <w:p w:rsidR="00DB73D0" w:rsidRPr="00747F4C" w:rsidRDefault="00DB73D0" w:rsidP="006A67BA">
            <w:pPr>
              <w:spacing w:before="40" w:after="40"/>
              <w:rPr>
                <w:sz w:val="18"/>
                <w:szCs w:val="18"/>
              </w:rPr>
            </w:pPr>
            <w:r w:rsidRPr="00747F4C">
              <w:rPr>
                <w:sz w:val="18"/>
                <w:szCs w:val="18"/>
              </w:rPr>
              <w:t>Euro</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116 747 </w:t>
            </w:r>
          </w:p>
        </w:tc>
      </w:tr>
      <w:tr w:rsidR="00DB73D0" w:rsidRPr="00747F4C" w:rsidTr="00CD35BB">
        <w:trPr>
          <w:trHeight w:val="187"/>
        </w:trPr>
        <w:tc>
          <w:tcPr>
            <w:tcW w:w="998" w:type="dxa"/>
            <w:noWrap/>
            <w:hideMark/>
          </w:tcPr>
          <w:p w:rsidR="00DB73D0" w:rsidRPr="00747F4C" w:rsidRDefault="00DB73D0" w:rsidP="006A67BA">
            <w:pPr>
              <w:spacing w:before="40" w:after="40"/>
              <w:rPr>
                <w:sz w:val="18"/>
                <w:szCs w:val="18"/>
              </w:rPr>
            </w:pPr>
            <w:r w:rsidRPr="00747F4C">
              <w:rPr>
                <w:sz w:val="18"/>
                <w:szCs w:val="18"/>
              </w:rPr>
              <w:t>27</w:t>
            </w:r>
          </w:p>
        </w:tc>
        <w:tc>
          <w:tcPr>
            <w:tcW w:w="1159" w:type="dxa"/>
            <w:noWrap/>
            <w:hideMark/>
          </w:tcPr>
          <w:p w:rsidR="00DB73D0" w:rsidRPr="00747F4C" w:rsidRDefault="00DB73D0" w:rsidP="006A67BA">
            <w:pPr>
              <w:spacing w:before="40" w:after="40"/>
              <w:rPr>
                <w:sz w:val="17"/>
                <w:szCs w:val="17"/>
              </w:rPr>
            </w:pPr>
            <w:r w:rsidRPr="00747F4C">
              <w:rPr>
                <w:sz w:val="17"/>
                <w:szCs w:val="17"/>
              </w:rPr>
              <w:t>Liechtenstein</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0.007</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0.0106</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17 667 </w:t>
            </w:r>
          </w:p>
        </w:tc>
        <w:tc>
          <w:tcPr>
            <w:tcW w:w="1379" w:type="dxa"/>
            <w:noWrap/>
            <w:hideMark/>
          </w:tcPr>
          <w:p w:rsidR="00DB73D0" w:rsidRPr="00747F4C" w:rsidRDefault="00DB73D0" w:rsidP="006A67BA">
            <w:pPr>
              <w:spacing w:before="40" w:after="40"/>
              <w:jc w:val="right"/>
              <w:rPr>
                <w:sz w:val="18"/>
                <w:szCs w:val="18"/>
              </w:rPr>
            </w:pPr>
            <w:r>
              <w:rPr>
                <w:sz w:val="18"/>
                <w:szCs w:val="18"/>
              </w:rPr>
              <w:sym w:font="Symbol" w:char="F02D"/>
            </w:r>
          </w:p>
        </w:tc>
        <w:tc>
          <w:tcPr>
            <w:tcW w:w="1378" w:type="dxa"/>
            <w:noWrap/>
            <w:hideMark/>
          </w:tcPr>
          <w:p w:rsidR="00DB73D0" w:rsidRPr="00747F4C" w:rsidRDefault="00DB73D0" w:rsidP="006A67BA">
            <w:pPr>
              <w:spacing w:before="40" w:after="40"/>
              <w:jc w:val="right"/>
              <w:rPr>
                <w:sz w:val="18"/>
                <w:szCs w:val="18"/>
              </w:rPr>
            </w:pPr>
            <w:r>
              <w:rPr>
                <w:sz w:val="18"/>
                <w:szCs w:val="18"/>
              </w:rPr>
              <w:sym w:font="Symbol" w:char="F02D"/>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0.996556</w:t>
            </w:r>
          </w:p>
        </w:tc>
        <w:tc>
          <w:tcPr>
            <w:tcW w:w="1378" w:type="dxa"/>
            <w:noWrap/>
            <w:hideMark/>
          </w:tcPr>
          <w:p w:rsidR="00DB73D0" w:rsidRPr="00747F4C" w:rsidRDefault="00DB73D0" w:rsidP="006A67BA">
            <w:pPr>
              <w:spacing w:before="40" w:after="40"/>
              <w:rPr>
                <w:sz w:val="18"/>
                <w:szCs w:val="18"/>
              </w:rPr>
            </w:pPr>
            <w:r w:rsidRPr="00747F4C">
              <w:rPr>
                <w:sz w:val="18"/>
                <w:szCs w:val="18"/>
              </w:rPr>
              <w:t>Swiss franc</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w:t>
            </w:r>
          </w:p>
        </w:tc>
      </w:tr>
      <w:tr w:rsidR="00DB73D0" w:rsidRPr="00747F4C" w:rsidTr="00CD35BB">
        <w:trPr>
          <w:trHeight w:val="178"/>
        </w:trPr>
        <w:tc>
          <w:tcPr>
            <w:tcW w:w="998" w:type="dxa"/>
            <w:noWrap/>
            <w:hideMark/>
          </w:tcPr>
          <w:p w:rsidR="00DB73D0" w:rsidRPr="00747F4C" w:rsidRDefault="00DB73D0" w:rsidP="006A67BA">
            <w:pPr>
              <w:spacing w:before="40" w:after="40"/>
              <w:rPr>
                <w:sz w:val="18"/>
                <w:szCs w:val="18"/>
              </w:rPr>
            </w:pPr>
            <w:r w:rsidRPr="00747F4C">
              <w:rPr>
                <w:sz w:val="18"/>
                <w:szCs w:val="18"/>
              </w:rPr>
              <w:t>28</w:t>
            </w:r>
          </w:p>
        </w:tc>
        <w:tc>
          <w:tcPr>
            <w:tcW w:w="1159" w:type="dxa"/>
            <w:noWrap/>
            <w:hideMark/>
          </w:tcPr>
          <w:p w:rsidR="00DB73D0" w:rsidRPr="00747F4C" w:rsidRDefault="00DB73D0" w:rsidP="006A67BA">
            <w:pPr>
              <w:spacing w:before="40" w:after="40"/>
              <w:rPr>
                <w:sz w:val="18"/>
                <w:szCs w:val="18"/>
              </w:rPr>
            </w:pPr>
            <w:r w:rsidRPr="00747F4C">
              <w:rPr>
                <w:sz w:val="18"/>
                <w:szCs w:val="18"/>
              </w:rPr>
              <w:t>Lithuania</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0.072</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0.1089</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181 500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1.28</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0.92656</w:t>
            </w:r>
          </w:p>
        </w:tc>
        <w:tc>
          <w:tcPr>
            <w:tcW w:w="1378" w:type="dxa"/>
            <w:noWrap/>
            <w:hideMark/>
          </w:tcPr>
          <w:p w:rsidR="00DB73D0" w:rsidRPr="00747F4C" w:rsidRDefault="00DB73D0" w:rsidP="006A67BA">
            <w:pPr>
              <w:spacing w:before="40" w:after="40"/>
              <w:rPr>
                <w:sz w:val="18"/>
                <w:szCs w:val="18"/>
              </w:rPr>
            </w:pPr>
            <w:r w:rsidRPr="00747F4C">
              <w:rPr>
                <w:sz w:val="18"/>
                <w:szCs w:val="18"/>
              </w:rPr>
              <w:t>Euro</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168 171 </w:t>
            </w:r>
          </w:p>
        </w:tc>
      </w:tr>
      <w:tr w:rsidR="00DB73D0" w:rsidRPr="00747F4C" w:rsidTr="00CD35BB">
        <w:trPr>
          <w:trHeight w:val="259"/>
        </w:trPr>
        <w:tc>
          <w:tcPr>
            <w:tcW w:w="998" w:type="dxa"/>
            <w:noWrap/>
            <w:hideMark/>
          </w:tcPr>
          <w:p w:rsidR="00DB73D0" w:rsidRPr="00747F4C" w:rsidRDefault="00DB73D0" w:rsidP="006A67BA">
            <w:pPr>
              <w:spacing w:before="40" w:after="40"/>
              <w:rPr>
                <w:sz w:val="18"/>
                <w:szCs w:val="18"/>
              </w:rPr>
            </w:pPr>
            <w:r w:rsidRPr="00747F4C">
              <w:rPr>
                <w:sz w:val="18"/>
                <w:szCs w:val="18"/>
              </w:rPr>
              <w:t>29</w:t>
            </w:r>
          </w:p>
        </w:tc>
        <w:tc>
          <w:tcPr>
            <w:tcW w:w="1159" w:type="dxa"/>
            <w:noWrap/>
            <w:hideMark/>
          </w:tcPr>
          <w:p w:rsidR="00DB73D0" w:rsidRPr="00747F4C" w:rsidRDefault="00DB73D0" w:rsidP="006A67BA">
            <w:pPr>
              <w:spacing w:before="40" w:after="40"/>
              <w:rPr>
                <w:sz w:val="18"/>
                <w:szCs w:val="18"/>
              </w:rPr>
            </w:pPr>
            <w:r w:rsidRPr="00747F4C">
              <w:rPr>
                <w:sz w:val="18"/>
                <w:szCs w:val="18"/>
              </w:rPr>
              <w:t>Luxembourg</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0.064</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0.0968</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161 333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0.89</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0.92656</w:t>
            </w:r>
          </w:p>
        </w:tc>
        <w:tc>
          <w:tcPr>
            <w:tcW w:w="1378" w:type="dxa"/>
            <w:noWrap/>
            <w:hideMark/>
          </w:tcPr>
          <w:p w:rsidR="00DB73D0" w:rsidRPr="00747F4C" w:rsidRDefault="00DB73D0" w:rsidP="006A67BA">
            <w:pPr>
              <w:spacing w:before="40" w:after="40"/>
              <w:rPr>
                <w:sz w:val="18"/>
                <w:szCs w:val="18"/>
              </w:rPr>
            </w:pPr>
            <w:r w:rsidRPr="00747F4C">
              <w:rPr>
                <w:sz w:val="18"/>
                <w:szCs w:val="18"/>
              </w:rPr>
              <w:t>Euro</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149 485 </w:t>
            </w:r>
          </w:p>
        </w:tc>
      </w:tr>
      <w:tr w:rsidR="00DB73D0" w:rsidRPr="00747F4C" w:rsidTr="00CD35BB">
        <w:trPr>
          <w:trHeight w:val="249"/>
        </w:trPr>
        <w:tc>
          <w:tcPr>
            <w:tcW w:w="998" w:type="dxa"/>
            <w:noWrap/>
            <w:hideMark/>
          </w:tcPr>
          <w:p w:rsidR="00DB73D0" w:rsidRPr="00747F4C" w:rsidRDefault="00DB73D0" w:rsidP="006A67BA">
            <w:pPr>
              <w:spacing w:before="40" w:after="40"/>
              <w:rPr>
                <w:sz w:val="18"/>
                <w:szCs w:val="18"/>
              </w:rPr>
            </w:pPr>
            <w:r w:rsidRPr="00747F4C">
              <w:rPr>
                <w:sz w:val="18"/>
                <w:szCs w:val="18"/>
              </w:rPr>
              <w:t>30</w:t>
            </w:r>
          </w:p>
        </w:tc>
        <w:tc>
          <w:tcPr>
            <w:tcW w:w="1159" w:type="dxa"/>
            <w:noWrap/>
            <w:hideMark/>
          </w:tcPr>
          <w:p w:rsidR="00DB73D0" w:rsidRPr="00747F4C" w:rsidRDefault="00DB73D0" w:rsidP="006A67BA">
            <w:pPr>
              <w:spacing w:before="40" w:after="40"/>
              <w:rPr>
                <w:sz w:val="18"/>
                <w:szCs w:val="18"/>
              </w:rPr>
            </w:pPr>
            <w:r w:rsidRPr="00747F4C">
              <w:rPr>
                <w:sz w:val="18"/>
                <w:szCs w:val="18"/>
              </w:rPr>
              <w:t>Malta</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0.016</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0.0242</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40 333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1.09</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0.92656</w:t>
            </w:r>
          </w:p>
        </w:tc>
        <w:tc>
          <w:tcPr>
            <w:tcW w:w="1378" w:type="dxa"/>
            <w:noWrap/>
            <w:hideMark/>
          </w:tcPr>
          <w:p w:rsidR="00DB73D0" w:rsidRPr="00747F4C" w:rsidRDefault="00DB73D0" w:rsidP="006A67BA">
            <w:pPr>
              <w:spacing w:before="40" w:after="40"/>
              <w:rPr>
                <w:sz w:val="18"/>
                <w:szCs w:val="18"/>
              </w:rPr>
            </w:pPr>
            <w:r w:rsidRPr="00747F4C">
              <w:rPr>
                <w:sz w:val="18"/>
                <w:szCs w:val="18"/>
              </w:rPr>
              <w:t>Euro</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37 371 </w:t>
            </w:r>
          </w:p>
        </w:tc>
      </w:tr>
      <w:tr w:rsidR="00DB73D0" w:rsidRPr="00747F4C" w:rsidTr="00CD35BB">
        <w:trPr>
          <w:trHeight w:val="253"/>
        </w:trPr>
        <w:tc>
          <w:tcPr>
            <w:tcW w:w="998" w:type="dxa"/>
            <w:noWrap/>
            <w:hideMark/>
          </w:tcPr>
          <w:p w:rsidR="00DB73D0" w:rsidRPr="00747F4C" w:rsidRDefault="00DB73D0" w:rsidP="006A67BA">
            <w:pPr>
              <w:spacing w:before="40" w:after="40"/>
              <w:rPr>
                <w:sz w:val="18"/>
                <w:szCs w:val="18"/>
              </w:rPr>
            </w:pPr>
            <w:r w:rsidRPr="00747F4C">
              <w:rPr>
                <w:sz w:val="18"/>
                <w:szCs w:val="18"/>
              </w:rPr>
              <w:t>31</w:t>
            </w:r>
          </w:p>
        </w:tc>
        <w:tc>
          <w:tcPr>
            <w:tcW w:w="1159" w:type="dxa"/>
            <w:noWrap/>
            <w:hideMark/>
          </w:tcPr>
          <w:p w:rsidR="00DB73D0" w:rsidRPr="00747F4C" w:rsidRDefault="00DB73D0" w:rsidP="006A67BA">
            <w:pPr>
              <w:spacing w:before="40" w:after="40"/>
              <w:rPr>
                <w:sz w:val="18"/>
                <w:szCs w:val="18"/>
              </w:rPr>
            </w:pPr>
            <w:r w:rsidRPr="00747F4C">
              <w:rPr>
                <w:sz w:val="18"/>
                <w:szCs w:val="18"/>
              </w:rPr>
              <w:t>Monaco</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0.01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0.0151</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25 167 </w:t>
            </w:r>
          </w:p>
        </w:tc>
        <w:tc>
          <w:tcPr>
            <w:tcW w:w="1379" w:type="dxa"/>
            <w:noWrap/>
            <w:hideMark/>
          </w:tcPr>
          <w:p w:rsidR="00DB73D0" w:rsidRPr="00747F4C" w:rsidRDefault="00DB73D0" w:rsidP="006A67BA">
            <w:pPr>
              <w:spacing w:before="40" w:after="40"/>
              <w:jc w:val="right"/>
              <w:rPr>
                <w:sz w:val="18"/>
                <w:szCs w:val="18"/>
              </w:rPr>
            </w:pPr>
            <w:r>
              <w:rPr>
                <w:sz w:val="18"/>
                <w:szCs w:val="18"/>
              </w:rPr>
              <w:sym w:font="Symbol" w:char="F02D"/>
            </w:r>
          </w:p>
        </w:tc>
        <w:tc>
          <w:tcPr>
            <w:tcW w:w="1378" w:type="dxa"/>
            <w:noWrap/>
            <w:hideMark/>
          </w:tcPr>
          <w:p w:rsidR="00DB73D0" w:rsidRPr="00747F4C" w:rsidRDefault="00DB73D0" w:rsidP="006A67BA">
            <w:pPr>
              <w:spacing w:before="40" w:after="40"/>
              <w:jc w:val="right"/>
              <w:rPr>
                <w:sz w:val="18"/>
                <w:szCs w:val="18"/>
              </w:rPr>
            </w:pPr>
            <w:r>
              <w:rPr>
                <w:sz w:val="18"/>
                <w:szCs w:val="18"/>
              </w:rPr>
              <w:sym w:font="Symbol" w:char="F02D"/>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0.92656</w:t>
            </w:r>
          </w:p>
        </w:tc>
        <w:tc>
          <w:tcPr>
            <w:tcW w:w="1378" w:type="dxa"/>
            <w:noWrap/>
            <w:hideMark/>
          </w:tcPr>
          <w:p w:rsidR="00DB73D0" w:rsidRPr="00747F4C" w:rsidRDefault="00DB73D0" w:rsidP="006A67BA">
            <w:pPr>
              <w:spacing w:before="40" w:after="40"/>
              <w:rPr>
                <w:sz w:val="18"/>
                <w:szCs w:val="18"/>
              </w:rPr>
            </w:pPr>
            <w:r w:rsidRPr="00747F4C">
              <w:rPr>
                <w:sz w:val="18"/>
                <w:szCs w:val="18"/>
              </w:rPr>
              <w:t>Euro</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w:t>
            </w:r>
          </w:p>
        </w:tc>
      </w:tr>
      <w:tr w:rsidR="00DB73D0" w:rsidRPr="00747F4C" w:rsidTr="00CD35BB">
        <w:trPr>
          <w:trHeight w:val="229"/>
        </w:trPr>
        <w:tc>
          <w:tcPr>
            <w:tcW w:w="998" w:type="dxa"/>
            <w:noWrap/>
            <w:hideMark/>
          </w:tcPr>
          <w:p w:rsidR="00DB73D0" w:rsidRPr="00747F4C" w:rsidRDefault="00DB73D0" w:rsidP="006A67BA">
            <w:pPr>
              <w:spacing w:before="40" w:after="40"/>
              <w:rPr>
                <w:sz w:val="18"/>
                <w:szCs w:val="18"/>
              </w:rPr>
            </w:pPr>
            <w:r w:rsidRPr="00747F4C">
              <w:rPr>
                <w:sz w:val="18"/>
                <w:szCs w:val="18"/>
              </w:rPr>
              <w:t>32</w:t>
            </w:r>
          </w:p>
        </w:tc>
        <w:tc>
          <w:tcPr>
            <w:tcW w:w="1159" w:type="dxa"/>
            <w:noWrap/>
            <w:hideMark/>
          </w:tcPr>
          <w:p w:rsidR="00DB73D0" w:rsidRPr="00747F4C" w:rsidRDefault="00DB73D0" w:rsidP="006A67BA">
            <w:pPr>
              <w:spacing w:before="40" w:after="40"/>
              <w:rPr>
                <w:sz w:val="18"/>
                <w:szCs w:val="18"/>
              </w:rPr>
            </w:pPr>
            <w:r w:rsidRPr="00747F4C">
              <w:rPr>
                <w:sz w:val="18"/>
                <w:szCs w:val="18"/>
              </w:rPr>
              <w:t>Netherlands</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1.482</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2.2409</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3 734 833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0.79</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0.92656</w:t>
            </w:r>
          </w:p>
        </w:tc>
        <w:tc>
          <w:tcPr>
            <w:tcW w:w="1378" w:type="dxa"/>
            <w:noWrap/>
            <w:hideMark/>
          </w:tcPr>
          <w:p w:rsidR="00DB73D0" w:rsidRPr="00747F4C" w:rsidRDefault="00DB73D0" w:rsidP="006A67BA">
            <w:pPr>
              <w:spacing w:before="40" w:after="40"/>
              <w:rPr>
                <w:sz w:val="18"/>
                <w:szCs w:val="18"/>
              </w:rPr>
            </w:pPr>
            <w:r w:rsidRPr="00747F4C">
              <w:rPr>
                <w:sz w:val="18"/>
                <w:szCs w:val="18"/>
              </w:rPr>
              <w:t>Euro</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3 460 547 </w:t>
            </w:r>
          </w:p>
        </w:tc>
      </w:tr>
      <w:tr w:rsidR="00DB73D0" w:rsidRPr="00747F4C" w:rsidTr="00CD35BB">
        <w:trPr>
          <w:trHeight w:val="389"/>
        </w:trPr>
        <w:tc>
          <w:tcPr>
            <w:tcW w:w="998" w:type="dxa"/>
            <w:noWrap/>
            <w:hideMark/>
          </w:tcPr>
          <w:p w:rsidR="00DB73D0" w:rsidRPr="00747F4C" w:rsidRDefault="00DB73D0" w:rsidP="006A67BA">
            <w:pPr>
              <w:spacing w:before="40" w:after="40"/>
              <w:rPr>
                <w:sz w:val="18"/>
                <w:szCs w:val="18"/>
              </w:rPr>
            </w:pPr>
            <w:r w:rsidRPr="00747F4C">
              <w:rPr>
                <w:sz w:val="18"/>
                <w:szCs w:val="18"/>
              </w:rPr>
              <w:t>33</w:t>
            </w:r>
          </w:p>
        </w:tc>
        <w:tc>
          <w:tcPr>
            <w:tcW w:w="1159" w:type="dxa"/>
            <w:noWrap/>
            <w:hideMark/>
          </w:tcPr>
          <w:p w:rsidR="00DB73D0" w:rsidRPr="00747F4C" w:rsidRDefault="00DB73D0" w:rsidP="006A67BA">
            <w:pPr>
              <w:spacing w:before="40" w:after="40"/>
              <w:rPr>
                <w:sz w:val="18"/>
                <w:szCs w:val="18"/>
              </w:rPr>
            </w:pPr>
            <w:r w:rsidRPr="00747F4C">
              <w:rPr>
                <w:sz w:val="18"/>
                <w:szCs w:val="18"/>
              </w:rPr>
              <w:t>New Zealand</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0.268</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0.4052</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675 333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1.29</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1.417333</w:t>
            </w:r>
          </w:p>
        </w:tc>
        <w:tc>
          <w:tcPr>
            <w:tcW w:w="1378" w:type="dxa"/>
            <w:noWrap/>
            <w:hideMark/>
          </w:tcPr>
          <w:p w:rsidR="00DB73D0" w:rsidRPr="00747F4C" w:rsidRDefault="00DB73D0" w:rsidP="006A67BA">
            <w:pPr>
              <w:spacing w:before="40" w:after="40"/>
              <w:rPr>
                <w:sz w:val="18"/>
                <w:szCs w:val="18"/>
              </w:rPr>
            </w:pPr>
            <w:r w:rsidRPr="00747F4C">
              <w:rPr>
                <w:sz w:val="18"/>
                <w:szCs w:val="18"/>
              </w:rPr>
              <w:t>New Zealand dollar</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  957 172 </w:t>
            </w:r>
          </w:p>
        </w:tc>
      </w:tr>
      <w:tr w:rsidR="00DB73D0" w:rsidRPr="00747F4C" w:rsidTr="00CD35BB">
        <w:trPr>
          <w:trHeight w:val="389"/>
        </w:trPr>
        <w:tc>
          <w:tcPr>
            <w:tcW w:w="998" w:type="dxa"/>
            <w:noWrap/>
            <w:hideMark/>
          </w:tcPr>
          <w:p w:rsidR="00DB73D0" w:rsidRPr="00747F4C" w:rsidRDefault="00DB73D0" w:rsidP="006A67BA">
            <w:pPr>
              <w:spacing w:before="40" w:after="40"/>
              <w:rPr>
                <w:sz w:val="18"/>
                <w:szCs w:val="18"/>
              </w:rPr>
            </w:pPr>
            <w:r w:rsidRPr="00747F4C">
              <w:rPr>
                <w:sz w:val="18"/>
                <w:szCs w:val="18"/>
              </w:rPr>
              <w:t>34</w:t>
            </w:r>
          </w:p>
        </w:tc>
        <w:tc>
          <w:tcPr>
            <w:tcW w:w="1159" w:type="dxa"/>
            <w:noWrap/>
            <w:hideMark/>
          </w:tcPr>
          <w:p w:rsidR="00DB73D0" w:rsidRPr="00747F4C" w:rsidRDefault="00DB73D0" w:rsidP="006A67BA">
            <w:pPr>
              <w:spacing w:before="40" w:after="40"/>
              <w:rPr>
                <w:sz w:val="18"/>
                <w:szCs w:val="18"/>
              </w:rPr>
            </w:pPr>
            <w:r w:rsidRPr="00747F4C">
              <w:rPr>
                <w:sz w:val="18"/>
                <w:szCs w:val="18"/>
              </w:rPr>
              <w:t>Norway</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0.849</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1.2838</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2 139 667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2.84</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8.503444</w:t>
            </w:r>
          </w:p>
        </w:tc>
        <w:tc>
          <w:tcPr>
            <w:tcW w:w="1378" w:type="dxa"/>
            <w:noWrap/>
            <w:hideMark/>
          </w:tcPr>
          <w:p w:rsidR="00DB73D0" w:rsidRPr="00747F4C" w:rsidRDefault="00DB73D0" w:rsidP="006A67BA">
            <w:pPr>
              <w:spacing w:before="40" w:after="40"/>
              <w:rPr>
                <w:sz w:val="18"/>
                <w:szCs w:val="18"/>
              </w:rPr>
            </w:pPr>
            <w:r w:rsidRPr="00747F4C">
              <w:rPr>
                <w:sz w:val="17"/>
                <w:szCs w:val="17"/>
              </w:rPr>
              <w:t>Norwegian</w:t>
            </w:r>
            <w:r w:rsidRPr="00747F4C">
              <w:rPr>
                <w:sz w:val="18"/>
                <w:szCs w:val="18"/>
              </w:rPr>
              <w:t xml:space="preserve"> krone</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18 194 536 </w:t>
            </w:r>
          </w:p>
        </w:tc>
      </w:tr>
      <w:tr w:rsidR="00DB73D0" w:rsidRPr="00747F4C" w:rsidTr="00CD35BB">
        <w:trPr>
          <w:trHeight w:val="179"/>
        </w:trPr>
        <w:tc>
          <w:tcPr>
            <w:tcW w:w="998" w:type="dxa"/>
            <w:noWrap/>
            <w:hideMark/>
          </w:tcPr>
          <w:p w:rsidR="00DB73D0" w:rsidRPr="00747F4C" w:rsidRDefault="00DB73D0" w:rsidP="006A67BA">
            <w:pPr>
              <w:spacing w:before="40" w:after="40"/>
              <w:rPr>
                <w:sz w:val="18"/>
                <w:szCs w:val="18"/>
              </w:rPr>
            </w:pPr>
            <w:r w:rsidRPr="00747F4C">
              <w:rPr>
                <w:sz w:val="18"/>
                <w:szCs w:val="18"/>
              </w:rPr>
              <w:t>35</w:t>
            </w:r>
          </w:p>
        </w:tc>
        <w:tc>
          <w:tcPr>
            <w:tcW w:w="1159" w:type="dxa"/>
            <w:noWrap/>
            <w:hideMark/>
          </w:tcPr>
          <w:p w:rsidR="00DB73D0" w:rsidRPr="00747F4C" w:rsidRDefault="00DB73D0" w:rsidP="006A67BA">
            <w:pPr>
              <w:spacing w:before="40" w:after="40"/>
              <w:rPr>
                <w:sz w:val="18"/>
                <w:szCs w:val="18"/>
              </w:rPr>
            </w:pPr>
            <w:r w:rsidRPr="00747F4C">
              <w:rPr>
                <w:sz w:val="18"/>
                <w:szCs w:val="18"/>
              </w:rPr>
              <w:t>Poland</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0.841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1.2717</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2 119 500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0.10</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3.945543</w:t>
            </w:r>
          </w:p>
        </w:tc>
        <w:tc>
          <w:tcPr>
            <w:tcW w:w="1378" w:type="dxa"/>
            <w:noWrap/>
            <w:hideMark/>
          </w:tcPr>
          <w:p w:rsidR="00DB73D0" w:rsidRPr="00747F4C" w:rsidRDefault="00DB73D0" w:rsidP="006A67BA">
            <w:pPr>
              <w:spacing w:before="40" w:after="40"/>
              <w:rPr>
                <w:sz w:val="18"/>
                <w:szCs w:val="18"/>
              </w:rPr>
            </w:pPr>
            <w:r w:rsidRPr="00747F4C">
              <w:rPr>
                <w:sz w:val="18"/>
                <w:szCs w:val="18"/>
              </w:rPr>
              <w:t>Zloty</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8 362 578 </w:t>
            </w:r>
          </w:p>
        </w:tc>
      </w:tr>
      <w:tr w:rsidR="00DB73D0" w:rsidRPr="00747F4C" w:rsidTr="00CD35BB">
        <w:trPr>
          <w:trHeight w:val="183"/>
        </w:trPr>
        <w:tc>
          <w:tcPr>
            <w:tcW w:w="998" w:type="dxa"/>
            <w:noWrap/>
            <w:hideMark/>
          </w:tcPr>
          <w:p w:rsidR="00DB73D0" w:rsidRPr="00747F4C" w:rsidRDefault="00DB73D0" w:rsidP="006A67BA">
            <w:pPr>
              <w:spacing w:before="40" w:after="40"/>
              <w:rPr>
                <w:sz w:val="18"/>
                <w:szCs w:val="18"/>
              </w:rPr>
            </w:pPr>
            <w:r w:rsidRPr="00747F4C">
              <w:rPr>
                <w:sz w:val="18"/>
                <w:szCs w:val="18"/>
              </w:rPr>
              <w:t>36</w:t>
            </w:r>
          </w:p>
        </w:tc>
        <w:tc>
          <w:tcPr>
            <w:tcW w:w="1159" w:type="dxa"/>
            <w:noWrap/>
            <w:hideMark/>
          </w:tcPr>
          <w:p w:rsidR="00DB73D0" w:rsidRPr="00747F4C" w:rsidRDefault="00DB73D0" w:rsidP="006A67BA">
            <w:pPr>
              <w:spacing w:before="40" w:after="40"/>
              <w:rPr>
                <w:sz w:val="18"/>
                <w:szCs w:val="18"/>
              </w:rPr>
            </w:pPr>
            <w:r w:rsidRPr="00747F4C">
              <w:rPr>
                <w:sz w:val="18"/>
                <w:szCs w:val="18"/>
              </w:rPr>
              <w:t>Portugal</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0.392</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0.5927</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987 833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0.91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0.92656</w:t>
            </w:r>
          </w:p>
        </w:tc>
        <w:tc>
          <w:tcPr>
            <w:tcW w:w="1378" w:type="dxa"/>
            <w:noWrap/>
            <w:hideMark/>
          </w:tcPr>
          <w:p w:rsidR="00DB73D0" w:rsidRPr="00747F4C" w:rsidRDefault="00DB73D0" w:rsidP="006A67BA">
            <w:pPr>
              <w:spacing w:before="40" w:after="40"/>
              <w:rPr>
                <w:sz w:val="18"/>
                <w:szCs w:val="18"/>
              </w:rPr>
            </w:pPr>
            <w:r w:rsidRPr="00747F4C">
              <w:rPr>
                <w:sz w:val="18"/>
                <w:szCs w:val="18"/>
              </w:rPr>
              <w:t>Euro</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915 287 </w:t>
            </w:r>
          </w:p>
        </w:tc>
      </w:tr>
      <w:tr w:rsidR="00DB73D0" w:rsidRPr="00747F4C" w:rsidTr="00CD35BB">
        <w:trPr>
          <w:trHeight w:val="315"/>
        </w:trPr>
        <w:tc>
          <w:tcPr>
            <w:tcW w:w="998" w:type="dxa"/>
            <w:noWrap/>
            <w:hideMark/>
          </w:tcPr>
          <w:p w:rsidR="00DB73D0" w:rsidRPr="00747F4C" w:rsidRDefault="00DB73D0" w:rsidP="006A67BA">
            <w:pPr>
              <w:spacing w:before="40" w:after="40"/>
              <w:rPr>
                <w:sz w:val="18"/>
                <w:szCs w:val="18"/>
              </w:rPr>
            </w:pPr>
            <w:r w:rsidRPr="00747F4C">
              <w:rPr>
                <w:sz w:val="18"/>
                <w:szCs w:val="18"/>
              </w:rPr>
              <w:t>37</w:t>
            </w:r>
          </w:p>
        </w:tc>
        <w:tc>
          <w:tcPr>
            <w:tcW w:w="1159" w:type="dxa"/>
            <w:noWrap/>
            <w:hideMark/>
          </w:tcPr>
          <w:p w:rsidR="00DB73D0" w:rsidRPr="00747F4C" w:rsidRDefault="00DB73D0" w:rsidP="006A67BA">
            <w:pPr>
              <w:spacing w:before="40" w:after="40"/>
              <w:rPr>
                <w:sz w:val="18"/>
                <w:szCs w:val="18"/>
              </w:rPr>
            </w:pPr>
            <w:r w:rsidRPr="00747F4C">
              <w:rPr>
                <w:sz w:val="18"/>
                <w:szCs w:val="18"/>
              </w:rPr>
              <w:t>Romania</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0.184</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0.2782</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463 667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-0.76</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4.187286</w:t>
            </w:r>
          </w:p>
        </w:tc>
        <w:tc>
          <w:tcPr>
            <w:tcW w:w="1378" w:type="dxa"/>
            <w:noWrap/>
            <w:hideMark/>
          </w:tcPr>
          <w:p w:rsidR="00DB73D0" w:rsidRPr="00747F4C" w:rsidRDefault="00DB73D0" w:rsidP="006A67BA">
            <w:pPr>
              <w:spacing w:before="40" w:after="40"/>
              <w:rPr>
                <w:sz w:val="18"/>
                <w:szCs w:val="18"/>
              </w:rPr>
            </w:pPr>
            <w:r w:rsidRPr="00747F4C">
              <w:rPr>
                <w:sz w:val="18"/>
                <w:szCs w:val="18"/>
              </w:rPr>
              <w:t>New leu</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1 941 505 </w:t>
            </w:r>
          </w:p>
        </w:tc>
      </w:tr>
      <w:tr w:rsidR="00DB73D0" w:rsidRPr="00747F4C" w:rsidTr="00CD35BB">
        <w:trPr>
          <w:trHeight w:val="389"/>
        </w:trPr>
        <w:tc>
          <w:tcPr>
            <w:tcW w:w="998" w:type="dxa"/>
            <w:noWrap/>
            <w:hideMark/>
          </w:tcPr>
          <w:p w:rsidR="00DB73D0" w:rsidRPr="00747F4C" w:rsidRDefault="00DB73D0" w:rsidP="006A67BA">
            <w:pPr>
              <w:spacing w:before="40" w:after="40"/>
              <w:rPr>
                <w:sz w:val="18"/>
                <w:szCs w:val="18"/>
              </w:rPr>
            </w:pPr>
            <w:r w:rsidRPr="00747F4C">
              <w:rPr>
                <w:sz w:val="18"/>
                <w:szCs w:val="18"/>
              </w:rPr>
              <w:t>38</w:t>
            </w:r>
          </w:p>
        </w:tc>
        <w:tc>
          <w:tcPr>
            <w:tcW w:w="1159" w:type="dxa"/>
            <w:noWrap/>
            <w:hideMark/>
          </w:tcPr>
          <w:p w:rsidR="00DB73D0" w:rsidRPr="00747F4C" w:rsidRDefault="00DB73D0" w:rsidP="006A67BA">
            <w:pPr>
              <w:spacing w:before="40" w:after="40"/>
              <w:rPr>
                <w:sz w:val="18"/>
                <w:szCs w:val="18"/>
              </w:rPr>
            </w:pPr>
            <w:r w:rsidRPr="00747F4C">
              <w:rPr>
                <w:sz w:val="18"/>
                <w:szCs w:val="18"/>
              </w:rPr>
              <w:t>Russian Federation</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3.088</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4.6694</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7 782 333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12.61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58.30429</w:t>
            </w:r>
          </w:p>
        </w:tc>
        <w:tc>
          <w:tcPr>
            <w:tcW w:w="1378" w:type="dxa"/>
            <w:noWrap/>
            <w:hideMark/>
          </w:tcPr>
          <w:p w:rsidR="00DB73D0" w:rsidRPr="00747F4C" w:rsidRDefault="00DB73D0" w:rsidP="006A67BA">
            <w:pPr>
              <w:spacing w:before="40" w:after="40"/>
              <w:rPr>
                <w:sz w:val="18"/>
                <w:szCs w:val="18"/>
              </w:rPr>
            </w:pPr>
            <w:r w:rsidRPr="00747F4C">
              <w:rPr>
                <w:sz w:val="18"/>
                <w:szCs w:val="18"/>
              </w:rPr>
              <w:t>Russian rouble</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w:t>
            </w:r>
          </w:p>
        </w:tc>
      </w:tr>
      <w:tr w:rsidR="00DB73D0" w:rsidRPr="00747F4C" w:rsidTr="00CD35BB">
        <w:trPr>
          <w:trHeight w:val="213"/>
        </w:trPr>
        <w:tc>
          <w:tcPr>
            <w:tcW w:w="998" w:type="dxa"/>
            <w:noWrap/>
            <w:hideMark/>
          </w:tcPr>
          <w:p w:rsidR="00DB73D0" w:rsidRPr="00747F4C" w:rsidRDefault="00DB73D0" w:rsidP="006A67BA">
            <w:pPr>
              <w:spacing w:before="40" w:after="40"/>
              <w:rPr>
                <w:sz w:val="18"/>
                <w:szCs w:val="18"/>
              </w:rPr>
            </w:pPr>
            <w:r w:rsidRPr="00747F4C">
              <w:rPr>
                <w:sz w:val="18"/>
                <w:szCs w:val="18"/>
              </w:rPr>
              <w:t>39</w:t>
            </w:r>
          </w:p>
        </w:tc>
        <w:tc>
          <w:tcPr>
            <w:tcW w:w="1159" w:type="dxa"/>
            <w:noWrap/>
            <w:hideMark/>
          </w:tcPr>
          <w:p w:rsidR="00DB73D0" w:rsidRPr="00747F4C" w:rsidRDefault="00DB73D0" w:rsidP="006A67BA">
            <w:pPr>
              <w:spacing w:before="40" w:after="40"/>
              <w:rPr>
                <w:sz w:val="18"/>
                <w:szCs w:val="18"/>
              </w:rPr>
            </w:pPr>
            <w:r w:rsidRPr="00747F4C">
              <w:rPr>
                <w:sz w:val="18"/>
                <w:szCs w:val="18"/>
              </w:rPr>
              <w:t>San Marino</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0.003</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0.0045</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7 500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0.62</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0.92656</w:t>
            </w:r>
          </w:p>
        </w:tc>
        <w:tc>
          <w:tcPr>
            <w:tcW w:w="1378" w:type="dxa"/>
            <w:noWrap/>
            <w:hideMark/>
          </w:tcPr>
          <w:p w:rsidR="00DB73D0" w:rsidRPr="00747F4C" w:rsidRDefault="00DB73D0" w:rsidP="006A67BA">
            <w:pPr>
              <w:spacing w:before="40" w:after="40"/>
              <w:rPr>
                <w:sz w:val="18"/>
                <w:szCs w:val="18"/>
              </w:rPr>
            </w:pPr>
            <w:r w:rsidRPr="00747F4C">
              <w:rPr>
                <w:sz w:val="18"/>
                <w:szCs w:val="18"/>
              </w:rPr>
              <w:t>Euro</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6 949 </w:t>
            </w:r>
          </w:p>
        </w:tc>
      </w:tr>
      <w:tr w:rsidR="00DB73D0" w:rsidRPr="00747F4C" w:rsidTr="00CD35BB">
        <w:trPr>
          <w:trHeight w:val="389"/>
        </w:trPr>
        <w:tc>
          <w:tcPr>
            <w:tcW w:w="998" w:type="dxa"/>
            <w:noWrap/>
            <w:hideMark/>
          </w:tcPr>
          <w:p w:rsidR="00DB73D0" w:rsidRPr="00747F4C" w:rsidRDefault="00DB73D0" w:rsidP="006A67BA">
            <w:pPr>
              <w:spacing w:before="40" w:after="40"/>
              <w:rPr>
                <w:sz w:val="18"/>
                <w:szCs w:val="18"/>
              </w:rPr>
            </w:pPr>
            <w:r w:rsidRPr="00747F4C">
              <w:rPr>
                <w:sz w:val="18"/>
                <w:szCs w:val="18"/>
              </w:rPr>
              <w:t>40</w:t>
            </w:r>
          </w:p>
        </w:tc>
        <w:tc>
          <w:tcPr>
            <w:tcW w:w="1159" w:type="dxa"/>
            <w:noWrap/>
            <w:hideMark/>
          </w:tcPr>
          <w:p w:rsidR="00DB73D0" w:rsidRPr="00747F4C" w:rsidRDefault="00DB73D0" w:rsidP="006A67BA">
            <w:pPr>
              <w:spacing w:before="40" w:after="40"/>
              <w:rPr>
                <w:sz w:val="18"/>
                <w:szCs w:val="18"/>
              </w:rPr>
            </w:pPr>
            <w:r w:rsidRPr="00747F4C">
              <w:rPr>
                <w:sz w:val="18"/>
                <w:szCs w:val="18"/>
              </w:rPr>
              <w:t>Slovak</w:t>
            </w:r>
            <w:r w:rsidR="005B47F4">
              <w:rPr>
                <w:sz w:val="18"/>
                <w:szCs w:val="18"/>
              </w:rPr>
              <w:t>ia</w:t>
            </w:r>
            <w:r w:rsidRPr="00747F4C">
              <w:rPr>
                <w:sz w:val="18"/>
                <w:szCs w:val="18"/>
              </w:rPr>
              <w:t xml:space="preserve"> </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0.16</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0.2419</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403 167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0.04</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0.92656</w:t>
            </w:r>
          </w:p>
        </w:tc>
        <w:tc>
          <w:tcPr>
            <w:tcW w:w="1378" w:type="dxa"/>
            <w:noWrap/>
            <w:hideMark/>
          </w:tcPr>
          <w:p w:rsidR="00DB73D0" w:rsidRPr="00747F4C" w:rsidRDefault="00DB73D0" w:rsidP="006A67BA">
            <w:pPr>
              <w:spacing w:before="40" w:after="40"/>
              <w:rPr>
                <w:sz w:val="18"/>
                <w:szCs w:val="18"/>
              </w:rPr>
            </w:pPr>
            <w:r w:rsidRPr="00747F4C">
              <w:rPr>
                <w:sz w:val="18"/>
                <w:szCs w:val="18"/>
              </w:rPr>
              <w:t>Euro</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373 558 </w:t>
            </w:r>
          </w:p>
        </w:tc>
      </w:tr>
      <w:tr w:rsidR="00DB73D0" w:rsidRPr="00747F4C" w:rsidTr="00CD35BB">
        <w:trPr>
          <w:trHeight w:val="281"/>
        </w:trPr>
        <w:tc>
          <w:tcPr>
            <w:tcW w:w="998" w:type="dxa"/>
            <w:noWrap/>
            <w:hideMark/>
          </w:tcPr>
          <w:p w:rsidR="00DB73D0" w:rsidRPr="00747F4C" w:rsidRDefault="00DB73D0" w:rsidP="006A67BA">
            <w:pPr>
              <w:spacing w:before="40" w:after="40"/>
              <w:rPr>
                <w:sz w:val="18"/>
                <w:szCs w:val="18"/>
              </w:rPr>
            </w:pPr>
            <w:r w:rsidRPr="00747F4C">
              <w:rPr>
                <w:sz w:val="18"/>
                <w:szCs w:val="18"/>
              </w:rPr>
              <w:t>41</w:t>
            </w:r>
          </w:p>
        </w:tc>
        <w:tc>
          <w:tcPr>
            <w:tcW w:w="1159" w:type="dxa"/>
            <w:noWrap/>
            <w:hideMark/>
          </w:tcPr>
          <w:p w:rsidR="00DB73D0" w:rsidRPr="00747F4C" w:rsidRDefault="00DB73D0" w:rsidP="006A67BA">
            <w:pPr>
              <w:spacing w:before="40" w:after="40"/>
              <w:rPr>
                <w:sz w:val="18"/>
                <w:szCs w:val="18"/>
              </w:rPr>
            </w:pPr>
            <w:r w:rsidRPr="00747F4C">
              <w:rPr>
                <w:sz w:val="18"/>
                <w:szCs w:val="18"/>
              </w:rPr>
              <w:t>Slovenia</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0.084</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0.1270</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211 667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0.29</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0.92656</w:t>
            </w:r>
          </w:p>
        </w:tc>
        <w:tc>
          <w:tcPr>
            <w:tcW w:w="1378" w:type="dxa"/>
            <w:noWrap/>
            <w:hideMark/>
          </w:tcPr>
          <w:p w:rsidR="00DB73D0" w:rsidRPr="00747F4C" w:rsidRDefault="00DB73D0" w:rsidP="006A67BA">
            <w:pPr>
              <w:spacing w:before="40" w:after="40"/>
              <w:rPr>
                <w:sz w:val="18"/>
                <w:szCs w:val="18"/>
              </w:rPr>
            </w:pPr>
            <w:r w:rsidRPr="00747F4C">
              <w:rPr>
                <w:sz w:val="18"/>
                <w:szCs w:val="18"/>
              </w:rPr>
              <w:t>Euro</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196 122 </w:t>
            </w:r>
          </w:p>
        </w:tc>
      </w:tr>
      <w:tr w:rsidR="00DB73D0" w:rsidRPr="00747F4C" w:rsidTr="00CD35BB">
        <w:trPr>
          <w:trHeight w:val="259"/>
        </w:trPr>
        <w:tc>
          <w:tcPr>
            <w:tcW w:w="998" w:type="dxa"/>
            <w:noWrap/>
            <w:hideMark/>
          </w:tcPr>
          <w:p w:rsidR="00DB73D0" w:rsidRPr="00747F4C" w:rsidRDefault="00DB73D0" w:rsidP="006A67BA">
            <w:pPr>
              <w:spacing w:before="40" w:after="40"/>
              <w:rPr>
                <w:sz w:val="18"/>
                <w:szCs w:val="18"/>
              </w:rPr>
            </w:pPr>
            <w:r w:rsidRPr="00747F4C">
              <w:rPr>
                <w:sz w:val="18"/>
                <w:szCs w:val="18"/>
              </w:rPr>
              <w:t>42</w:t>
            </w:r>
          </w:p>
        </w:tc>
        <w:tc>
          <w:tcPr>
            <w:tcW w:w="1159" w:type="dxa"/>
            <w:noWrap/>
            <w:hideMark/>
          </w:tcPr>
          <w:p w:rsidR="00DB73D0" w:rsidRPr="00747F4C" w:rsidRDefault="00DB73D0" w:rsidP="006A67BA">
            <w:pPr>
              <w:spacing w:before="40" w:after="40"/>
              <w:rPr>
                <w:sz w:val="18"/>
                <w:szCs w:val="18"/>
              </w:rPr>
            </w:pPr>
            <w:r w:rsidRPr="00747F4C">
              <w:rPr>
                <w:sz w:val="18"/>
                <w:szCs w:val="18"/>
              </w:rPr>
              <w:t>Spain</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2.443</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3.6941</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6 156 833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0.46</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0.92656</w:t>
            </w:r>
          </w:p>
        </w:tc>
        <w:tc>
          <w:tcPr>
            <w:tcW w:w="1378" w:type="dxa"/>
            <w:noWrap/>
            <w:hideMark/>
          </w:tcPr>
          <w:p w:rsidR="00DB73D0" w:rsidRPr="00747F4C" w:rsidRDefault="00DB73D0" w:rsidP="006A67BA">
            <w:pPr>
              <w:spacing w:before="40" w:after="40"/>
              <w:rPr>
                <w:sz w:val="18"/>
                <w:szCs w:val="18"/>
              </w:rPr>
            </w:pPr>
            <w:r w:rsidRPr="00747F4C">
              <w:rPr>
                <w:sz w:val="18"/>
                <w:szCs w:val="18"/>
              </w:rPr>
              <w:t>Euro</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5 704 676 </w:t>
            </w:r>
          </w:p>
        </w:tc>
      </w:tr>
      <w:tr w:rsidR="00DB73D0" w:rsidRPr="00747F4C" w:rsidTr="00CD35BB">
        <w:trPr>
          <w:trHeight w:val="389"/>
        </w:trPr>
        <w:tc>
          <w:tcPr>
            <w:tcW w:w="998" w:type="dxa"/>
            <w:noWrap/>
            <w:hideMark/>
          </w:tcPr>
          <w:p w:rsidR="00DB73D0" w:rsidRPr="00747F4C" w:rsidRDefault="00DB73D0" w:rsidP="006A67BA">
            <w:pPr>
              <w:spacing w:before="40" w:after="40"/>
              <w:rPr>
                <w:sz w:val="18"/>
                <w:szCs w:val="18"/>
              </w:rPr>
            </w:pPr>
            <w:r w:rsidRPr="00747F4C">
              <w:rPr>
                <w:sz w:val="18"/>
                <w:szCs w:val="18"/>
              </w:rPr>
              <w:lastRenderedPageBreak/>
              <w:t>43</w:t>
            </w:r>
          </w:p>
        </w:tc>
        <w:tc>
          <w:tcPr>
            <w:tcW w:w="1159" w:type="dxa"/>
            <w:noWrap/>
            <w:hideMark/>
          </w:tcPr>
          <w:p w:rsidR="00DB73D0" w:rsidRPr="00747F4C" w:rsidRDefault="00DB73D0" w:rsidP="006A67BA">
            <w:pPr>
              <w:spacing w:before="40" w:after="40"/>
              <w:rPr>
                <w:sz w:val="18"/>
                <w:szCs w:val="18"/>
              </w:rPr>
            </w:pPr>
            <w:r w:rsidRPr="00747F4C">
              <w:rPr>
                <w:sz w:val="18"/>
                <w:szCs w:val="18"/>
              </w:rPr>
              <w:t xml:space="preserve">Sweden </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0.956</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1.4456</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2 409 333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0.94</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8.898889</w:t>
            </w:r>
          </w:p>
        </w:tc>
        <w:tc>
          <w:tcPr>
            <w:tcW w:w="1378" w:type="dxa"/>
            <w:noWrap/>
            <w:hideMark/>
          </w:tcPr>
          <w:p w:rsidR="00DB73D0" w:rsidRPr="00747F4C" w:rsidRDefault="00DB73D0" w:rsidP="006A67BA">
            <w:pPr>
              <w:spacing w:before="40" w:after="40"/>
              <w:rPr>
                <w:sz w:val="18"/>
                <w:szCs w:val="18"/>
              </w:rPr>
            </w:pPr>
            <w:r w:rsidRPr="00747F4C">
              <w:rPr>
                <w:sz w:val="18"/>
                <w:szCs w:val="18"/>
              </w:rPr>
              <w:t>Swedish krona</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21 440 390 </w:t>
            </w:r>
          </w:p>
        </w:tc>
      </w:tr>
      <w:tr w:rsidR="00DB73D0" w:rsidRPr="00747F4C" w:rsidTr="00CD35BB">
        <w:trPr>
          <w:trHeight w:val="389"/>
        </w:trPr>
        <w:tc>
          <w:tcPr>
            <w:tcW w:w="998" w:type="dxa"/>
            <w:noWrap/>
            <w:hideMark/>
          </w:tcPr>
          <w:p w:rsidR="00DB73D0" w:rsidRPr="00747F4C" w:rsidRDefault="00DB73D0" w:rsidP="006A67BA">
            <w:pPr>
              <w:spacing w:before="40" w:after="40"/>
              <w:rPr>
                <w:sz w:val="18"/>
                <w:szCs w:val="18"/>
              </w:rPr>
            </w:pPr>
            <w:r w:rsidRPr="00747F4C">
              <w:rPr>
                <w:sz w:val="18"/>
                <w:szCs w:val="18"/>
              </w:rPr>
              <w:t>44</w:t>
            </w:r>
          </w:p>
        </w:tc>
        <w:tc>
          <w:tcPr>
            <w:tcW w:w="1159" w:type="dxa"/>
            <w:noWrap/>
            <w:hideMark/>
          </w:tcPr>
          <w:p w:rsidR="00DB73D0" w:rsidRPr="00747F4C" w:rsidRDefault="00DB73D0" w:rsidP="006A67BA">
            <w:pPr>
              <w:spacing w:before="40" w:after="40"/>
              <w:rPr>
                <w:sz w:val="18"/>
                <w:szCs w:val="18"/>
              </w:rPr>
            </w:pPr>
            <w:r w:rsidRPr="00747F4C">
              <w:rPr>
                <w:sz w:val="18"/>
                <w:szCs w:val="18"/>
              </w:rPr>
              <w:t>Switzerland</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1.14</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1.7238</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2 873 000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-0.40</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0.996556</w:t>
            </w:r>
          </w:p>
        </w:tc>
        <w:tc>
          <w:tcPr>
            <w:tcW w:w="1378" w:type="dxa"/>
            <w:noWrap/>
            <w:hideMark/>
          </w:tcPr>
          <w:p w:rsidR="00DB73D0" w:rsidRPr="00747F4C" w:rsidRDefault="00DB73D0" w:rsidP="006A67BA">
            <w:pPr>
              <w:spacing w:before="40" w:after="40"/>
              <w:rPr>
                <w:sz w:val="18"/>
                <w:szCs w:val="18"/>
              </w:rPr>
            </w:pPr>
            <w:r w:rsidRPr="00747F4C">
              <w:rPr>
                <w:sz w:val="18"/>
                <w:szCs w:val="18"/>
              </w:rPr>
              <w:t>Swiss franc</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2 863 105 </w:t>
            </w:r>
          </w:p>
        </w:tc>
      </w:tr>
      <w:tr w:rsidR="00DB73D0" w:rsidRPr="00747F4C" w:rsidTr="00CD35BB">
        <w:trPr>
          <w:trHeight w:val="389"/>
        </w:trPr>
        <w:tc>
          <w:tcPr>
            <w:tcW w:w="998" w:type="dxa"/>
            <w:noWrap/>
            <w:hideMark/>
          </w:tcPr>
          <w:p w:rsidR="00DB73D0" w:rsidRPr="00747F4C" w:rsidRDefault="00DB73D0" w:rsidP="006A67BA">
            <w:pPr>
              <w:spacing w:before="40" w:after="40"/>
              <w:rPr>
                <w:sz w:val="18"/>
                <w:szCs w:val="18"/>
              </w:rPr>
            </w:pPr>
            <w:r w:rsidRPr="00747F4C">
              <w:rPr>
                <w:sz w:val="18"/>
                <w:szCs w:val="18"/>
              </w:rPr>
              <w:t>45</w:t>
            </w:r>
          </w:p>
        </w:tc>
        <w:tc>
          <w:tcPr>
            <w:tcW w:w="1159" w:type="dxa"/>
            <w:noWrap/>
            <w:hideMark/>
          </w:tcPr>
          <w:p w:rsidR="00DB73D0" w:rsidRPr="00747F4C" w:rsidRDefault="00DB73D0" w:rsidP="006A67BA">
            <w:pPr>
              <w:spacing w:before="40" w:after="40"/>
              <w:rPr>
                <w:sz w:val="18"/>
                <w:szCs w:val="18"/>
              </w:rPr>
            </w:pPr>
            <w:r w:rsidRPr="00747F4C">
              <w:rPr>
                <w:sz w:val="18"/>
                <w:szCs w:val="18"/>
              </w:rPr>
              <w:t>Tajikistan</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0.004</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0.0060</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10 000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8.31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8.293486</w:t>
            </w:r>
          </w:p>
        </w:tc>
        <w:tc>
          <w:tcPr>
            <w:tcW w:w="1378" w:type="dxa"/>
            <w:noWrap/>
            <w:hideMark/>
          </w:tcPr>
          <w:p w:rsidR="00DB73D0" w:rsidRPr="00747F4C" w:rsidRDefault="00DB73D0" w:rsidP="006A67BA">
            <w:pPr>
              <w:spacing w:before="40" w:after="40"/>
              <w:rPr>
                <w:sz w:val="18"/>
                <w:szCs w:val="18"/>
              </w:rPr>
            </w:pPr>
            <w:r w:rsidRPr="00747F4C">
              <w:rPr>
                <w:sz w:val="18"/>
                <w:szCs w:val="18"/>
              </w:rPr>
              <w:t>Tajik somoni</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82 935 </w:t>
            </w:r>
          </w:p>
        </w:tc>
      </w:tr>
      <w:tr w:rsidR="00DB73D0" w:rsidRPr="00747F4C" w:rsidTr="00CD35BB">
        <w:trPr>
          <w:trHeight w:val="389"/>
        </w:trPr>
        <w:tc>
          <w:tcPr>
            <w:tcW w:w="998" w:type="dxa"/>
            <w:noWrap/>
            <w:hideMark/>
          </w:tcPr>
          <w:p w:rsidR="00DB73D0" w:rsidRPr="00747F4C" w:rsidRDefault="00DB73D0" w:rsidP="006A67BA">
            <w:pPr>
              <w:spacing w:before="40" w:after="40"/>
              <w:rPr>
                <w:sz w:val="18"/>
                <w:szCs w:val="18"/>
              </w:rPr>
            </w:pPr>
            <w:r w:rsidRPr="00747F4C">
              <w:rPr>
                <w:sz w:val="18"/>
                <w:szCs w:val="18"/>
              </w:rPr>
              <w:t>46</w:t>
            </w:r>
          </w:p>
        </w:tc>
        <w:tc>
          <w:tcPr>
            <w:tcW w:w="1159" w:type="dxa"/>
            <w:noWrap/>
            <w:hideMark/>
          </w:tcPr>
          <w:p w:rsidR="00DB73D0" w:rsidRPr="00747F4C" w:rsidRDefault="00DB73D0" w:rsidP="006A67BA">
            <w:pPr>
              <w:spacing w:before="40" w:after="40"/>
              <w:rPr>
                <w:sz w:val="18"/>
                <w:szCs w:val="18"/>
              </w:rPr>
            </w:pPr>
            <w:r w:rsidRPr="00747F4C">
              <w:rPr>
                <w:sz w:val="18"/>
                <w:szCs w:val="18"/>
              </w:rPr>
              <w:t>Ukraine</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0.103</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0.1557</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259 500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37.47</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26.85357</w:t>
            </w:r>
          </w:p>
        </w:tc>
        <w:tc>
          <w:tcPr>
            <w:tcW w:w="1378" w:type="dxa"/>
            <w:noWrap/>
            <w:hideMark/>
          </w:tcPr>
          <w:p w:rsidR="00DB73D0" w:rsidRPr="00747F4C" w:rsidRDefault="00DB73D0" w:rsidP="006A67BA">
            <w:pPr>
              <w:spacing w:before="40" w:after="40"/>
              <w:rPr>
                <w:sz w:val="18"/>
                <w:szCs w:val="18"/>
              </w:rPr>
            </w:pPr>
            <w:r w:rsidRPr="00747F4C">
              <w:rPr>
                <w:sz w:val="18"/>
                <w:szCs w:val="18"/>
              </w:rPr>
              <w:t>Ukrainian hryvnia</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w:t>
            </w:r>
          </w:p>
        </w:tc>
      </w:tr>
      <w:tr w:rsidR="00DB73D0" w:rsidRPr="00747F4C" w:rsidTr="00CD35BB">
        <w:trPr>
          <w:trHeight w:val="389"/>
        </w:trPr>
        <w:tc>
          <w:tcPr>
            <w:tcW w:w="998" w:type="dxa"/>
            <w:noWrap/>
            <w:hideMark/>
          </w:tcPr>
          <w:p w:rsidR="00DB73D0" w:rsidRPr="00747F4C" w:rsidRDefault="00DB73D0" w:rsidP="006A67BA">
            <w:pPr>
              <w:spacing w:before="40" w:after="40"/>
              <w:rPr>
                <w:sz w:val="18"/>
                <w:szCs w:val="18"/>
              </w:rPr>
            </w:pPr>
            <w:r w:rsidRPr="00747F4C">
              <w:rPr>
                <w:sz w:val="18"/>
                <w:szCs w:val="18"/>
              </w:rPr>
              <w:t>47</w:t>
            </w:r>
          </w:p>
        </w:tc>
        <w:tc>
          <w:tcPr>
            <w:tcW w:w="1159" w:type="dxa"/>
            <w:noWrap/>
            <w:hideMark/>
          </w:tcPr>
          <w:p w:rsidR="00DB73D0" w:rsidRPr="00747F4C" w:rsidRDefault="00DB73D0" w:rsidP="006A67BA">
            <w:pPr>
              <w:spacing w:before="40" w:after="40"/>
              <w:rPr>
                <w:sz w:val="18"/>
                <w:szCs w:val="18"/>
              </w:rPr>
            </w:pPr>
            <w:r w:rsidRPr="00747F4C">
              <w:rPr>
                <w:color w:val="000000"/>
                <w:sz w:val="18"/>
                <w:szCs w:val="18"/>
              </w:rPr>
              <w:t>United Kingdom of Great Britain and Northern Ireland</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4.463</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6.7485</w:t>
            </w:r>
          </w:p>
        </w:tc>
        <w:tc>
          <w:tcPr>
            <w:tcW w:w="1378" w:type="dxa"/>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11 247 500 </w:t>
            </w:r>
          </w:p>
        </w:tc>
        <w:tc>
          <w:tcPr>
            <w:tcW w:w="1379" w:type="dxa"/>
            <w:noWrap/>
            <w:hideMark/>
          </w:tcPr>
          <w:p w:rsidR="00DB73D0" w:rsidRPr="00747F4C" w:rsidRDefault="00DB73D0" w:rsidP="006A67BA">
            <w:pPr>
              <w:spacing w:before="40" w:after="40"/>
              <w:jc w:val="right"/>
              <w:rPr>
                <w:sz w:val="18"/>
                <w:szCs w:val="18"/>
              </w:rPr>
            </w:pPr>
            <w:r w:rsidRPr="00747F4C">
              <w:rPr>
                <w:sz w:val="18"/>
                <w:szCs w:val="18"/>
              </w:rPr>
              <w:t>1.29</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spacing w:before="40" w:after="40"/>
              <w:jc w:val="right"/>
              <w:rPr>
                <w:sz w:val="18"/>
                <w:szCs w:val="18"/>
              </w:rPr>
            </w:pPr>
            <w:r w:rsidRPr="00747F4C">
              <w:rPr>
                <w:sz w:val="18"/>
                <w:szCs w:val="18"/>
              </w:rPr>
              <w:t>0.796</w:t>
            </w:r>
          </w:p>
        </w:tc>
        <w:tc>
          <w:tcPr>
            <w:tcW w:w="1378" w:type="dxa"/>
            <w:noWrap/>
            <w:hideMark/>
          </w:tcPr>
          <w:p w:rsidR="00DB73D0" w:rsidRPr="00747F4C" w:rsidRDefault="00DB73D0" w:rsidP="006A67BA">
            <w:pPr>
              <w:spacing w:before="40" w:after="40"/>
              <w:rPr>
                <w:sz w:val="18"/>
                <w:szCs w:val="18"/>
              </w:rPr>
            </w:pPr>
            <w:r w:rsidRPr="00747F4C">
              <w:rPr>
                <w:sz w:val="18"/>
                <w:szCs w:val="18"/>
              </w:rPr>
              <w:t>Pound sterling</w:t>
            </w:r>
          </w:p>
        </w:tc>
        <w:tc>
          <w:tcPr>
            <w:tcW w:w="1379" w:type="dxa"/>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xml:space="preserve">8 953 010 </w:t>
            </w:r>
          </w:p>
        </w:tc>
      </w:tr>
      <w:tr w:rsidR="00DB73D0" w:rsidRPr="00747F4C" w:rsidTr="00CD35BB">
        <w:trPr>
          <w:trHeight w:val="84"/>
        </w:trPr>
        <w:tc>
          <w:tcPr>
            <w:tcW w:w="998" w:type="dxa"/>
            <w:noWrap/>
            <w:hideMark/>
          </w:tcPr>
          <w:p w:rsidR="00DB73D0" w:rsidRPr="00747F4C" w:rsidRDefault="00DB73D0" w:rsidP="006A67BA">
            <w:pPr>
              <w:keepNext/>
              <w:keepLines/>
              <w:spacing w:before="40" w:after="40"/>
              <w:rPr>
                <w:sz w:val="18"/>
                <w:szCs w:val="18"/>
              </w:rPr>
            </w:pPr>
            <w:r w:rsidRPr="00747F4C">
              <w:rPr>
                <w:sz w:val="18"/>
                <w:szCs w:val="18"/>
              </w:rPr>
              <w:t>48</w:t>
            </w:r>
          </w:p>
        </w:tc>
        <w:tc>
          <w:tcPr>
            <w:tcW w:w="1159" w:type="dxa"/>
            <w:noWrap/>
            <w:hideMark/>
          </w:tcPr>
          <w:p w:rsidR="00DB73D0" w:rsidRPr="00747F4C" w:rsidRDefault="00DB73D0" w:rsidP="006A67BA">
            <w:pPr>
              <w:keepNext/>
              <w:keepLines/>
              <w:spacing w:before="40" w:after="40"/>
              <w:rPr>
                <w:sz w:val="18"/>
                <w:szCs w:val="18"/>
              </w:rPr>
            </w:pPr>
            <w:r w:rsidRPr="00747F4C">
              <w:rPr>
                <w:sz w:val="18"/>
                <w:szCs w:val="18"/>
              </w:rPr>
              <w:t>United States of America</w:t>
            </w:r>
          </w:p>
        </w:tc>
        <w:tc>
          <w:tcPr>
            <w:tcW w:w="1378" w:type="dxa"/>
            <w:noWrap/>
            <w:hideMark/>
          </w:tcPr>
          <w:p w:rsidR="00DB73D0" w:rsidRPr="00747F4C" w:rsidRDefault="00DB73D0" w:rsidP="006A67BA">
            <w:pPr>
              <w:keepNext/>
              <w:keepLines/>
              <w:spacing w:before="40" w:after="40"/>
              <w:jc w:val="right"/>
              <w:rPr>
                <w:sz w:val="18"/>
                <w:szCs w:val="18"/>
              </w:rPr>
            </w:pPr>
            <w:r w:rsidRPr="00747F4C">
              <w:rPr>
                <w:sz w:val="18"/>
                <w:szCs w:val="18"/>
              </w:rPr>
              <w:t>22</w:t>
            </w:r>
          </w:p>
        </w:tc>
        <w:tc>
          <w:tcPr>
            <w:tcW w:w="1378" w:type="dxa"/>
            <w:noWrap/>
            <w:hideMark/>
          </w:tcPr>
          <w:p w:rsidR="00DB73D0" w:rsidRPr="00747F4C" w:rsidRDefault="00DB73D0" w:rsidP="006A67BA">
            <w:pPr>
              <w:keepNext/>
              <w:keepLines/>
              <w:spacing w:before="40" w:after="40"/>
              <w:jc w:val="right"/>
              <w:rPr>
                <w:sz w:val="18"/>
                <w:szCs w:val="18"/>
              </w:rPr>
            </w:pPr>
            <w:r w:rsidRPr="00747F4C">
              <w:rPr>
                <w:sz w:val="18"/>
                <w:szCs w:val="18"/>
              </w:rPr>
              <w:t>22.0000</w:t>
            </w:r>
          </w:p>
        </w:tc>
        <w:tc>
          <w:tcPr>
            <w:tcW w:w="1378" w:type="dxa"/>
            <w:shd w:val="clear" w:color="auto" w:fill="auto"/>
            <w:noWrap/>
            <w:hideMark/>
          </w:tcPr>
          <w:p w:rsidR="00DB73D0" w:rsidRPr="00747F4C" w:rsidRDefault="00DB73D0" w:rsidP="006A67BA">
            <w:pPr>
              <w:keepNext/>
              <w:keepLines/>
              <w:spacing w:before="40" w:after="40"/>
              <w:jc w:val="right"/>
              <w:rPr>
                <w:color w:val="000000"/>
                <w:sz w:val="18"/>
                <w:szCs w:val="18"/>
              </w:rPr>
            </w:pPr>
            <w:r w:rsidRPr="00747F4C">
              <w:rPr>
                <w:color w:val="000000"/>
                <w:sz w:val="18"/>
                <w:szCs w:val="18"/>
              </w:rPr>
              <w:t xml:space="preserve">36 666 667 </w:t>
            </w:r>
          </w:p>
        </w:tc>
        <w:tc>
          <w:tcPr>
            <w:tcW w:w="1379" w:type="dxa"/>
            <w:noWrap/>
            <w:hideMark/>
          </w:tcPr>
          <w:p w:rsidR="00DB73D0" w:rsidRPr="00747F4C" w:rsidRDefault="00DB73D0" w:rsidP="006A67BA">
            <w:pPr>
              <w:keepNext/>
              <w:keepLines/>
              <w:spacing w:before="40" w:after="40"/>
              <w:jc w:val="right"/>
              <w:rPr>
                <w:sz w:val="18"/>
                <w:szCs w:val="18"/>
              </w:rPr>
            </w:pPr>
            <w:r>
              <w:rPr>
                <w:sz w:val="18"/>
                <w:szCs w:val="18"/>
              </w:rPr>
              <w:sym w:font="Symbol" w:char="F02D"/>
            </w:r>
          </w:p>
        </w:tc>
        <w:tc>
          <w:tcPr>
            <w:tcW w:w="1378" w:type="dxa"/>
            <w:noWrap/>
            <w:hideMark/>
          </w:tcPr>
          <w:p w:rsidR="00DB73D0" w:rsidRPr="00747F4C" w:rsidRDefault="00DB73D0" w:rsidP="006A67BA">
            <w:pPr>
              <w:keepNext/>
              <w:keepLines/>
              <w:spacing w:before="40" w:after="40"/>
              <w:jc w:val="right"/>
              <w:rPr>
                <w:sz w:val="18"/>
                <w:szCs w:val="18"/>
              </w:rPr>
            </w:pPr>
            <w:r>
              <w:rPr>
                <w:sz w:val="18"/>
                <w:szCs w:val="18"/>
              </w:rPr>
              <w:sym w:font="Symbol" w:char="F02D"/>
            </w:r>
          </w:p>
        </w:tc>
        <w:tc>
          <w:tcPr>
            <w:tcW w:w="1378" w:type="dxa"/>
            <w:noWrap/>
            <w:hideMark/>
          </w:tcPr>
          <w:p w:rsidR="00DB73D0" w:rsidRPr="00747F4C" w:rsidRDefault="00DB73D0" w:rsidP="006A67BA">
            <w:pPr>
              <w:keepNext/>
              <w:keepLines/>
              <w:spacing w:before="40" w:after="40"/>
              <w:jc w:val="right"/>
              <w:rPr>
                <w:sz w:val="18"/>
                <w:szCs w:val="18"/>
              </w:rPr>
            </w:pPr>
            <w:r w:rsidRPr="00747F4C">
              <w:rPr>
                <w:sz w:val="18"/>
                <w:szCs w:val="18"/>
              </w:rPr>
              <w:t>1</w:t>
            </w:r>
          </w:p>
        </w:tc>
        <w:tc>
          <w:tcPr>
            <w:tcW w:w="1378" w:type="dxa"/>
            <w:noWrap/>
            <w:hideMark/>
          </w:tcPr>
          <w:p w:rsidR="00DB73D0" w:rsidRPr="00747F4C" w:rsidRDefault="00DB73D0" w:rsidP="006A67BA">
            <w:pPr>
              <w:keepNext/>
              <w:keepLines/>
              <w:spacing w:before="40" w:after="40"/>
              <w:rPr>
                <w:sz w:val="18"/>
                <w:szCs w:val="18"/>
              </w:rPr>
            </w:pPr>
            <w:r w:rsidRPr="00747F4C">
              <w:rPr>
                <w:sz w:val="18"/>
                <w:szCs w:val="18"/>
              </w:rPr>
              <w:t>United States dollar</w:t>
            </w:r>
          </w:p>
        </w:tc>
        <w:tc>
          <w:tcPr>
            <w:tcW w:w="1379" w:type="dxa"/>
            <w:shd w:val="clear" w:color="auto" w:fill="auto"/>
            <w:noWrap/>
          </w:tcPr>
          <w:p w:rsidR="00DB73D0" w:rsidRPr="00747F4C" w:rsidRDefault="00DB73D0" w:rsidP="006A67BA">
            <w:pPr>
              <w:keepNext/>
              <w:keepLines/>
              <w:spacing w:before="40" w:after="40"/>
              <w:jc w:val="right"/>
              <w:rPr>
                <w:color w:val="000000"/>
                <w:sz w:val="18"/>
                <w:szCs w:val="18"/>
              </w:rPr>
            </w:pPr>
            <w:r w:rsidRPr="00747F4C">
              <w:rPr>
                <w:color w:val="000000"/>
                <w:sz w:val="18"/>
                <w:szCs w:val="18"/>
              </w:rPr>
              <w:t> </w:t>
            </w:r>
          </w:p>
        </w:tc>
      </w:tr>
      <w:tr w:rsidR="00DB73D0" w:rsidRPr="00747F4C" w:rsidTr="00715700">
        <w:trPr>
          <w:trHeight w:val="247"/>
        </w:trPr>
        <w:tc>
          <w:tcPr>
            <w:tcW w:w="998" w:type="dxa"/>
            <w:tcBorders>
              <w:bottom w:val="single" w:sz="4" w:space="0" w:color="auto"/>
            </w:tcBorders>
            <w:noWrap/>
            <w:hideMark/>
          </w:tcPr>
          <w:p w:rsidR="00DB73D0" w:rsidRPr="00747F4C" w:rsidRDefault="00DB73D0" w:rsidP="006A67BA">
            <w:pPr>
              <w:spacing w:before="40" w:after="40"/>
              <w:rPr>
                <w:sz w:val="18"/>
                <w:szCs w:val="18"/>
              </w:rPr>
            </w:pPr>
            <w:r w:rsidRPr="00747F4C">
              <w:rPr>
                <w:sz w:val="18"/>
                <w:szCs w:val="18"/>
              </w:rPr>
              <w:t>49</w:t>
            </w:r>
          </w:p>
        </w:tc>
        <w:tc>
          <w:tcPr>
            <w:tcW w:w="1159" w:type="dxa"/>
            <w:tcBorders>
              <w:bottom w:val="single" w:sz="4" w:space="0" w:color="auto"/>
            </w:tcBorders>
            <w:noWrap/>
            <w:hideMark/>
          </w:tcPr>
          <w:p w:rsidR="00DB73D0" w:rsidRPr="00747F4C" w:rsidRDefault="00DB73D0" w:rsidP="006A67BA">
            <w:pPr>
              <w:spacing w:before="40" w:after="40"/>
              <w:rPr>
                <w:sz w:val="18"/>
                <w:szCs w:val="18"/>
              </w:rPr>
            </w:pPr>
            <w:r w:rsidRPr="00747F4C">
              <w:rPr>
                <w:sz w:val="18"/>
                <w:szCs w:val="18"/>
              </w:rPr>
              <w:t>Uzbekistan</w:t>
            </w:r>
          </w:p>
        </w:tc>
        <w:tc>
          <w:tcPr>
            <w:tcW w:w="1378" w:type="dxa"/>
            <w:tcBorders>
              <w:bottom w:val="single" w:sz="4" w:space="0" w:color="auto"/>
            </w:tcBorders>
            <w:noWrap/>
            <w:hideMark/>
          </w:tcPr>
          <w:p w:rsidR="00DB73D0" w:rsidRPr="00747F4C" w:rsidRDefault="00DB73D0" w:rsidP="006A67BA">
            <w:pPr>
              <w:spacing w:before="40" w:after="40"/>
              <w:jc w:val="right"/>
              <w:rPr>
                <w:sz w:val="18"/>
                <w:szCs w:val="18"/>
              </w:rPr>
            </w:pPr>
            <w:r w:rsidRPr="00747F4C">
              <w:rPr>
                <w:sz w:val="18"/>
                <w:szCs w:val="18"/>
              </w:rPr>
              <w:t>0.023</w:t>
            </w:r>
          </w:p>
        </w:tc>
        <w:tc>
          <w:tcPr>
            <w:tcW w:w="1378" w:type="dxa"/>
            <w:tcBorders>
              <w:bottom w:val="single" w:sz="4" w:space="0" w:color="auto"/>
            </w:tcBorders>
            <w:noWrap/>
            <w:hideMark/>
          </w:tcPr>
          <w:p w:rsidR="00DB73D0" w:rsidRPr="00747F4C" w:rsidRDefault="00DB73D0" w:rsidP="006A67BA">
            <w:pPr>
              <w:spacing w:before="40" w:after="40"/>
              <w:jc w:val="right"/>
              <w:rPr>
                <w:sz w:val="18"/>
                <w:szCs w:val="18"/>
              </w:rPr>
            </w:pPr>
            <w:r w:rsidRPr="00747F4C">
              <w:rPr>
                <w:sz w:val="18"/>
                <w:szCs w:val="18"/>
              </w:rPr>
              <w:t>0.0348</w:t>
            </w:r>
          </w:p>
        </w:tc>
        <w:tc>
          <w:tcPr>
            <w:tcW w:w="1378" w:type="dxa"/>
            <w:tcBorders>
              <w:bottom w:val="single" w:sz="4" w:space="0" w:color="auto"/>
            </w:tcBorders>
            <w:shd w:val="clear" w:color="auto" w:fill="auto"/>
            <w:noWrap/>
            <w:hideMark/>
          </w:tcPr>
          <w:p w:rsidR="00DB73D0" w:rsidRPr="00747F4C" w:rsidRDefault="00DB73D0" w:rsidP="006A67BA">
            <w:pPr>
              <w:spacing w:before="40" w:after="40"/>
              <w:jc w:val="right"/>
              <w:rPr>
                <w:color w:val="000000"/>
                <w:sz w:val="18"/>
                <w:szCs w:val="18"/>
              </w:rPr>
            </w:pPr>
            <w:r w:rsidRPr="00747F4C">
              <w:rPr>
                <w:color w:val="000000"/>
                <w:sz w:val="18"/>
                <w:szCs w:val="18"/>
              </w:rPr>
              <w:t xml:space="preserve">58 000 </w:t>
            </w:r>
          </w:p>
        </w:tc>
        <w:tc>
          <w:tcPr>
            <w:tcW w:w="1379" w:type="dxa"/>
            <w:tcBorders>
              <w:bottom w:val="single" w:sz="4" w:space="0" w:color="auto"/>
            </w:tcBorders>
            <w:noWrap/>
            <w:hideMark/>
          </w:tcPr>
          <w:p w:rsidR="00DB73D0" w:rsidRPr="00747F4C" w:rsidRDefault="00DB73D0" w:rsidP="006A67BA">
            <w:pPr>
              <w:spacing w:before="40" w:after="40"/>
              <w:jc w:val="right"/>
              <w:rPr>
                <w:sz w:val="18"/>
                <w:szCs w:val="18"/>
              </w:rPr>
            </w:pPr>
            <w:r>
              <w:rPr>
                <w:sz w:val="18"/>
                <w:szCs w:val="18"/>
              </w:rPr>
              <w:sym w:font="Symbol" w:char="F02D"/>
            </w:r>
          </w:p>
        </w:tc>
        <w:tc>
          <w:tcPr>
            <w:tcW w:w="1378" w:type="dxa"/>
            <w:tcBorders>
              <w:bottom w:val="single" w:sz="4" w:space="0" w:color="auto"/>
            </w:tcBorders>
            <w:noWrap/>
            <w:hideMark/>
          </w:tcPr>
          <w:p w:rsidR="00DB73D0" w:rsidRPr="00747F4C" w:rsidRDefault="00DB73D0" w:rsidP="006A67BA">
            <w:pPr>
              <w:spacing w:before="40" w:after="40"/>
              <w:jc w:val="right"/>
              <w:rPr>
                <w:sz w:val="18"/>
                <w:szCs w:val="18"/>
              </w:rPr>
            </w:pPr>
            <w:r>
              <w:rPr>
                <w:sz w:val="18"/>
                <w:szCs w:val="18"/>
              </w:rPr>
              <w:sym w:font="Symbol" w:char="F02D"/>
            </w:r>
          </w:p>
        </w:tc>
        <w:tc>
          <w:tcPr>
            <w:tcW w:w="1378" w:type="dxa"/>
            <w:tcBorders>
              <w:bottom w:val="single" w:sz="4" w:space="0" w:color="auto"/>
            </w:tcBorders>
            <w:noWrap/>
            <w:hideMark/>
          </w:tcPr>
          <w:p w:rsidR="00DB73D0" w:rsidRPr="00747F4C" w:rsidRDefault="00DB73D0" w:rsidP="006A67BA">
            <w:pPr>
              <w:spacing w:before="40" w:after="40"/>
              <w:jc w:val="right"/>
              <w:rPr>
                <w:sz w:val="18"/>
                <w:szCs w:val="18"/>
              </w:rPr>
            </w:pPr>
            <w:r w:rsidRPr="00747F4C">
              <w:rPr>
                <w:sz w:val="18"/>
                <w:szCs w:val="18"/>
              </w:rPr>
              <w:t>3570.311</w:t>
            </w:r>
          </w:p>
        </w:tc>
        <w:tc>
          <w:tcPr>
            <w:tcW w:w="1378" w:type="dxa"/>
            <w:tcBorders>
              <w:bottom w:val="single" w:sz="4" w:space="0" w:color="auto"/>
            </w:tcBorders>
            <w:noWrap/>
            <w:hideMark/>
          </w:tcPr>
          <w:p w:rsidR="00DB73D0" w:rsidRPr="00747F4C" w:rsidRDefault="00DB73D0" w:rsidP="006A67BA">
            <w:pPr>
              <w:spacing w:before="40" w:after="40"/>
              <w:rPr>
                <w:sz w:val="18"/>
                <w:szCs w:val="18"/>
              </w:rPr>
            </w:pPr>
            <w:r w:rsidRPr="00747F4C">
              <w:rPr>
                <w:sz w:val="18"/>
                <w:szCs w:val="18"/>
              </w:rPr>
              <w:t>Uzbek sum</w:t>
            </w:r>
          </w:p>
        </w:tc>
        <w:tc>
          <w:tcPr>
            <w:tcW w:w="1379" w:type="dxa"/>
            <w:tcBorders>
              <w:bottom w:val="single" w:sz="4" w:space="0" w:color="auto"/>
            </w:tcBorders>
            <w:shd w:val="clear" w:color="auto" w:fill="auto"/>
            <w:noWrap/>
          </w:tcPr>
          <w:p w:rsidR="00DB73D0" w:rsidRPr="00747F4C" w:rsidRDefault="00DB73D0" w:rsidP="006A67BA">
            <w:pPr>
              <w:spacing w:before="40" w:after="40"/>
              <w:jc w:val="right"/>
              <w:rPr>
                <w:color w:val="000000"/>
                <w:sz w:val="18"/>
                <w:szCs w:val="18"/>
              </w:rPr>
            </w:pPr>
            <w:r w:rsidRPr="00747F4C">
              <w:rPr>
                <w:color w:val="000000"/>
                <w:sz w:val="18"/>
                <w:szCs w:val="18"/>
              </w:rPr>
              <w:t> </w:t>
            </w:r>
          </w:p>
        </w:tc>
      </w:tr>
      <w:tr w:rsidR="00DB73D0" w:rsidRPr="00747F4C" w:rsidTr="00715700">
        <w:trPr>
          <w:trHeight w:val="389"/>
        </w:trPr>
        <w:tc>
          <w:tcPr>
            <w:tcW w:w="998" w:type="dxa"/>
            <w:tcBorders>
              <w:top w:val="single" w:sz="4" w:space="0" w:color="auto"/>
              <w:bottom w:val="single" w:sz="12" w:space="0" w:color="auto"/>
            </w:tcBorders>
            <w:noWrap/>
            <w:hideMark/>
          </w:tcPr>
          <w:p w:rsidR="00DB73D0" w:rsidRPr="00747F4C" w:rsidRDefault="00DB73D0" w:rsidP="006A67BA">
            <w:pPr>
              <w:spacing w:before="40" w:after="40"/>
              <w:rPr>
                <w:b/>
                <w:sz w:val="18"/>
                <w:szCs w:val="18"/>
              </w:rPr>
            </w:pPr>
          </w:p>
        </w:tc>
        <w:tc>
          <w:tcPr>
            <w:tcW w:w="1159" w:type="dxa"/>
            <w:tcBorders>
              <w:top w:val="single" w:sz="4" w:space="0" w:color="auto"/>
              <w:bottom w:val="single" w:sz="12" w:space="0" w:color="auto"/>
            </w:tcBorders>
            <w:noWrap/>
            <w:hideMark/>
          </w:tcPr>
          <w:p w:rsidR="00DB73D0" w:rsidRPr="00747F4C" w:rsidRDefault="00DB73D0" w:rsidP="006A67BA">
            <w:pPr>
              <w:spacing w:before="40" w:after="40"/>
              <w:rPr>
                <w:b/>
                <w:sz w:val="18"/>
                <w:szCs w:val="18"/>
              </w:rPr>
            </w:pPr>
            <w:r w:rsidRPr="00747F4C">
              <w:rPr>
                <w:b/>
                <w:sz w:val="18"/>
                <w:szCs w:val="18"/>
              </w:rPr>
              <w:t>Total</w:t>
            </w:r>
          </w:p>
        </w:tc>
        <w:tc>
          <w:tcPr>
            <w:tcW w:w="1378" w:type="dxa"/>
            <w:tcBorders>
              <w:top w:val="single" w:sz="4" w:space="0" w:color="auto"/>
              <w:bottom w:val="single" w:sz="12" w:space="0" w:color="auto"/>
            </w:tcBorders>
            <w:noWrap/>
            <w:hideMark/>
          </w:tcPr>
          <w:p w:rsidR="00DB73D0" w:rsidRPr="00747F4C" w:rsidRDefault="00DB73D0" w:rsidP="006A67BA">
            <w:pPr>
              <w:spacing w:before="40" w:after="40"/>
              <w:jc w:val="right"/>
              <w:rPr>
                <w:b/>
                <w:sz w:val="18"/>
                <w:szCs w:val="18"/>
              </w:rPr>
            </w:pPr>
            <w:r w:rsidRPr="00747F4C">
              <w:rPr>
                <w:b/>
                <w:sz w:val="18"/>
                <w:szCs w:val="18"/>
              </w:rPr>
              <w:t>73.584</w:t>
            </w:r>
          </w:p>
        </w:tc>
        <w:tc>
          <w:tcPr>
            <w:tcW w:w="1378" w:type="dxa"/>
            <w:tcBorders>
              <w:top w:val="single" w:sz="4" w:space="0" w:color="auto"/>
              <w:bottom w:val="single" w:sz="12" w:space="0" w:color="auto"/>
            </w:tcBorders>
            <w:noWrap/>
            <w:hideMark/>
          </w:tcPr>
          <w:p w:rsidR="00DB73D0" w:rsidRPr="00747F4C" w:rsidRDefault="00DB73D0" w:rsidP="006A67BA">
            <w:pPr>
              <w:spacing w:before="40" w:after="40"/>
              <w:jc w:val="right"/>
              <w:rPr>
                <w:b/>
                <w:sz w:val="18"/>
                <w:szCs w:val="18"/>
              </w:rPr>
            </w:pPr>
            <w:r w:rsidRPr="00747F4C">
              <w:rPr>
                <w:b/>
                <w:sz w:val="18"/>
                <w:szCs w:val="18"/>
              </w:rPr>
              <w:t>100.00</w:t>
            </w:r>
          </w:p>
        </w:tc>
        <w:tc>
          <w:tcPr>
            <w:tcW w:w="1378" w:type="dxa"/>
            <w:tcBorders>
              <w:top w:val="single" w:sz="4" w:space="0" w:color="auto"/>
              <w:bottom w:val="single" w:sz="12" w:space="0" w:color="auto"/>
            </w:tcBorders>
            <w:shd w:val="clear" w:color="auto" w:fill="auto"/>
            <w:noWrap/>
            <w:hideMark/>
          </w:tcPr>
          <w:p w:rsidR="00DB73D0" w:rsidRPr="00747F4C" w:rsidRDefault="00DB73D0" w:rsidP="006A67BA">
            <w:pPr>
              <w:spacing w:before="40" w:after="40"/>
              <w:jc w:val="right"/>
              <w:rPr>
                <w:b/>
                <w:color w:val="000000"/>
                <w:sz w:val="18"/>
                <w:szCs w:val="18"/>
              </w:rPr>
            </w:pPr>
            <w:r w:rsidRPr="00747F4C">
              <w:rPr>
                <w:b/>
                <w:color w:val="000000"/>
                <w:sz w:val="18"/>
                <w:szCs w:val="18"/>
              </w:rPr>
              <w:t xml:space="preserve">166 666 667 </w:t>
            </w:r>
          </w:p>
        </w:tc>
        <w:tc>
          <w:tcPr>
            <w:tcW w:w="1379" w:type="dxa"/>
            <w:tcBorders>
              <w:top w:val="single" w:sz="4" w:space="0" w:color="auto"/>
              <w:bottom w:val="single" w:sz="12" w:space="0" w:color="auto"/>
            </w:tcBorders>
            <w:noWrap/>
            <w:hideMark/>
          </w:tcPr>
          <w:p w:rsidR="00DB73D0" w:rsidRPr="00747F4C" w:rsidRDefault="00DB73D0" w:rsidP="006A67BA">
            <w:pPr>
              <w:spacing w:before="40" w:after="40"/>
              <w:jc w:val="right"/>
              <w:rPr>
                <w:b/>
                <w:sz w:val="18"/>
                <w:szCs w:val="18"/>
              </w:rPr>
            </w:pPr>
          </w:p>
        </w:tc>
        <w:tc>
          <w:tcPr>
            <w:tcW w:w="1378" w:type="dxa"/>
            <w:tcBorders>
              <w:top w:val="single" w:sz="4" w:space="0" w:color="auto"/>
              <w:bottom w:val="single" w:sz="12" w:space="0" w:color="auto"/>
            </w:tcBorders>
            <w:noWrap/>
            <w:hideMark/>
          </w:tcPr>
          <w:p w:rsidR="00DB73D0" w:rsidRPr="00747F4C" w:rsidRDefault="00DB73D0" w:rsidP="006A67BA">
            <w:pPr>
              <w:spacing w:before="40" w:after="40"/>
              <w:jc w:val="right"/>
              <w:rPr>
                <w:b/>
                <w:sz w:val="18"/>
                <w:szCs w:val="18"/>
              </w:rPr>
            </w:pPr>
          </w:p>
        </w:tc>
        <w:tc>
          <w:tcPr>
            <w:tcW w:w="1378" w:type="dxa"/>
            <w:tcBorders>
              <w:top w:val="single" w:sz="4" w:space="0" w:color="auto"/>
              <w:bottom w:val="single" w:sz="12" w:space="0" w:color="auto"/>
            </w:tcBorders>
            <w:noWrap/>
            <w:hideMark/>
          </w:tcPr>
          <w:p w:rsidR="00DB73D0" w:rsidRPr="00747F4C" w:rsidRDefault="00DB73D0" w:rsidP="006A67BA">
            <w:pPr>
              <w:spacing w:before="40" w:after="40"/>
              <w:jc w:val="right"/>
              <w:rPr>
                <w:b/>
                <w:sz w:val="18"/>
                <w:szCs w:val="18"/>
              </w:rPr>
            </w:pPr>
          </w:p>
        </w:tc>
        <w:tc>
          <w:tcPr>
            <w:tcW w:w="1378" w:type="dxa"/>
            <w:tcBorders>
              <w:top w:val="single" w:sz="4" w:space="0" w:color="auto"/>
              <w:bottom w:val="single" w:sz="12" w:space="0" w:color="auto"/>
            </w:tcBorders>
            <w:noWrap/>
            <w:hideMark/>
          </w:tcPr>
          <w:p w:rsidR="00DB73D0" w:rsidRPr="00747F4C" w:rsidRDefault="00DB73D0" w:rsidP="006A67BA">
            <w:pPr>
              <w:spacing w:before="40" w:after="40"/>
              <w:rPr>
                <w:b/>
                <w:sz w:val="18"/>
                <w:szCs w:val="18"/>
              </w:rPr>
            </w:pPr>
          </w:p>
        </w:tc>
        <w:tc>
          <w:tcPr>
            <w:tcW w:w="1379" w:type="dxa"/>
            <w:tcBorders>
              <w:top w:val="single" w:sz="4" w:space="0" w:color="auto"/>
              <w:bottom w:val="single" w:sz="12" w:space="0" w:color="auto"/>
            </w:tcBorders>
            <w:shd w:val="clear" w:color="auto" w:fill="auto"/>
            <w:noWrap/>
          </w:tcPr>
          <w:p w:rsidR="00DB73D0" w:rsidRPr="00747F4C" w:rsidRDefault="00DB73D0" w:rsidP="006A67BA">
            <w:pPr>
              <w:spacing w:before="40" w:after="40"/>
              <w:jc w:val="right"/>
              <w:rPr>
                <w:b/>
                <w:color w:val="000000"/>
                <w:sz w:val="18"/>
                <w:szCs w:val="18"/>
              </w:rPr>
            </w:pPr>
            <w:r w:rsidRPr="00747F4C">
              <w:rPr>
                <w:b/>
                <w:color w:val="000000"/>
                <w:sz w:val="18"/>
                <w:szCs w:val="18"/>
              </w:rPr>
              <w:t> </w:t>
            </w:r>
          </w:p>
        </w:tc>
      </w:tr>
    </w:tbl>
    <w:p w:rsidR="00DB73D0" w:rsidRPr="004E7D79" w:rsidRDefault="00DB73D0" w:rsidP="00CD35BB">
      <w:pPr>
        <w:keepNext/>
        <w:keepLines/>
        <w:spacing w:before="40"/>
        <w:ind w:left="1882"/>
        <w:rPr>
          <w:sz w:val="17"/>
          <w:szCs w:val="17"/>
        </w:rPr>
      </w:pPr>
      <w:r w:rsidRPr="004E7D79">
        <w:rPr>
          <w:i/>
          <w:sz w:val="17"/>
          <w:szCs w:val="17"/>
        </w:rPr>
        <w:t>Notes</w:t>
      </w:r>
      <w:r w:rsidRPr="004E7D79">
        <w:rPr>
          <w:sz w:val="17"/>
          <w:szCs w:val="17"/>
        </w:rPr>
        <w:t>:</w:t>
      </w:r>
    </w:p>
    <w:p w:rsidR="00DB73D0" w:rsidRPr="004E7D79" w:rsidRDefault="00DB73D0" w:rsidP="00CD35BB">
      <w:pPr>
        <w:spacing w:before="40" w:after="40"/>
        <w:ind w:left="2506"/>
        <w:rPr>
          <w:sz w:val="17"/>
          <w:szCs w:val="17"/>
        </w:rPr>
      </w:pPr>
      <w:proofErr w:type="gramStart"/>
      <w:r w:rsidRPr="004E7D79">
        <w:rPr>
          <w:sz w:val="17"/>
          <w:szCs w:val="17"/>
        </w:rPr>
        <w:t>a</w:t>
      </w:r>
      <w:proofErr w:type="gramEnd"/>
      <w:r w:rsidRPr="004E7D79">
        <w:rPr>
          <w:sz w:val="17"/>
          <w:szCs w:val="17"/>
        </w:rPr>
        <w:t xml:space="preserve"> As per the website of the International Monetary Fund as at 11 October 2017: </w:t>
      </w:r>
      <w:hyperlink r:id="rId18" w:history="1">
        <w:r w:rsidRPr="002A63B2">
          <w:rPr>
            <w:rStyle w:val="Hyperlink"/>
            <w:sz w:val="17"/>
            <w:szCs w:val="17"/>
            <w:lang w:val="en-GB"/>
          </w:rPr>
          <w:t>http://data.imf.org/?sk=388DFA60-1D26-4ADE-B505-A05A558D9A42</w:t>
        </w:r>
      </w:hyperlink>
      <w:r w:rsidRPr="002A63B2">
        <w:rPr>
          <w:rStyle w:val="Hyperlink"/>
          <w:sz w:val="17"/>
          <w:szCs w:val="17"/>
          <w:lang w:val="en-GB"/>
        </w:rPr>
        <w:t>.</w:t>
      </w:r>
    </w:p>
    <w:p w:rsidR="00DB73D0" w:rsidRPr="004E7D79" w:rsidRDefault="00DB73D0" w:rsidP="00CD35BB">
      <w:pPr>
        <w:spacing w:before="40" w:after="40"/>
        <w:ind w:left="2506"/>
        <w:rPr>
          <w:sz w:val="17"/>
          <w:szCs w:val="17"/>
        </w:rPr>
      </w:pPr>
      <w:proofErr w:type="gramStart"/>
      <w:r w:rsidRPr="004E7D79">
        <w:rPr>
          <w:sz w:val="17"/>
          <w:szCs w:val="17"/>
        </w:rPr>
        <w:t>b</w:t>
      </w:r>
      <w:proofErr w:type="gramEnd"/>
      <w:r w:rsidRPr="004E7D79">
        <w:rPr>
          <w:sz w:val="17"/>
          <w:szCs w:val="17"/>
        </w:rPr>
        <w:t xml:space="preserve"> Average United Nations operational rate of exchange from 1 January–30 June 2017.</w:t>
      </w:r>
    </w:p>
    <w:p w:rsidR="00151EEC" w:rsidRPr="00715700" w:rsidRDefault="00151EEC" w:rsidP="00715700">
      <w:pPr>
        <w:pStyle w:val="NormalNonumber"/>
        <w:rPr>
          <w:b/>
        </w:rPr>
        <w:sectPr w:rsidR="00151EEC" w:rsidRPr="00715700" w:rsidSect="00CD35BB">
          <w:headerReference w:type="even" r:id="rId19"/>
          <w:headerReference w:type="default" r:id="rId20"/>
          <w:headerReference w:type="first" r:id="rId21"/>
          <w:footerReference w:type="first" r:id="rId22"/>
          <w:pgSz w:w="16838" w:h="11906" w:orient="landscape" w:code="9"/>
          <w:pgMar w:top="907" w:right="992" w:bottom="1418" w:left="1418" w:header="539" w:footer="975" w:gutter="0"/>
          <w:cols w:space="539"/>
          <w:titlePg/>
          <w:docGrid w:linePitch="360"/>
        </w:sectPr>
      </w:pPr>
    </w:p>
    <w:p w:rsidR="00DB73D0" w:rsidRPr="00F91C42" w:rsidRDefault="00DB73D0" w:rsidP="00CD35BB">
      <w:pPr>
        <w:pStyle w:val="ZZAnxheader"/>
        <w:rPr>
          <w:szCs w:val="28"/>
          <w:lang w:eastAsia="zh-CN"/>
        </w:rPr>
      </w:pPr>
      <w:r w:rsidRPr="0010641C">
        <w:rPr>
          <w:szCs w:val="28"/>
          <w:lang w:eastAsia="zh-CN"/>
        </w:rPr>
        <w:lastRenderedPageBreak/>
        <w:t xml:space="preserve">Annex </w:t>
      </w:r>
      <w:r>
        <w:rPr>
          <w:szCs w:val="28"/>
          <w:lang w:eastAsia="zh-CN"/>
        </w:rPr>
        <w:t>I</w:t>
      </w:r>
      <w:r w:rsidRPr="0010641C">
        <w:rPr>
          <w:szCs w:val="28"/>
          <w:lang w:eastAsia="zh-CN"/>
        </w:rPr>
        <w:t>V</w:t>
      </w:r>
    </w:p>
    <w:p w:rsidR="00DB73D0" w:rsidRPr="004E7D79" w:rsidRDefault="00DB73D0" w:rsidP="00CD35BB">
      <w:pPr>
        <w:pStyle w:val="ZZAnxtitle"/>
      </w:pPr>
      <w:r w:rsidRPr="004E7D79">
        <w:t>Trust Fund for the Montreal Protocol on Substances that Deplete the Ozone Layer</w:t>
      </w:r>
    </w:p>
    <w:p w:rsidR="00DB73D0" w:rsidRPr="000E339A" w:rsidRDefault="00DB73D0" w:rsidP="00CD35BB">
      <w:pPr>
        <w:pStyle w:val="CH2"/>
        <w:rPr>
          <w:rFonts w:eastAsia="Cambria"/>
        </w:rPr>
      </w:pPr>
      <w:r w:rsidRPr="000E339A">
        <w:rPr>
          <w:rFonts w:eastAsia="Cambria"/>
        </w:rPr>
        <w:tab/>
      </w:r>
      <w:r w:rsidRPr="000E339A">
        <w:rPr>
          <w:rFonts w:eastAsia="Cambria"/>
        </w:rPr>
        <w:tab/>
        <w:t>Approved revised 2017, approved 2018 and proposed 2019 budgets</w:t>
      </w:r>
    </w:p>
    <w:p w:rsidR="00DB73D0" w:rsidRPr="004E7D79" w:rsidRDefault="00DB73D0" w:rsidP="00DB73D0">
      <w:pPr>
        <w:keepNext/>
        <w:keepLines/>
        <w:tabs>
          <w:tab w:val="clear" w:pos="1247"/>
          <w:tab w:val="clear" w:pos="1814"/>
          <w:tab w:val="clear" w:pos="2381"/>
          <w:tab w:val="clear" w:pos="2948"/>
          <w:tab w:val="clear" w:pos="3515"/>
          <w:tab w:val="left" w:pos="4082"/>
        </w:tabs>
        <w:spacing w:before="120" w:after="120"/>
        <w:ind w:left="1247"/>
        <w:rPr>
          <w:sz w:val="17"/>
          <w:szCs w:val="17"/>
        </w:rPr>
      </w:pPr>
      <w:r w:rsidRPr="004E7D79">
        <w:rPr>
          <w:sz w:val="17"/>
          <w:szCs w:val="17"/>
        </w:rPr>
        <w:t>(United States dollars)</w:t>
      </w:r>
    </w:p>
    <w:tbl>
      <w:tblPr>
        <w:tblW w:w="4287" w:type="pct"/>
        <w:jc w:val="right"/>
        <w:tblLayout w:type="fixed"/>
        <w:tblLook w:val="04A0" w:firstRow="1" w:lastRow="0" w:firstColumn="1" w:lastColumn="0" w:noHBand="0" w:noVBand="1"/>
      </w:tblPr>
      <w:tblGrid>
        <w:gridCol w:w="991"/>
        <w:gridCol w:w="4064"/>
        <w:gridCol w:w="1137"/>
        <w:gridCol w:w="968"/>
        <w:gridCol w:w="1167"/>
      </w:tblGrid>
      <w:tr w:rsidR="00DB73D0" w:rsidRPr="00B964BF" w:rsidTr="00715700">
        <w:trPr>
          <w:trHeight w:val="63"/>
          <w:tblHeader/>
          <w:jc w:val="right"/>
        </w:trPr>
        <w:tc>
          <w:tcPr>
            <w:tcW w:w="595" w:type="pct"/>
            <w:tcBorders>
              <w:top w:val="single" w:sz="8" w:space="0" w:color="auto"/>
              <w:left w:val="nil"/>
              <w:bottom w:val="single" w:sz="12" w:space="0" w:color="auto"/>
              <w:right w:val="nil"/>
            </w:tcBorders>
          </w:tcPr>
          <w:p w:rsidR="00DB73D0" w:rsidRPr="00B964BF" w:rsidRDefault="00DB73D0" w:rsidP="006A67BA">
            <w:pPr>
              <w:keepNext/>
              <w:keepLines/>
              <w:spacing w:before="40" w:after="40"/>
              <w:rPr>
                <w:i/>
                <w:color w:val="000000"/>
                <w:sz w:val="18"/>
              </w:rPr>
            </w:pPr>
          </w:p>
        </w:tc>
        <w:tc>
          <w:tcPr>
            <w:tcW w:w="2440" w:type="pct"/>
            <w:tcBorders>
              <w:top w:val="single" w:sz="8" w:space="0" w:color="auto"/>
              <w:left w:val="nil"/>
              <w:bottom w:val="single" w:sz="12" w:space="0" w:color="auto"/>
              <w:right w:val="nil"/>
            </w:tcBorders>
            <w:shd w:val="clear" w:color="auto" w:fill="auto"/>
            <w:hideMark/>
          </w:tcPr>
          <w:p w:rsidR="00DB73D0" w:rsidRPr="00B964BF" w:rsidRDefault="00DB73D0" w:rsidP="006A67BA">
            <w:pPr>
              <w:keepNext/>
              <w:keepLines/>
              <w:spacing w:before="40" w:after="40"/>
              <w:rPr>
                <w:i/>
                <w:color w:val="000000"/>
                <w:sz w:val="18"/>
              </w:rPr>
            </w:pPr>
            <w:r w:rsidRPr="00B964BF">
              <w:rPr>
                <w:i/>
                <w:color w:val="000000"/>
                <w:sz w:val="18"/>
              </w:rPr>
              <w:t>Cost category</w:t>
            </w:r>
          </w:p>
        </w:tc>
        <w:tc>
          <w:tcPr>
            <w:tcW w:w="683" w:type="pct"/>
            <w:tcBorders>
              <w:top w:val="single" w:sz="8" w:space="0" w:color="auto"/>
              <w:left w:val="nil"/>
              <w:bottom w:val="single" w:sz="12" w:space="0" w:color="auto"/>
              <w:right w:val="nil"/>
            </w:tcBorders>
            <w:shd w:val="clear" w:color="auto" w:fill="auto"/>
            <w:hideMark/>
          </w:tcPr>
          <w:p w:rsidR="00DB73D0" w:rsidRPr="00B964BF" w:rsidRDefault="00DB73D0" w:rsidP="006A67BA">
            <w:pPr>
              <w:keepNext/>
              <w:keepLines/>
              <w:spacing w:before="40" w:after="40"/>
              <w:jc w:val="center"/>
              <w:rPr>
                <w:i/>
                <w:color w:val="000000"/>
                <w:sz w:val="18"/>
              </w:rPr>
            </w:pPr>
            <w:r>
              <w:rPr>
                <w:i/>
                <w:color w:val="000000"/>
                <w:sz w:val="18"/>
              </w:rPr>
              <w:t>Approved r</w:t>
            </w:r>
            <w:r w:rsidRPr="00B964BF">
              <w:rPr>
                <w:i/>
                <w:color w:val="000000"/>
                <w:sz w:val="18"/>
              </w:rPr>
              <w:t>evised 2017</w:t>
            </w:r>
          </w:p>
        </w:tc>
        <w:tc>
          <w:tcPr>
            <w:tcW w:w="581" w:type="pct"/>
            <w:tcBorders>
              <w:top w:val="single" w:sz="8" w:space="0" w:color="auto"/>
              <w:left w:val="nil"/>
              <w:bottom w:val="single" w:sz="12" w:space="0" w:color="auto"/>
              <w:right w:val="nil"/>
            </w:tcBorders>
            <w:shd w:val="clear" w:color="auto" w:fill="auto"/>
            <w:hideMark/>
          </w:tcPr>
          <w:p w:rsidR="00DB73D0" w:rsidRPr="00B964BF" w:rsidRDefault="00DB73D0" w:rsidP="006A67BA">
            <w:pPr>
              <w:keepNext/>
              <w:keepLines/>
              <w:spacing w:before="40" w:after="40"/>
              <w:jc w:val="center"/>
              <w:rPr>
                <w:i/>
                <w:color w:val="000000"/>
                <w:sz w:val="18"/>
              </w:rPr>
            </w:pPr>
            <w:r>
              <w:rPr>
                <w:i/>
                <w:color w:val="000000"/>
                <w:sz w:val="18"/>
              </w:rPr>
              <w:t>Approved</w:t>
            </w:r>
            <w:r w:rsidRPr="00B964BF">
              <w:rPr>
                <w:i/>
                <w:color w:val="000000"/>
                <w:sz w:val="18"/>
              </w:rPr>
              <w:t xml:space="preserve"> 2018</w:t>
            </w:r>
          </w:p>
        </w:tc>
        <w:tc>
          <w:tcPr>
            <w:tcW w:w="701" w:type="pct"/>
            <w:tcBorders>
              <w:top w:val="single" w:sz="8" w:space="0" w:color="auto"/>
              <w:left w:val="nil"/>
              <w:bottom w:val="single" w:sz="12" w:space="0" w:color="auto"/>
              <w:right w:val="nil"/>
            </w:tcBorders>
            <w:shd w:val="clear" w:color="auto" w:fill="auto"/>
            <w:hideMark/>
          </w:tcPr>
          <w:p w:rsidR="00DB73D0" w:rsidRPr="00B964BF" w:rsidRDefault="00DB73D0" w:rsidP="006A67BA">
            <w:pPr>
              <w:keepNext/>
              <w:keepLines/>
              <w:spacing w:before="40" w:after="40"/>
              <w:jc w:val="center"/>
              <w:rPr>
                <w:i/>
                <w:color w:val="000000"/>
                <w:sz w:val="18"/>
              </w:rPr>
            </w:pPr>
            <w:r w:rsidRPr="00B964BF">
              <w:rPr>
                <w:i/>
                <w:color w:val="000000"/>
                <w:sz w:val="18"/>
              </w:rPr>
              <w:t>Proposed 2019</w:t>
            </w:r>
          </w:p>
        </w:tc>
      </w:tr>
      <w:tr w:rsidR="00DB73D0" w:rsidRPr="00B964BF" w:rsidTr="00715700">
        <w:trPr>
          <w:trHeight w:val="73"/>
          <w:jc w:val="right"/>
        </w:trPr>
        <w:tc>
          <w:tcPr>
            <w:tcW w:w="595" w:type="pct"/>
            <w:tcBorders>
              <w:top w:val="single" w:sz="12" w:space="0" w:color="auto"/>
              <w:left w:val="nil"/>
              <w:right w:val="nil"/>
            </w:tcBorders>
          </w:tcPr>
          <w:p w:rsidR="00DB73D0" w:rsidRPr="00B964BF" w:rsidRDefault="00DB73D0" w:rsidP="006A67BA">
            <w:pPr>
              <w:keepNext/>
              <w:keepLines/>
              <w:spacing w:before="40" w:after="40"/>
              <w:jc w:val="right"/>
              <w:rPr>
                <w:color w:val="000000"/>
                <w:sz w:val="18"/>
              </w:rPr>
            </w:pPr>
            <w:r w:rsidRPr="00B964BF">
              <w:rPr>
                <w:color w:val="000000"/>
                <w:sz w:val="18"/>
              </w:rPr>
              <w:t>1000</w:t>
            </w:r>
          </w:p>
        </w:tc>
        <w:tc>
          <w:tcPr>
            <w:tcW w:w="2440" w:type="pct"/>
            <w:tcBorders>
              <w:top w:val="single" w:sz="12" w:space="0" w:color="auto"/>
              <w:left w:val="nil"/>
              <w:right w:val="nil"/>
            </w:tcBorders>
            <w:shd w:val="clear" w:color="auto" w:fill="auto"/>
            <w:noWrap/>
            <w:hideMark/>
          </w:tcPr>
          <w:p w:rsidR="00DB73D0" w:rsidRPr="00B964BF" w:rsidRDefault="00DB73D0" w:rsidP="006A67BA">
            <w:pPr>
              <w:keepNext/>
              <w:keepLines/>
              <w:spacing w:before="40" w:after="40"/>
              <w:rPr>
                <w:color w:val="000000"/>
                <w:sz w:val="18"/>
              </w:rPr>
            </w:pPr>
            <w:r w:rsidRPr="00B964BF">
              <w:rPr>
                <w:color w:val="000000"/>
                <w:sz w:val="18"/>
              </w:rPr>
              <w:t>Employee salaries, allowances and benefits</w:t>
            </w:r>
          </w:p>
        </w:tc>
        <w:tc>
          <w:tcPr>
            <w:tcW w:w="683" w:type="pct"/>
            <w:tcBorders>
              <w:top w:val="single" w:sz="12" w:space="0" w:color="auto"/>
              <w:left w:val="nil"/>
              <w:right w:val="nil"/>
            </w:tcBorders>
            <w:shd w:val="clear" w:color="auto" w:fill="auto"/>
            <w:noWrap/>
            <w:hideMark/>
          </w:tcPr>
          <w:p w:rsidR="00DB73D0" w:rsidRPr="00B964BF" w:rsidRDefault="00DB73D0" w:rsidP="006A67BA">
            <w:pPr>
              <w:spacing w:before="40" w:after="40"/>
              <w:jc w:val="right"/>
              <w:rPr>
                <w:color w:val="000000"/>
                <w:sz w:val="18"/>
              </w:rPr>
            </w:pPr>
            <w:r w:rsidRPr="00B964BF">
              <w:rPr>
                <w:color w:val="000000"/>
                <w:sz w:val="18"/>
              </w:rPr>
              <w:t>1 483 072</w:t>
            </w:r>
          </w:p>
        </w:tc>
        <w:tc>
          <w:tcPr>
            <w:tcW w:w="581" w:type="pct"/>
            <w:tcBorders>
              <w:top w:val="single" w:sz="12" w:space="0" w:color="auto"/>
              <w:left w:val="nil"/>
              <w:right w:val="nil"/>
            </w:tcBorders>
            <w:shd w:val="clear" w:color="auto" w:fill="auto"/>
            <w:noWrap/>
            <w:hideMark/>
          </w:tcPr>
          <w:p w:rsidR="00DB73D0" w:rsidRPr="00B964BF" w:rsidRDefault="00DB73D0" w:rsidP="006A67BA">
            <w:pPr>
              <w:spacing w:before="40" w:after="40"/>
              <w:jc w:val="right"/>
              <w:rPr>
                <w:color w:val="000000"/>
                <w:sz w:val="18"/>
              </w:rPr>
            </w:pPr>
            <w:r w:rsidRPr="00B964BF">
              <w:rPr>
                <w:color w:val="000000"/>
                <w:sz w:val="18"/>
              </w:rPr>
              <w:t>1 512 734</w:t>
            </w:r>
          </w:p>
        </w:tc>
        <w:tc>
          <w:tcPr>
            <w:tcW w:w="701" w:type="pct"/>
            <w:tcBorders>
              <w:top w:val="single" w:sz="12" w:space="0" w:color="auto"/>
              <w:left w:val="nil"/>
              <w:right w:val="nil"/>
            </w:tcBorders>
            <w:shd w:val="clear" w:color="auto" w:fill="auto"/>
            <w:noWrap/>
            <w:hideMark/>
          </w:tcPr>
          <w:p w:rsidR="00DB73D0" w:rsidRPr="00B964BF" w:rsidRDefault="00DB73D0" w:rsidP="006A67BA">
            <w:pPr>
              <w:spacing w:before="40" w:after="40"/>
              <w:jc w:val="right"/>
              <w:rPr>
                <w:color w:val="000000"/>
                <w:sz w:val="18"/>
              </w:rPr>
            </w:pPr>
            <w:r w:rsidRPr="00B964BF">
              <w:rPr>
                <w:color w:val="000000"/>
                <w:sz w:val="18"/>
              </w:rPr>
              <w:t>1 542 989</w:t>
            </w:r>
          </w:p>
        </w:tc>
      </w:tr>
      <w:tr w:rsidR="00DB73D0" w:rsidRPr="00B964BF" w:rsidTr="00715700">
        <w:trPr>
          <w:trHeight w:val="48"/>
          <w:jc w:val="right"/>
        </w:trPr>
        <w:tc>
          <w:tcPr>
            <w:tcW w:w="595" w:type="pct"/>
            <w:tcBorders>
              <w:left w:val="nil"/>
              <w:bottom w:val="single" w:sz="4" w:space="0" w:color="auto"/>
              <w:right w:val="nil"/>
            </w:tcBorders>
          </w:tcPr>
          <w:p w:rsidR="00DB73D0" w:rsidRPr="00B964BF" w:rsidRDefault="00DB73D0" w:rsidP="006A67BA">
            <w:pPr>
              <w:keepNext/>
              <w:keepLines/>
              <w:spacing w:before="40" w:after="40"/>
              <w:jc w:val="right"/>
              <w:rPr>
                <w:color w:val="000000"/>
                <w:sz w:val="18"/>
              </w:rPr>
            </w:pPr>
            <w:r w:rsidRPr="00B964BF">
              <w:rPr>
                <w:color w:val="000000"/>
                <w:sz w:val="18"/>
              </w:rPr>
              <w:t>1200</w:t>
            </w:r>
          </w:p>
        </w:tc>
        <w:tc>
          <w:tcPr>
            <w:tcW w:w="2440" w:type="pct"/>
            <w:tcBorders>
              <w:left w:val="nil"/>
              <w:bottom w:val="single" w:sz="4" w:space="0" w:color="auto"/>
              <w:right w:val="nil"/>
            </w:tcBorders>
            <w:shd w:val="clear" w:color="auto" w:fill="auto"/>
            <w:noWrap/>
            <w:hideMark/>
          </w:tcPr>
          <w:p w:rsidR="00DB73D0" w:rsidRPr="00B964BF" w:rsidRDefault="00DB73D0" w:rsidP="006A67BA">
            <w:pPr>
              <w:keepNext/>
              <w:keepLines/>
              <w:spacing w:before="40" w:after="40"/>
              <w:rPr>
                <w:color w:val="000000"/>
                <w:sz w:val="18"/>
              </w:rPr>
            </w:pPr>
            <w:r w:rsidRPr="00B964BF">
              <w:rPr>
                <w:color w:val="000000"/>
                <w:sz w:val="18"/>
              </w:rPr>
              <w:t>Consultants</w:t>
            </w:r>
          </w:p>
        </w:tc>
        <w:tc>
          <w:tcPr>
            <w:tcW w:w="683" w:type="pct"/>
            <w:tcBorders>
              <w:left w:val="nil"/>
              <w:bottom w:val="single" w:sz="4" w:space="0" w:color="auto"/>
              <w:right w:val="nil"/>
            </w:tcBorders>
            <w:shd w:val="clear" w:color="auto" w:fill="auto"/>
            <w:noWrap/>
            <w:hideMark/>
          </w:tcPr>
          <w:p w:rsidR="00DB73D0" w:rsidRPr="00B964BF" w:rsidRDefault="00DB73D0" w:rsidP="006A67BA">
            <w:pPr>
              <w:spacing w:before="40" w:after="40"/>
              <w:jc w:val="right"/>
              <w:rPr>
                <w:color w:val="000000"/>
                <w:sz w:val="18"/>
              </w:rPr>
            </w:pPr>
            <w:r w:rsidRPr="00B964BF">
              <w:rPr>
                <w:color w:val="000000"/>
                <w:sz w:val="18"/>
              </w:rPr>
              <w:t xml:space="preserve">85 000 </w:t>
            </w:r>
          </w:p>
        </w:tc>
        <w:tc>
          <w:tcPr>
            <w:tcW w:w="581" w:type="pct"/>
            <w:tcBorders>
              <w:left w:val="nil"/>
              <w:bottom w:val="single" w:sz="4" w:space="0" w:color="auto"/>
              <w:right w:val="nil"/>
            </w:tcBorders>
            <w:shd w:val="clear" w:color="auto" w:fill="auto"/>
            <w:noWrap/>
            <w:hideMark/>
          </w:tcPr>
          <w:p w:rsidR="00DB73D0" w:rsidRPr="00B964BF" w:rsidRDefault="00DB73D0" w:rsidP="006A67BA">
            <w:pPr>
              <w:spacing w:before="40" w:after="40"/>
              <w:jc w:val="right"/>
              <w:rPr>
                <w:color w:val="000000"/>
                <w:sz w:val="18"/>
              </w:rPr>
            </w:pPr>
            <w:r w:rsidRPr="00B964BF">
              <w:rPr>
                <w:color w:val="000000"/>
                <w:sz w:val="18"/>
              </w:rPr>
              <w:t xml:space="preserve">85 000 </w:t>
            </w:r>
          </w:p>
        </w:tc>
        <w:tc>
          <w:tcPr>
            <w:tcW w:w="701" w:type="pct"/>
            <w:tcBorders>
              <w:left w:val="nil"/>
              <w:bottom w:val="single" w:sz="4" w:space="0" w:color="auto"/>
              <w:right w:val="nil"/>
            </w:tcBorders>
            <w:shd w:val="clear" w:color="auto" w:fill="auto"/>
            <w:noWrap/>
            <w:hideMark/>
          </w:tcPr>
          <w:p w:rsidR="00DB73D0" w:rsidRPr="00B964BF" w:rsidRDefault="00DB73D0" w:rsidP="006A67BA">
            <w:pPr>
              <w:spacing w:before="40" w:after="40"/>
              <w:jc w:val="right"/>
              <w:rPr>
                <w:color w:val="000000"/>
                <w:sz w:val="18"/>
              </w:rPr>
            </w:pPr>
            <w:r w:rsidRPr="00B964BF">
              <w:rPr>
                <w:color w:val="000000"/>
                <w:sz w:val="18"/>
              </w:rPr>
              <w:t xml:space="preserve">85 000 </w:t>
            </w:r>
          </w:p>
        </w:tc>
      </w:tr>
      <w:tr w:rsidR="00DB73D0" w:rsidRPr="00B964BF" w:rsidTr="00715700">
        <w:trPr>
          <w:trHeight w:val="48"/>
          <w:jc w:val="right"/>
        </w:trPr>
        <w:tc>
          <w:tcPr>
            <w:tcW w:w="5000" w:type="pct"/>
            <w:gridSpan w:val="5"/>
            <w:tcBorders>
              <w:top w:val="single" w:sz="4" w:space="0" w:color="auto"/>
              <w:left w:val="nil"/>
              <w:bottom w:val="single" w:sz="4" w:space="0" w:color="auto"/>
              <w:right w:val="nil"/>
            </w:tcBorders>
          </w:tcPr>
          <w:p w:rsidR="00DB73D0" w:rsidRPr="00B964BF" w:rsidRDefault="00DB73D0" w:rsidP="006A67BA">
            <w:pPr>
              <w:spacing w:before="20" w:after="20"/>
              <w:rPr>
                <w:b/>
                <w:color w:val="000000"/>
                <w:sz w:val="18"/>
              </w:rPr>
            </w:pPr>
            <w:r w:rsidRPr="00B964BF">
              <w:rPr>
                <w:b/>
                <w:color w:val="000000"/>
                <w:sz w:val="18"/>
              </w:rPr>
              <w:t xml:space="preserve">Operating </w:t>
            </w:r>
            <w:r w:rsidRPr="00435E3D">
              <w:rPr>
                <w:b/>
                <w:color w:val="000000"/>
                <w:sz w:val="18"/>
                <w:lang w:val="fr-FR"/>
              </w:rPr>
              <w:t>costs</w:t>
            </w:r>
          </w:p>
        </w:tc>
      </w:tr>
      <w:tr w:rsidR="00DB73D0" w:rsidRPr="00B964BF" w:rsidTr="00715700">
        <w:trPr>
          <w:trHeight w:val="48"/>
          <w:jc w:val="right"/>
        </w:trPr>
        <w:tc>
          <w:tcPr>
            <w:tcW w:w="595" w:type="pct"/>
            <w:tcBorders>
              <w:top w:val="single" w:sz="4" w:space="0" w:color="auto"/>
              <w:left w:val="nil"/>
              <w:bottom w:val="single" w:sz="4" w:space="0" w:color="auto"/>
              <w:right w:val="nil"/>
            </w:tcBorders>
          </w:tcPr>
          <w:p w:rsidR="00DB73D0" w:rsidRPr="00B964BF" w:rsidRDefault="00DB73D0" w:rsidP="006A67BA">
            <w:pPr>
              <w:keepNext/>
              <w:keepLines/>
              <w:spacing w:before="40" w:after="40"/>
              <w:jc w:val="right"/>
              <w:rPr>
                <w:b/>
                <w:color w:val="000000"/>
                <w:sz w:val="18"/>
              </w:rPr>
            </w:pPr>
            <w:r w:rsidRPr="00B964BF">
              <w:rPr>
                <w:b/>
                <w:color w:val="000000"/>
                <w:sz w:val="18"/>
              </w:rPr>
              <w:t>1300</w:t>
            </w:r>
          </w:p>
        </w:tc>
        <w:tc>
          <w:tcPr>
            <w:tcW w:w="2440" w:type="pct"/>
            <w:tcBorders>
              <w:top w:val="single" w:sz="4" w:space="0" w:color="auto"/>
              <w:left w:val="nil"/>
              <w:bottom w:val="single" w:sz="4" w:space="0" w:color="auto"/>
              <w:right w:val="nil"/>
            </w:tcBorders>
            <w:shd w:val="clear" w:color="auto" w:fill="auto"/>
            <w:noWrap/>
          </w:tcPr>
          <w:p w:rsidR="00DB73D0" w:rsidRPr="00B964BF" w:rsidRDefault="00DB73D0" w:rsidP="006A67BA">
            <w:pPr>
              <w:keepNext/>
              <w:keepLines/>
              <w:spacing w:before="40" w:after="40"/>
              <w:rPr>
                <w:b/>
                <w:color w:val="000000"/>
                <w:sz w:val="18"/>
              </w:rPr>
            </w:pPr>
            <w:r w:rsidRPr="00B964BF">
              <w:rPr>
                <w:b/>
                <w:color w:val="000000"/>
                <w:sz w:val="18"/>
              </w:rPr>
              <w:t>Meeting costs</w:t>
            </w:r>
          </w:p>
        </w:tc>
        <w:tc>
          <w:tcPr>
            <w:tcW w:w="683" w:type="pct"/>
            <w:tcBorders>
              <w:top w:val="single" w:sz="4" w:space="0" w:color="auto"/>
              <w:left w:val="nil"/>
              <w:bottom w:val="single" w:sz="4" w:space="0" w:color="auto"/>
              <w:right w:val="nil"/>
            </w:tcBorders>
            <w:shd w:val="clear" w:color="auto" w:fill="auto"/>
            <w:noWrap/>
          </w:tcPr>
          <w:p w:rsidR="00DB73D0" w:rsidRPr="00B964BF" w:rsidRDefault="00DB73D0" w:rsidP="006A67BA">
            <w:pPr>
              <w:spacing w:before="40" w:after="40"/>
              <w:jc w:val="right"/>
              <w:rPr>
                <w:color w:val="000000"/>
                <w:sz w:val="18"/>
              </w:rPr>
            </w:pPr>
          </w:p>
        </w:tc>
        <w:tc>
          <w:tcPr>
            <w:tcW w:w="581" w:type="pct"/>
            <w:tcBorders>
              <w:top w:val="single" w:sz="4" w:space="0" w:color="auto"/>
              <w:left w:val="nil"/>
              <w:bottom w:val="single" w:sz="4" w:space="0" w:color="auto"/>
              <w:right w:val="nil"/>
            </w:tcBorders>
            <w:shd w:val="clear" w:color="auto" w:fill="auto"/>
            <w:noWrap/>
          </w:tcPr>
          <w:p w:rsidR="00DB73D0" w:rsidRPr="00B964BF" w:rsidRDefault="00DB73D0" w:rsidP="006A67BA">
            <w:pPr>
              <w:spacing w:before="40" w:after="40"/>
              <w:jc w:val="right"/>
              <w:rPr>
                <w:color w:val="000000"/>
                <w:sz w:val="18"/>
              </w:rPr>
            </w:pPr>
          </w:p>
        </w:tc>
        <w:tc>
          <w:tcPr>
            <w:tcW w:w="701" w:type="pct"/>
            <w:tcBorders>
              <w:top w:val="single" w:sz="4" w:space="0" w:color="auto"/>
              <w:left w:val="nil"/>
              <w:bottom w:val="single" w:sz="4" w:space="0" w:color="auto"/>
              <w:right w:val="nil"/>
            </w:tcBorders>
            <w:shd w:val="clear" w:color="auto" w:fill="auto"/>
            <w:noWrap/>
          </w:tcPr>
          <w:p w:rsidR="00DB73D0" w:rsidRPr="00B964BF" w:rsidRDefault="00DB73D0" w:rsidP="006A67BA">
            <w:pPr>
              <w:spacing w:before="40" w:after="40"/>
              <w:jc w:val="right"/>
              <w:rPr>
                <w:color w:val="000000"/>
                <w:sz w:val="18"/>
              </w:rPr>
            </w:pPr>
          </w:p>
        </w:tc>
      </w:tr>
      <w:tr w:rsidR="00DB73D0" w:rsidRPr="00B964BF" w:rsidTr="00715700">
        <w:trPr>
          <w:trHeight w:val="48"/>
          <w:jc w:val="right"/>
        </w:trPr>
        <w:tc>
          <w:tcPr>
            <w:tcW w:w="595" w:type="pct"/>
            <w:tcBorders>
              <w:top w:val="single" w:sz="4" w:space="0" w:color="auto"/>
              <w:left w:val="nil"/>
              <w:bottom w:val="nil"/>
              <w:right w:val="nil"/>
            </w:tcBorders>
          </w:tcPr>
          <w:p w:rsidR="00DB73D0" w:rsidRPr="00B964BF" w:rsidRDefault="00DB73D0" w:rsidP="006A67BA">
            <w:pPr>
              <w:keepNext/>
              <w:keepLines/>
              <w:spacing w:before="40" w:after="40"/>
              <w:jc w:val="right"/>
              <w:rPr>
                <w:color w:val="000000"/>
                <w:sz w:val="18"/>
              </w:rPr>
            </w:pPr>
            <w:r w:rsidRPr="00B964BF">
              <w:rPr>
                <w:color w:val="000000"/>
                <w:sz w:val="18"/>
              </w:rPr>
              <w:t>1321</w:t>
            </w:r>
          </w:p>
        </w:tc>
        <w:tc>
          <w:tcPr>
            <w:tcW w:w="2440" w:type="pct"/>
            <w:tcBorders>
              <w:top w:val="single" w:sz="4" w:space="0" w:color="auto"/>
              <w:left w:val="nil"/>
              <w:bottom w:val="nil"/>
              <w:right w:val="nil"/>
            </w:tcBorders>
            <w:shd w:val="clear" w:color="auto" w:fill="auto"/>
            <w:noWrap/>
          </w:tcPr>
          <w:p w:rsidR="00DB73D0" w:rsidRPr="00B964BF" w:rsidRDefault="00DB73D0" w:rsidP="006A67BA">
            <w:pPr>
              <w:keepNext/>
              <w:keepLines/>
              <w:spacing w:before="40" w:after="40"/>
              <w:rPr>
                <w:color w:val="000000"/>
                <w:sz w:val="18"/>
              </w:rPr>
            </w:pPr>
            <w:r w:rsidRPr="00B964BF">
              <w:rPr>
                <w:color w:val="000000"/>
                <w:sz w:val="18"/>
              </w:rPr>
              <w:t xml:space="preserve">Conference services costs: Open-ended Working Group meetings </w:t>
            </w:r>
          </w:p>
        </w:tc>
        <w:tc>
          <w:tcPr>
            <w:tcW w:w="683" w:type="pct"/>
            <w:tcBorders>
              <w:top w:val="single" w:sz="4" w:space="0" w:color="auto"/>
              <w:left w:val="nil"/>
              <w:bottom w:val="nil"/>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676 000 </w:t>
            </w:r>
          </w:p>
        </w:tc>
        <w:tc>
          <w:tcPr>
            <w:tcW w:w="581" w:type="pct"/>
            <w:tcBorders>
              <w:top w:val="single" w:sz="4" w:space="0" w:color="auto"/>
              <w:left w:val="nil"/>
              <w:bottom w:val="nil"/>
              <w:right w:val="nil"/>
            </w:tcBorders>
            <w:shd w:val="clear" w:color="auto" w:fill="auto"/>
            <w:noWrap/>
          </w:tcPr>
          <w:p w:rsidR="00DB73D0" w:rsidRPr="00357EF4" w:rsidRDefault="00DB73D0" w:rsidP="006A67BA">
            <w:pPr>
              <w:spacing w:before="40" w:after="40"/>
              <w:jc w:val="right"/>
              <w:rPr>
                <w:color w:val="000000"/>
                <w:sz w:val="18"/>
                <w:highlight w:val="yellow"/>
              </w:rPr>
            </w:pPr>
            <w:r>
              <w:rPr>
                <w:color w:val="000000"/>
                <w:sz w:val="18"/>
              </w:rPr>
              <w:t>676 000</w:t>
            </w:r>
          </w:p>
        </w:tc>
        <w:tc>
          <w:tcPr>
            <w:tcW w:w="701" w:type="pct"/>
            <w:tcBorders>
              <w:top w:val="single" w:sz="4" w:space="0" w:color="auto"/>
              <w:left w:val="nil"/>
              <w:bottom w:val="nil"/>
              <w:right w:val="nil"/>
            </w:tcBorders>
            <w:shd w:val="clear" w:color="auto" w:fill="auto"/>
            <w:noWrap/>
          </w:tcPr>
          <w:p w:rsidR="00DB73D0" w:rsidRPr="00357EF4" w:rsidRDefault="00DB73D0" w:rsidP="006A67BA">
            <w:pPr>
              <w:spacing w:before="40" w:after="40"/>
              <w:jc w:val="right"/>
              <w:rPr>
                <w:color w:val="000000"/>
                <w:sz w:val="18"/>
                <w:highlight w:val="yellow"/>
              </w:rPr>
            </w:pPr>
            <w:r>
              <w:rPr>
                <w:color w:val="000000"/>
                <w:sz w:val="18"/>
              </w:rPr>
              <w:t>676 000</w:t>
            </w:r>
          </w:p>
        </w:tc>
      </w:tr>
      <w:tr w:rsidR="00DB73D0" w:rsidRPr="00B964BF" w:rsidTr="00715700">
        <w:trPr>
          <w:trHeight w:val="48"/>
          <w:jc w:val="right"/>
        </w:trPr>
        <w:tc>
          <w:tcPr>
            <w:tcW w:w="595" w:type="pct"/>
            <w:tcBorders>
              <w:top w:val="nil"/>
              <w:left w:val="nil"/>
              <w:bottom w:val="nil"/>
              <w:right w:val="nil"/>
            </w:tcBorders>
          </w:tcPr>
          <w:p w:rsidR="00DB73D0" w:rsidRPr="00B964BF" w:rsidRDefault="00DB73D0" w:rsidP="006A67BA">
            <w:pPr>
              <w:keepNext/>
              <w:keepLines/>
              <w:spacing w:before="40" w:after="40"/>
              <w:jc w:val="right"/>
              <w:rPr>
                <w:color w:val="000000"/>
                <w:sz w:val="18"/>
              </w:rPr>
            </w:pPr>
            <w:r w:rsidRPr="00B964BF">
              <w:rPr>
                <w:color w:val="000000"/>
                <w:sz w:val="18"/>
              </w:rPr>
              <w:t>1322</w:t>
            </w:r>
          </w:p>
        </w:tc>
        <w:tc>
          <w:tcPr>
            <w:tcW w:w="2440" w:type="pct"/>
            <w:tcBorders>
              <w:top w:val="nil"/>
              <w:left w:val="nil"/>
              <w:bottom w:val="nil"/>
              <w:right w:val="nil"/>
            </w:tcBorders>
            <w:shd w:val="clear" w:color="auto" w:fill="auto"/>
            <w:noWrap/>
          </w:tcPr>
          <w:p w:rsidR="00DB73D0" w:rsidRPr="00B964BF" w:rsidRDefault="00DB73D0" w:rsidP="006A67BA">
            <w:pPr>
              <w:keepNext/>
              <w:keepLines/>
              <w:spacing w:before="40" w:after="40"/>
              <w:rPr>
                <w:color w:val="000000"/>
                <w:sz w:val="18"/>
              </w:rPr>
            </w:pPr>
            <w:r w:rsidRPr="00B964BF">
              <w:rPr>
                <w:color w:val="000000"/>
                <w:sz w:val="18"/>
              </w:rPr>
              <w:t xml:space="preserve">Conference services costs: preparatory meetings and meetings of the parties </w:t>
            </w:r>
          </w:p>
        </w:tc>
        <w:tc>
          <w:tcPr>
            <w:tcW w:w="683" w:type="pct"/>
            <w:tcBorders>
              <w:top w:val="nil"/>
              <w:left w:val="nil"/>
              <w:bottom w:val="nil"/>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275 000 </w:t>
            </w:r>
          </w:p>
        </w:tc>
        <w:tc>
          <w:tcPr>
            <w:tcW w:w="581" w:type="pct"/>
            <w:tcBorders>
              <w:top w:val="nil"/>
              <w:left w:val="nil"/>
              <w:bottom w:val="nil"/>
              <w:right w:val="nil"/>
            </w:tcBorders>
            <w:shd w:val="clear" w:color="auto" w:fill="auto"/>
            <w:noWrap/>
          </w:tcPr>
          <w:p w:rsidR="00DB73D0" w:rsidRPr="00357EF4" w:rsidRDefault="00DB73D0" w:rsidP="006A67BA">
            <w:pPr>
              <w:spacing w:before="40" w:after="40"/>
              <w:jc w:val="right"/>
              <w:rPr>
                <w:color w:val="000000"/>
                <w:sz w:val="18"/>
                <w:highlight w:val="yellow"/>
              </w:rPr>
            </w:pPr>
            <w:r>
              <w:rPr>
                <w:color w:val="000000"/>
                <w:sz w:val="18"/>
              </w:rPr>
              <w:t xml:space="preserve">700 </w:t>
            </w:r>
            <w:r w:rsidRPr="009B7127">
              <w:rPr>
                <w:color w:val="000000"/>
                <w:sz w:val="18"/>
              </w:rPr>
              <w:t>000</w:t>
            </w:r>
          </w:p>
        </w:tc>
        <w:tc>
          <w:tcPr>
            <w:tcW w:w="701" w:type="pct"/>
            <w:tcBorders>
              <w:top w:val="nil"/>
              <w:left w:val="nil"/>
              <w:bottom w:val="nil"/>
              <w:right w:val="nil"/>
            </w:tcBorders>
            <w:shd w:val="clear" w:color="auto" w:fill="auto"/>
            <w:noWrap/>
          </w:tcPr>
          <w:p w:rsidR="00DB73D0" w:rsidRPr="00357EF4" w:rsidRDefault="00DB73D0" w:rsidP="006A67BA">
            <w:pPr>
              <w:spacing w:before="40" w:after="40"/>
              <w:jc w:val="right"/>
              <w:rPr>
                <w:color w:val="000000"/>
                <w:sz w:val="18"/>
                <w:highlight w:val="yellow"/>
              </w:rPr>
            </w:pPr>
            <w:r>
              <w:rPr>
                <w:color w:val="000000"/>
                <w:sz w:val="18"/>
              </w:rPr>
              <w:t>712 000</w:t>
            </w:r>
            <w:r w:rsidRPr="00357EF4">
              <w:rPr>
                <w:color w:val="000000"/>
                <w:sz w:val="18"/>
                <w:highlight w:val="yellow"/>
              </w:rPr>
              <w:t xml:space="preserve"> </w:t>
            </w:r>
          </w:p>
        </w:tc>
      </w:tr>
      <w:tr w:rsidR="00DB73D0" w:rsidRPr="00B964BF" w:rsidTr="00715700">
        <w:trPr>
          <w:trHeight w:val="48"/>
          <w:jc w:val="right"/>
        </w:trPr>
        <w:tc>
          <w:tcPr>
            <w:tcW w:w="595" w:type="pct"/>
            <w:tcBorders>
              <w:top w:val="nil"/>
              <w:left w:val="nil"/>
              <w:bottom w:val="nil"/>
              <w:right w:val="nil"/>
            </w:tcBorders>
          </w:tcPr>
          <w:p w:rsidR="00DB73D0" w:rsidRPr="00B964BF" w:rsidRDefault="00DB73D0" w:rsidP="006A67BA">
            <w:pPr>
              <w:spacing w:before="40" w:after="40"/>
              <w:jc w:val="right"/>
              <w:rPr>
                <w:color w:val="000000"/>
                <w:sz w:val="18"/>
              </w:rPr>
            </w:pPr>
            <w:r w:rsidRPr="00B964BF">
              <w:rPr>
                <w:color w:val="000000"/>
                <w:sz w:val="18"/>
              </w:rPr>
              <w:t>1323</w:t>
            </w:r>
          </w:p>
        </w:tc>
        <w:tc>
          <w:tcPr>
            <w:tcW w:w="2440" w:type="pct"/>
            <w:tcBorders>
              <w:top w:val="nil"/>
              <w:left w:val="nil"/>
              <w:bottom w:val="nil"/>
              <w:right w:val="nil"/>
            </w:tcBorders>
            <w:shd w:val="clear" w:color="auto" w:fill="auto"/>
            <w:noWrap/>
          </w:tcPr>
          <w:p w:rsidR="00DB73D0" w:rsidRPr="00B964BF" w:rsidRDefault="00DB73D0" w:rsidP="006A67BA">
            <w:pPr>
              <w:spacing w:before="40" w:after="40"/>
              <w:rPr>
                <w:color w:val="000000"/>
                <w:sz w:val="18"/>
              </w:rPr>
            </w:pPr>
            <w:r w:rsidRPr="00B964BF">
              <w:rPr>
                <w:color w:val="000000"/>
                <w:sz w:val="18"/>
              </w:rPr>
              <w:t>Communication costs of Article 5 assessment panel members and organizational costs of panel meetings</w:t>
            </w:r>
          </w:p>
        </w:tc>
        <w:tc>
          <w:tcPr>
            <w:tcW w:w="683" w:type="pct"/>
            <w:tcBorders>
              <w:top w:val="nil"/>
              <w:left w:val="nil"/>
              <w:bottom w:val="nil"/>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70 000 </w:t>
            </w:r>
          </w:p>
        </w:tc>
        <w:tc>
          <w:tcPr>
            <w:tcW w:w="581" w:type="pct"/>
            <w:tcBorders>
              <w:top w:val="nil"/>
              <w:left w:val="nil"/>
              <w:bottom w:val="nil"/>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70 000 </w:t>
            </w:r>
          </w:p>
        </w:tc>
        <w:tc>
          <w:tcPr>
            <w:tcW w:w="701" w:type="pct"/>
            <w:tcBorders>
              <w:top w:val="nil"/>
              <w:left w:val="nil"/>
              <w:bottom w:val="nil"/>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70 000 </w:t>
            </w:r>
          </w:p>
        </w:tc>
      </w:tr>
      <w:tr w:rsidR="00DB73D0" w:rsidRPr="00B964BF" w:rsidTr="00715700">
        <w:trPr>
          <w:trHeight w:val="48"/>
          <w:jc w:val="right"/>
        </w:trPr>
        <w:tc>
          <w:tcPr>
            <w:tcW w:w="595" w:type="pct"/>
            <w:tcBorders>
              <w:top w:val="nil"/>
              <w:left w:val="nil"/>
              <w:bottom w:val="nil"/>
              <w:right w:val="nil"/>
            </w:tcBorders>
          </w:tcPr>
          <w:p w:rsidR="00DB73D0" w:rsidRPr="00B964BF" w:rsidRDefault="00DB73D0" w:rsidP="006A67BA">
            <w:pPr>
              <w:spacing w:before="40" w:after="40"/>
              <w:jc w:val="right"/>
              <w:rPr>
                <w:color w:val="000000"/>
                <w:sz w:val="18"/>
              </w:rPr>
            </w:pPr>
            <w:r w:rsidRPr="00B964BF">
              <w:rPr>
                <w:color w:val="000000"/>
                <w:sz w:val="18"/>
              </w:rPr>
              <w:t>1324</w:t>
            </w:r>
          </w:p>
        </w:tc>
        <w:tc>
          <w:tcPr>
            <w:tcW w:w="2440" w:type="pct"/>
            <w:tcBorders>
              <w:top w:val="nil"/>
              <w:left w:val="nil"/>
              <w:bottom w:val="nil"/>
              <w:right w:val="nil"/>
            </w:tcBorders>
            <w:shd w:val="clear" w:color="auto" w:fill="auto"/>
            <w:noWrap/>
          </w:tcPr>
          <w:p w:rsidR="00DB73D0" w:rsidRPr="00B964BF" w:rsidRDefault="00DB73D0" w:rsidP="006A67BA">
            <w:pPr>
              <w:spacing w:before="40" w:after="40"/>
              <w:rPr>
                <w:color w:val="000000"/>
                <w:sz w:val="18"/>
              </w:rPr>
            </w:pPr>
            <w:r w:rsidRPr="00B964BF">
              <w:rPr>
                <w:color w:val="000000"/>
                <w:sz w:val="18"/>
              </w:rPr>
              <w:t>Conference services costs: Bureau meetings</w:t>
            </w:r>
          </w:p>
        </w:tc>
        <w:tc>
          <w:tcPr>
            <w:tcW w:w="683" w:type="pct"/>
            <w:tcBorders>
              <w:top w:val="nil"/>
              <w:left w:val="nil"/>
              <w:bottom w:val="nil"/>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 25 000 </w:t>
            </w:r>
          </w:p>
        </w:tc>
        <w:tc>
          <w:tcPr>
            <w:tcW w:w="581" w:type="pct"/>
            <w:tcBorders>
              <w:top w:val="nil"/>
              <w:left w:val="nil"/>
              <w:bottom w:val="nil"/>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25 000 </w:t>
            </w:r>
          </w:p>
        </w:tc>
        <w:tc>
          <w:tcPr>
            <w:tcW w:w="701" w:type="pct"/>
            <w:tcBorders>
              <w:top w:val="nil"/>
              <w:left w:val="nil"/>
              <w:bottom w:val="nil"/>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25 000 </w:t>
            </w:r>
          </w:p>
        </w:tc>
      </w:tr>
      <w:tr w:rsidR="00DB73D0" w:rsidRPr="00B964BF" w:rsidTr="00715700">
        <w:trPr>
          <w:trHeight w:val="48"/>
          <w:jc w:val="right"/>
        </w:trPr>
        <w:tc>
          <w:tcPr>
            <w:tcW w:w="595" w:type="pct"/>
            <w:tcBorders>
              <w:top w:val="nil"/>
              <w:left w:val="nil"/>
              <w:bottom w:val="nil"/>
              <w:right w:val="nil"/>
            </w:tcBorders>
          </w:tcPr>
          <w:p w:rsidR="00DB73D0" w:rsidRPr="00B964BF" w:rsidRDefault="00DB73D0" w:rsidP="006A67BA">
            <w:pPr>
              <w:spacing w:before="40" w:after="40"/>
              <w:jc w:val="right"/>
              <w:rPr>
                <w:color w:val="000000"/>
                <w:sz w:val="18"/>
              </w:rPr>
            </w:pPr>
            <w:r w:rsidRPr="00B964BF">
              <w:rPr>
                <w:color w:val="000000"/>
                <w:sz w:val="18"/>
              </w:rPr>
              <w:t>1325</w:t>
            </w:r>
          </w:p>
        </w:tc>
        <w:tc>
          <w:tcPr>
            <w:tcW w:w="2440" w:type="pct"/>
            <w:tcBorders>
              <w:top w:val="nil"/>
              <w:left w:val="nil"/>
              <w:bottom w:val="nil"/>
              <w:right w:val="nil"/>
            </w:tcBorders>
            <w:shd w:val="clear" w:color="auto" w:fill="auto"/>
            <w:noWrap/>
          </w:tcPr>
          <w:p w:rsidR="00DB73D0" w:rsidRPr="00B964BF" w:rsidRDefault="00DB73D0" w:rsidP="006A67BA">
            <w:pPr>
              <w:spacing w:before="40" w:after="40"/>
              <w:rPr>
                <w:color w:val="000000"/>
                <w:sz w:val="18"/>
              </w:rPr>
            </w:pPr>
            <w:r w:rsidRPr="00B964BF">
              <w:rPr>
                <w:color w:val="000000"/>
                <w:sz w:val="18"/>
              </w:rPr>
              <w:t>Conference services costs: Implementation Committee meetings</w:t>
            </w:r>
          </w:p>
        </w:tc>
        <w:tc>
          <w:tcPr>
            <w:tcW w:w="683" w:type="pct"/>
            <w:tcBorders>
              <w:top w:val="nil"/>
              <w:left w:val="nil"/>
              <w:bottom w:val="nil"/>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125 000 </w:t>
            </w:r>
          </w:p>
        </w:tc>
        <w:tc>
          <w:tcPr>
            <w:tcW w:w="581" w:type="pct"/>
            <w:tcBorders>
              <w:top w:val="nil"/>
              <w:left w:val="nil"/>
              <w:bottom w:val="nil"/>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 125 000 </w:t>
            </w:r>
          </w:p>
        </w:tc>
        <w:tc>
          <w:tcPr>
            <w:tcW w:w="701" w:type="pct"/>
            <w:tcBorders>
              <w:top w:val="nil"/>
              <w:left w:val="nil"/>
              <w:bottom w:val="nil"/>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125 000 </w:t>
            </w:r>
          </w:p>
        </w:tc>
      </w:tr>
      <w:tr w:rsidR="00DB73D0" w:rsidRPr="00B964BF" w:rsidTr="00715700">
        <w:trPr>
          <w:trHeight w:val="48"/>
          <w:jc w:val="right"/>
        </w:trPr>
        <w:tc>
          <w:tcPr>
            <w:tcW w:w="595" w:type="pct"/>
            <w:tcBorders>
              <w:top w:val="nil"/>
              <w:left w:val="nil"/>
              <w:bottom w:val="nil"/>
              <w:right w:val="nil"/>
            </w:tcBorders>
          </w:tcPr>
          <w:p w:rsidR="00DB73D0" w:rsidRPr="00B964BF" w:rsidRDefault="00DB73D0" w:rsidP="006A67BA">
            <w:pPr>
              <w:spacing w:before="40" w:after="40"/>
              <w:jc w:val="right"/>
              <w:rPr>
                <w:color w:val="000000"/>
                <w:sz w:val="18"/>
              </w:rPr>
            </w:pPr>
            <w:r w:rsidRPr="00B964BF">
              <w:rPr>
                <w:color w:val="000000"/>
                <w:sz w:val="18"/>
              </w:rPr>
              <w:t>1326</w:t>
            </w:r>
          </w:p>
        </w:tc>
        <w:tc>
          <w:tcPr>
            <w:tcW w:w="2440" w:type="pct"/>
            <w:tcBorders>
              <w:top w:val="nil"/>
              <w:left w:val="nil"/>
              <w:bottom w:val="nil"/>
              <w:right w:val="nil"/>
            </w:tcBorders>
            <w:shd w:val="clear" w:color="auto" w:fill="auto"/>
            <w:noWrap/>
          </w:tcPr>
          <w:p w:rsidR="00DB73D0" w:rsidRPr="00B964BF" w:rsidRDefault="00DB73D0" w:rsidP="006A67BA">
            <w:pPr>
              <w:spacing w:before="40" w:after="40"/>
              <w:rPr>
                <w:color w:val="000000"/>
                <w:sz w:val="18"/>
              </w:rPr>
            </w:pPr>
            <w:r w:rsidRPr="00B964BF">
              <w:rPr>
                <w:color w:val="000000"/>
                <w:sz w:val="18"/>
              </w:rPr>
              <w:t>Conference services costs: Montreal Protocol informal consultation meetings</w:t>
            </w:r>
          </w:p>
        </w:tc>
        <w:tc>
          <w:tcPr>
            <w:tcW w:w="683" w:type="pct"/>
            <w:tcBorders>
              <w:top w:val="nil"/>
              <w:left w:val="nil"/>
              <w:bottom w:val="nil"/>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10 000 </w:t>
            </w:r>
          </w:p>
        </w:tc>
        <w:tc>
          <w:tcPr>
            <w:tcW w:w="581" w:type="pct"/>
            <w:tcBorders>
              <w:top w:val="nil"/>
              <w:left w:val="nil"/>
              <w:bottom w:val="nil"/>
              <w:right w:val="nil"/>
            </w:tcBorders>
            <w:shd w:val="clear" w:color="auto" w:fill="auto"/>
            <w:noWrap/>
          </w:tcPr>
          <w:p w:rsidR="00DB73D0" w:rsidRPr="00651D23" w:rsidRDefault="00DB73D0" w:rsidP="006A67BA">
            <w:pPr>
              <w:spacing w:before="40" w:after="40"/>
              <w:jc w:val="right"/>
              <w:rPr>
                <w:color w:val="000000"/>
                <w:sz w:val="18"/>
              </w:rPr>
            </w:pPr>
            <w:r w:rsidRPr="00651D23">
              <w:rPr>
                <w:color w:val="000000"/>
                <w:sz w:val="18"/>
              </w:rPr>
              <w:t xml:space="preserve">0 </w:t>
            </w:r>
          </w:p>
        </w:tc>
        <w:tc>
          <w:tcPr>
            <w:tcW w:w="701" w:type="pct"/>
            <w:tcBorders>
              <w:top w:val="nil"/>
              <w:left w:val="nil"/>
              <w:bottom w:val="nil"/>
              <w:right w:val="nil"/>
            </w:tcBorders>
            <w:shd w:val="clear" w:color="auto" w:fill="auto"/>
            <w:noWrap/>
          </w:tcPr>
          <w:p w:rsidR="00DB73D0" w:rsidRPr="00651D23" w:rsidRDefault="00DB73D0" w:rsidP="006A67BA">
            <w:pPr>
              <w:spacing w:before="40" w:after="40"/>
              <w:jc w:val="right"/>
              <w:rPr>
                <w:color w:val="000000"/>
                <w:sz w:val="18"/>
              </w:rPr>
            </w:pPr>
            <w:r w:rsidRPr="00651D23">
              <w:rPr>
                <w:color w:val="000000"/>
                <w:sz w:val="18"/>
              </w:rPr>
              <w:t xml:space="preserve">0 </w:t>
            </w:r>
          </w:p>
        </w:tc>
      </w:tr>
      <w:tr w:rsidR="00DB73D0" w:rsidRPr="00B964BF" w:rsidTr="00715700">
        <w:trPr>
          <w:trHeight w:val="48"/>
          <w:jc w:val="right"/>
        </w:trPr>
        <w:tc>
          <w:tcPr>
            <w:tcW w:w="595" w:type="pct"/>
            <w:tcBorders>
              <w:top w:val="nil"/>
              <w:left w:val="nil"/>
              <w:bottom w:val="single" w:sz="8" w:space="0" w:color="auto"/>
              <w:right w:val="nil"/>
            </w:tcBorders>
          </w:tcPr>
          <w:p w:rsidR="00DB73D0" w:rsidRPr="00B964BF" w:rsidRDefault="00DB73D0" w:rsidP="006A67BA">
            <w:pPr>
              <w:spacing w:before="40" w:after="40"/>
              <w:jc w:val="right"/>
              <w:rPr>
                <w:color w:val="000000"/>
                <w:sz w:val="18"/>
              </w:rPr>
            </w:pPr>
            <w:r w:rsidRPr="00B964BF">
              <w:rPr>
                <w:color w:val="000000"/>
                <w:sz w:val="18"/>
              </w:rPr>
              <w:t>5401</w:t>
            </w:r>
          </w:p>
        </w:tc>
        <w:tc>
          <w:tcPr>
            <w:tcW w:w="2440" w:type="pct"/>
            <w:tcBorders>
              <w:top w:val="nil"/>
              <w:left w:val="nil"/>
              <w:bottom w:val="single" w:sz="8" w:space="0" w:color="auto"/>
              <w:right w:val="nil"/>
            </w:tcBorders>
            <w:shd w:val="clear" w:color="auto" w:fill="auto"/>
            <w:noWrap/>
          </w:tcPr>
          <w:p w:rsidR="00DB73D0" w:rsidRPr="00B964BF" w:rsidRDefault="00DB73D0" w:rsidP="006A67BA">
            <w:pPr>
              <w:spacing w:before="40" w:after="40"/>
              <w:rPr>
                <w:color w:val="000000"/>
                <w:sz w:val="18"/>
              </w:rPr>
            </w:pPr>
            <w:r w:rsidRPr="00B964BF">
              <w:rPr>
                <w:color w:val="000000"/>
                <w:sz w:val="18"/>
              </w:rPr>
              <w:t>Hospitality</w:t>
            </w:r>
          </w:p>
        </w:tc>
        <w:tc>
          <w:tcPr>
            <w:tcW w:w="683" w:type="pct"/>
            <w:tcBorders>
              <w:top w:val="nil"/>
              <w:left w:val="nil"/>
              <w:bottom w:val="single" w:sz="8" w:space="0" w:color="auto"/>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25 000</w:t>
            </w:r>
          </w:p>
        </w:tc>
        <w:tc>
          <w:tcPr>
            <w:tcW w:w="581" w:type="pct"/>
            <w:tcBorders>
              <w:top w:val="nil"/>
              <w:left w:val="nil"/>
              <w:bottom w:val="single" w:sz="8" w:space="0" w:color="auto"/>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25 000</w:t>
            </w:r>
          </w:p>
        </w:tc>
        <w:tc>
          <w:tcPr>
            <w:tcW w:w="701" w:type="pct"/>
            <w:tcBorders>
              <w:top w:val="nil"/>
              <w:left w:val="nil"/>
              <w:bottom w:val="single" w:sz="8" w:space="0" w:color="auto"/>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25 000</w:t>
            </w:r>
          </w:p>
        </w:tc>
      </w:tr>
      <w:tr w:rsidR="00DB73D0" w:rsidRPr="00B964BF" w:rsidTr="00715700">
        <w:trPr>
          <w:trHeight w:val="48"/>
          <w:jc w:val="right"/>
        </w:trPr>
        <w:tc>
          <w:tcPr>
            <w:tcW w:w="3035" w:type="pct"/>
            <w:gridSpan w:val="2"/>
            <w:tcBorders>
              <w:top w:val="single" w:sz="8" w:space="0" w:color="auto"/>
              <w:left w:val="nil"/>
              <w:bottom w:val="single" w:sz="4" w:space="0" w:color="auto"/>
              <w:right w:val="nil"/>
            </w:tcBorders>
          </w:tcPr>
          <w:p w:rsidR="00DB73D0" w:rsidRPr="00B964BF" w:rsidRDefault="00DB73D0" w:rsidP="006A67BA">
            <w:pPr>
              <w:spacing w:before="20" w:after="20"/>
              <w:rPr>
                <w:b/>
                <w:color w:val="000000"/>
                <w:sz w:val="18"/>
              </w:rPr>
            </w:pPr>
            <w:r w:rsidRPr="00B964BF">
              <w:rPr>
                <w:b/>
                <w:color w:val="000000"/>
                <w:sz w:val="18"/>
              </w:rPr>
              <w:t>Subtotal</w:t>
            </w:r>
            <w:r>
              <w:rPr>
                <w:b/>
                <w:color w:val="000000"/>
                <w:sz w:val="18"/>
              </w:rPr>
              <w:t>,</w:t>
            </w:r>
            <w:r w:rsidRPr="00B964BF">
              <w:rPr>
                <w:b/>
                <w:color w:val="000000"/>
                <w:sz w:val="18"/>
              </w:rPr>
              <w:t xml:space="preserve"> meeting </w:t>
            </w:r>
            <w:r w:rsidRPr="00435E3D">
              <w:rPr>
                <w:b/>
                <w:color w:val="000000"/>
                <w:sz w:val="18"/>
                <w:lang w:val="fr-FR"/>
              </w:rPr>
              <w:t>costs</w:t>
            </w:r>
          </w:p>
        </w:tc>
        <w:tc>
          <w:tcPr>
            <w:tcW w:w="683" w:type="pct"/>
            <w:tcBorders>
              <w:top w:val="single" w:sz="8" w:space="0" w:color="auto"/>
              <w:left w:val="nil"/>
              <w:bottom w:val="single" w:sz="4" w:space="0" w:color="auto"/>
              <w:right w:val="nil"/>
            </w:tcBorders>
            <w:shd w:val="clear" w:color="auto" w:fill="auto"/>
            <w:noWrap/>
          </w:tcPr>
          <w:p w:rsidR="00DB73D0" w:rsidRPr="00C82F83" w:rsidRDefault="00DB73D0" w:rsidP="006A67BA">
            <w:pPr>
              <w:spacing w:before="40" w:after="40"/>
              <w:jc w:val="right"/>
              <w:rPr>
                <w:b/>
                <w:color w:val="000000"/>
                <w:sz w:val="18"/>
              </w:rPr>
            </w:pPr>
            <w:r w:rsidRPr="00C82F83">
              <w:rPr>
                <w:b/>
                <w:color w:val="000000"/>
                <w:sz w:val="18"/>
              </w:rPr>
              <w:t xml:space="preserve">1 206 000 </w:t>
            </w:r>
          </w:p>
        </w:tc>
        <w:tc>
          <w:tcPr>
            <w:tcW w:w="581" w:type="pct"/>
            <w:tcBorders>
              <w:top w:val="single" w:sz="8" w:space="0" w:color="auto"/>
              <w:left w:val="nil"/>
              <w:bottom w:val="single" w:sz="4" w:space="0" w:color="auto"/>
              <w:right w:val="nil"/>
            </w:tcBorders>
            <w:shd w:val="clear" w:color="auto" w:fill="auto"/>
            <w:noWrap/>
          </w:tcPr>
          <w:p w:rsidR="00DB73D0" w:rsidRPr="00C82F83" w:rsidRDefault="00DB73D0" w:rsidP="006A67BA">
            <w:pPr>
              <w:spacing w:before="40" w:after="40"/>
              <w:jc w:val="right"/>
              <w:rPr>
                <w:b/>
                <w:color w:val="000000"/>
                <w:sz w:val="18"/>
              </w:rPr>
            </w:pPr>
            <w:r w:rsidRPr="00C82F83">
              <w:rPr>
                <w:b/>
                <w:color w:val="000000"/>
                <w:sz w:val="18"/>
              </w:rPr>
              <w:t>1 621</w:t>
            </w:r>
            <w:r>
              <w:rPr>
                <w:b/>
                <w:color w:val="000000"/>
                <w:sz w:val="18"/>
              </w:rPr>
              <w:t xml:space="preserve"> </w:t>
            </w:r>
            <w:r w:rsidRPr="00C82F83">
              <w:rPr>
                <w:b/>
                <w:color w:val="000000"/>
                <w:sz w:val="18"/>
              </w:rPr>
              <w:t xml:space="preserve">000 </w:t>
            </w:r>
          </w:p>
        </w:tc>
        <w:tc>
          <w:tcPr>
            <w:tcW w:w="701" w:type="pct"/>
            <w:tcBorders>
              <w:top w:val="single" w:sz="8" w:space="0" w:color="auto"/>
              <w:left w:val="nil"/>
              <w:bottom w:val="single" w:sz="4" w:space="0" w:color="auto"/>
              <w:right w:val="nil"/>
            </w:tcBorders>
            <w:shd w:val="clear" w:color="auto" w:fill="auto"/>
            <w:noWrap/>
          </w:tcPr>
          <w:p w:rsidR="00DB73D0" w:rsidRPr="00C82F83" w:rsidRDefault="00DB73D0" w:rsidP="006A67BA">
            <w:pPr>
              <w:spacing w:before="40" w:after="40"/>
              <w:jc w:val="right"/>
              <w:rPr>
                <w:b/>
                <w:color w:val="000000"/>
                <w:sz w:val="18"/>
              </w:rPr>
            </w:pPr>
            <w:r w:rsidRPr="00C82F83">
              <w:rPr>
                <w:b/>
                <w:color w:val="000000"/>
                <w:sz w:val="18"/>
              </w:rPr>
              <w:t xml:space="preserve">1 633 000 </w:t>
            </w:r>
          </w:p>
        </w:tc>
      </w:tr>
      <w:tr w:rsidR="00DB73D0" w:rsidRPr="006F1F86" w:rsidTr="00715700">
        <w:trPr>
          <w:trHeight w:val="48"/>
          <w:jc w:val="right"/>
        </w:trPr>
        <w:tc>
          <w:tcPr>
            <w:tcW w:w="595" w:type="pct"/>
            <w:tcBorders>
              <w:top w:val="single" w:sz="4" w:space="0" w:color="auto"/>
              <w:left w:val="nil"/>
              <w:bottom w:val="single" w:sz="4" w:space="0" w:color="auto"/>
              <w:right w:val="nil"/>
            </w:tcBorders>
          </w:tcPr>
          <w:p w:rsidR="00DB73D0" w:rsidRPr="00B964BF" w:rsidRDefault="00DB73D0" w:rsidP="006A67BA">
            <w:pPr>
              <w:spacing w:before="40" w:after="40"/>
              <w:jc w:val="right"/>
              <w:rPr>
                <w:b/>
                <w:color w:val="000000"/>
                <w:sz w:val="18"/>
              </w:rPr>
            </w:pPr>
            <w:r w:rsidRPr="00B964BF">
              <w:rPr>
                <w:b/>
                <w:color w:val="000000"/>
                <w:sz w:val="18"/>
              </w:rPr>
              <w:t>3300</w:t>
            </w:r>
          </w:p>
        </w:tc>
        <w:tc>
          <w:tcPr>
            <w:tcW w:w="4405" w:type="pct"/>
            <w:gridSpan w:val="4"/>
            <w:tcBorders>
              <w:top w:val="single" w:sz="4" w:space="0" w:color="auto"/>
              <w:left w:val="nil"/>
              <w:bottom w:val="single" w:sz="4" w:space="0" w:color="auto"/>
              <w:right w:val="nil"/>
            </w:tcBorders>
            <w:shd w:val="clear" w:color="auto" w:fill="auto"/>
            <w:noWrap/>
          </w:tcPr>
          <w:p w:rsidR="00DB73D0" w:rsidRPr="00B964BF" w:rsidRDefault="00DB73D0" w:rsidP="006A67BA">
            <w:pPr>
              <w:spacing w:before="40" w:after="40"/>
              <w:rPr>
                <w:b/>
                <w:color w:val="000000"/>
                <w:sz w:val="18"/>
              </w:rPr>
            </w:pPr>
            <w:r w:rsidRPr="00B964BF">
              <w:rPr>
                <w:b/>
                <w:color w:val="000000"/>
                <w:sz w:val="18"/>
              </w:rPr>
              <w:t>Travel of Article 5 parties and experts</w:t>
            </w:r>
          </w:p>
        </w:tc>
      </w:tr>
      <w:tr w:rsidR="00DB73D0" w:rsidRPr="00B964BF" w:rsidTr="00715700">
        <w:trPr>
          <w:trHeight w:val="48"/>
          <w:jc w:val="right"/>
        </w:trPr>
        <w:tc>
          <w:tcPr>
            <w:tcW w:w="595" w:type="pct"/>
            <w:tcBorders>
              <w:top w:val="single" w:sz="4" w:space="0" w:color="auto"/>
              <w:left w:val="nil"/>
              <w:bottom w:val="nil"/>
              <w:right w:val="nil"/>
            </w:tcBorders>
          </w:tcPr>
          <w:p w:rsidR="00DB73D0" w:rsidRPr="00B964BF" w:rsidRDefault="00DB73D0" w:rsidP="006A67BA">
            <w:pPr>
              <w:spacing w:before="40" w:after="40"/>
              <w:jc w:val="right"/>
              <w:rPr>
                <w:color w:val="000000"/>
                <w:sz w:val="18"/>
              </w:rPr>
            </w:pPr>
            <w:r w:rsidRPr="00B964BF">
              <w:rPr>
                <w:color w:val="000000"/>
                <w:sz w:val="18"/>
              </w:rPr>
              <w:t>3301</w:t>
            </w:r>
          </w:p>
        </w:tc>
        <w:tc>
          <w:tcPr>
            <w:tcW w:w="2440" w:type="pct"/>
            <w:tcBorders>
              <w:top w:val="single" w:sz="4" w:space="0" w:color="auto"/>
              <w:left w:val="nil"/>
              <w:bottom w:val="nil"/>
              <w:right w:val="nil"/>
            </w:tcBorders>
            <w:shd w:val="clear" w:color="auto" w:fill="auto"/>
            <w:noWrap/>
          </w:tcPr>
          <w:p w:rsidR="00DB73D0" w:rsidRPr="00B964BF" w:rsidRDefault="00DB73D0" w:rsidP="006A67BA">
            <w:pPr>
              <w:spacing w:before="40" w:after="40"/>
              <w:rPr>
                <w:color w:val="000000"/>
                <w:sz w:val="18"/>
              </w:rPr>
            </w:pPr>
            <w:r w:rsidRPr="00B964BF">
              <w:rPr>
                <w:color w:val="000000"/>
                <w:sz w:val="18"/>
              </w:rPr>
              <w:t>Travel of Article 5 parties: assessment panel meetings</w:t>
            </w:r>
          </w:p>
        </w:tc>
        <w:tc>
          <w:tcPr>
            <w:tcW w:w="683" w:type="pct"/>
            <w:tcBorders>
              <w:top w:val="single" w:sz="4" w:space="0" w:color="auto"/>
              <w:left w:val="nil"/>
              <w:bottom w:val="nil"/>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400 000 </w:t>
            </w:r>
          </w:p>
        </w:tc>
        <w:tc>
          <w:tcPr>
            <w:tcW w:w="581" w:type="pct"/>
            <w:tcBorders>
              <w:top w:val="single" w:sz="4" w:space="0" w:color="auto"/>
              <w:left w:val="nil"/>
              <w:bottom w:val="nil"/>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400 000 </w:t>
            </w:r>
          </w:p>
        </w:tc>
        <w:tc>
          <w:tcPr>
            <w:tcW w:w="701" w:type="pct"/>
            <w:tcBorders>
              <w:top w:val="single" w:sz="4" w:space="0" w:color="auto"/>
              <w:left w:val="nil"/>
              <w:bottom w:val="nil"/>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400 000 </w:t>
            </w:r>
          </w:p>
        </w:tc>
      </w:tr>
      <w:tr w:rsidR="00DB73D0" w:rsidRPr="00B964BF" w:rsidTr="00715700">
        <w:trPr>
          <w:trHeight w:val="48"/>
          <w:jc w:val="right"/>
        </w:trPr>
        <w:tc>
          <w:tcPr>
            <w:tcW w:w="595" w:type="pct"/>
            <w:tcBorders>
              <w:top w:val="nil"/>
              <w:left w:val="nil"/>
              <w:bottom w:val="nil"/>
              <w:right w:val="nil"/>
            </w:tcBorders>
          </w:tcPr>
          <w:p w:rsidR="00DB73D0" w:rsidRPr="00B964BF" w:rsidRDefault="00DB73D0" w:rsidP="006A67BA">
            <w:pPr>
              <w:spacing w:before="40" w:after="40"/>
              <w:jc w:val="right"/>
              <w:rPr>
                <w:color w:val="000000"/>
                <w:sz w:val="18"/>
              </w:rPr>
            </w:pPr>
            <w:r w:rsidRPr="00B964BF">
              <w:rPr>
                <w:color w:val="000000"/>
                <w:sz w:val="18"/>
              </w:rPr>
              <w:t>3302</w:t>
            </w:r>
          </w:p>
        </w:tc>
        <w:tc>
          <w:tcPr>
            <w:tcW w:w="2440" w:type="pct"/>
            <w:tcBorders>
              <w:top w:val="nil"/>
              <w:left w:val="nil"/>
              <w:bottom w:val="nil"/>
              <w:right w:val="nil"/>
            </w:tcBorders>
            <w:shd w:val="clear" w:color="auto" w:fill="auto"/>
            <w:noWrap/>
          </w:tcPr>
          <w:p w:rsidR="00DB73D0" w:rsidRPr="00B964BF" w:rsidRDefault="00DB73D0" w:rsidP="006A67BA">
            <w:pPr>
              <w:spacing w:before="40" w:after="40"/>
              <w:rPr>
                <w:color w:val="000000"/>
                <w:sz w:val="18"/>
              </w:rPr>
            </w:pPr>
            <w:r w:rsidRPr="00B964BF">
              <w:rPr>
                <w:color w:val="000000"/>
                <w:sz w:val="18"/>
              </w:rPr>
              <w:t>Travel of Article 5 parties: preparatory meetings and meetings of the parties</w:t>
            </w:r>
          </w:p>
        </w:tc>
        <w:tc>
          <w:tcPr>
            <w:tcW w:w="683" w:type="pct"/>
            <w:tcBorders>
              <w:top w:val="nil"/>
              <w:left w:val="nil"/>
              <w:bottom w:val="nil"/>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375 000 </w:t>
            </w:r>
          </w:p>
        </w:tc>
        <w:tc>
          <w:tcPr>
            <w:tcW w:w="581" w:type="pct"/>
            <w:tcBorders>
              <w:top w:val="nil"/>
              <w:left w:val="nil"/>
              <w:bottom w:val="nil"/>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375 000 </w:t>
            </w:r>
          </w:p>
        </w:tc>
        <w:tc>
          <w:tcPr>
            <w:tcW w:w="701" w:type="pct"/>
            <w:tcBorders>
              <w:top w:val="nil"/>
              <w:left w:val="nil"/>
              <w:bottom w:val="nil"/>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375 000 </w:t>
            </w:r>
          </w:p>
        </w:tc>
      </w:tr>
      <w:tr w:rsidR="00DB73D0" w:rsidRPr="00B964BF" w:rsidTr="00715700">
        <w:trPr>
          <w:trHeight w:val="48"/>
          <w:jc w:val="right"/>
        </w:trPr>
        <w:tc>
          <w:tcPr>
            <w:tcW w:w="595" w:type="pct"/>
            <w:tcBorders>
              <w:top w:val="nil"/>
              <w:left w:val="nil"/>
              <w:bottom w:val="nil"/>
              <w:right w:val="nil"/>
            </w:tcBorders>
          </w:tcPr>
          <w:p w:rsidR="00DB73D0" w:rsidRPr="00B964BF" w:rsidRDefault="00DB73D0" w:rsidP="006A67BA">
            <w:pPr>
              <w:spacing w:before="40" w:after="40"/>
              <w:jc w:val="right"/>
              <w:rPr>
                <w:color w:val="000000"/>
                <w:sz w:val="18"/>
              </w:rPr>
            </w:pPr>
            <w:r w:rsidRPr="00B964BF">
              <w:rPr>
                <w:color w:val="000000"/>
                <w:sz w:val="18"/>
              </w:rPr>
              <w:t>3303</w:t>
            </w:r>
          </w:p>
        </w:tc>
        <w:tc>
          <w:tcPr>
            <w:tcW w:w="2440" w:type="pct"/>
            <w:tcBorders>
              <w:top w:val="nil"/>
              <w:left w:val="nil"/>
              <w:bottom w:val="nil"/>
              <w:right w:val="nil"/>
            </w:tcBorders>
            <w:shd w:val="clear" w:color="auto" w:fill="auto"/>
            <w:noWrap/>
          </w:tcPr>
          <w:p w:rsidR="00DB73D0" w:rsidRPr="00B964BF" w:rsidRDefault="00DB73D0" w:rsidP="006A67BA">
            <w:pPr>
              <w:spacing w:before="40" w:after="40"/>
              <w:rPr>
                <w:color w:val="000000"/>
                <w:sz w:val="18"/>
              </w:rPr>
            </w:pPr>
            <w:r w:rsidRPr="00B964BF">
              <w:rPr>
                <w:color w:val="000000"/>
                <w:sz w:val="18"/>
              </w:rPr>
              <w:t>Travel of Article 5 parties: Open-ended Working Group meetings</w:t>
            </w:r>
          </w:p>
        </w:tc>
        <w:tc>
          <w:tcPr>
            <w:tcW w:w="683" w:type="pct"/>
            <w:tcBorders>
              <w:top w:val="nil"/>
              <w:left w:val="nil"/>
              <w:bottom w:val="nil"/>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325 000 </w:t>
            </w:r>
          </w:p>
        </w:tc>
        <w:tc>
          <w:tcPr>
            <w:tcW w:w="581" w:type="pct"/>
            <w:tcBorders>
              <w:top w:val="nil"/>
              <w:left w:val="nil"/>
              <w:bottom w:val="nil"/>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325 000 </w:t>
            </w:r>
          </w:p>
        </w:tc>
        <w:tc>
          <w:tcPr>
            <w:tcW w:w="701" w:type="pct"/>
            <w:tcBorders>
              <w:top w:val="nil"/>
              <w:left w:val="nil"/>
              <w:bottom w:val="nil"/>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325 000 </w:t>
            </w:r>
          </w:p>
        </w:tc>
      </w:tr>
      <w:tr w:rsidR="00DB73D0" w:rsidRPr="00B964BF" w:rsidTr="00715700">
        <w:trPr>
          <w:trHeight w:val="48"/>
          <w:jc w:val="right"/>
        </w:trPr>
        <w:tc>
          <w:tcPr>
            <w:tcW w:w="595" w:type="pct"/>
            <w:tcBorders>
              <w:top w:val="nil"/>
              <w:left w:val="nil"/>
              <w:bottom w:val="nil"/>
              <w:right w:val="nil"/>
            </w:tcBorders>
          </w:tcPr>
          <w:p w:rsidR="00DB73D0" w:rsidRPr="00B964BF" w:rsidRDefault="00DB73D0" w:rsidP="006A67BA">
            <w:pPr>
              <w:spacing w:before="40" w:after="40"/>
              <w:jc w:val="right"/>
              <w:rPr>
                <w:color w:val="000000"/>
                <w:sz w:val="18"/>
              </w:rPr>
            </w:pPr>
            <w:r w:rsidRPr="00B964BF">
              <w:rPr>
                <w:color w:val="000000"/>
                <w:sz w:val="18"/>
              </w:rPr>
              <w:t>3304</w:t>
            </w:r>
          </w:p>
        </w:tc>
        <w:tc>
          <w:tcPr>
            <w:tcW w:w="2440" w:type="pct"/>
            <w:tcBorders>
              <w:top w:val="nil"/>
              <w:left w:val="nil"/>
              <w:bottom w:val="nil"/>
              <w:right w:val="nil"/>
            </w:tcBorders>
            <w:shd w:val="clear" w:color="auto" w:fill="auto"/>
            <w:noWrap/>
          </w:tcPr>
          <w:p w:rsidR="00DB73D0" w:rsidRPr="00B964BF" w:rsidRDefault="00DB73D0" w:rsidP="006A67BA">
            <w:pPr>
              <w:spacing w:before="40" w:after="40"/>
              <w:rPr>
                <w:color w:val="000000"/>
                <w:sz w:val="18"/>
              </w:rPr>
            </w:pPr>
            <w:r w:rsidRPr="00B964BF">
              <w:rPr>
                <w:color w:val="000000"/>
                <w:sz w:val="18"/>
              </w:rPr>
              <w:t>Travel of Article 5 parties: Bureau meetings</w:t>
            </w:r>
          </w:p>
        </w:tc>
        <w:tc>
          <w:tcPr>
            <w:tcW w:w="683" w:type="pct"/>
            <w:tcBorders>
              <w:top w:val="nil"/>
              <w:left w:val="nil"/>
              <w:bottom w:val="nil"/>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 20 000 </w:t>
            </w:r>
          </w:p>
        </w:tc>
        <w:tc>
          <w:tcPr>
            <w:tcW w:w="581" w:type="pct"/>
            <w:tcBorders>
              <w:top w:val="nil"/>
              <w:left w:val="nil"/>
              <w:bottom w:val="nil"/>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20 000 </w:t>
            </w:r>
          </w:p>
        </w:tc>
        <w:tc>
          <w:tcPr>
            <w:tcW w:w="701" w:type="pct"/>
            <w:tcBorders>
              <w:top w:val="nil"/>
              <w:left w:val="nil"/>
              <w:bottom w:val="nil"/>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20 000 </w:t>
            </w:r>
          </w:p>
        </w:tc>
      </w:tr>
      <w:tr w:rsidR="00DB73D0" w:rsidRPr="00B964BF" w:rsidTr="00715700">
        <w:trPr>
          <w:trHeight w:val="48"/>
          <w:jc w:val="right"/>
        </w:trPr>
        <w:tc>
          <w:tcPr>
            <w:tcW w:w="595" w:type="pct"/>
            <w:tcBorders>
              <w:top w:val="nil"/>
              <w:left w:val="nil"/>
              <w:bottom w:val="nil"/>
              <w:right w:val="nil"/>
            </w:tcBorders>
          </w:tcPr>
          <w:p w:rsidR="00DB73D0" w:rsidRPr="00B964BF" w:rsidRDefault="00DB73D0" w:rsidP="006A67BA">
            <w:pPr>
              <w:spacing w:before="40" w:after="40"/>
              <w:jc w:val="right"/>
              <w:rPr>
                <w:color w:val="000000"/>
                <w:sz w:val="18"/>
              </w:rPr>
            </w:pPr>
            <w:r w:rsidRPr="00B964BF">
              <w:rPr>
                <w:color w:val="000000"/>
                <w:sz w:val="18"/>
              </w:rPr>
              <w:t>3305</w:t>
            </w:r>
          </w:p>
        </w:tc>
        <w:tc>
          <w:tcPr>
            <w:tcW w:w="2440" w:type="pct"/>
            <w:tcBorders>
              <w:top w:val="nil"/>
              <w:left w:val="nil"/>
              <w:bottom w:val="nil"/>
              <w:right w:val="nil"/>
            </w:tcBorders>
            <w:shd w:val="clear" w:color="auto" w:fill="auto"/>
            <w:noWrap/>
          </w:tcPr>
          <w:p w:rsidR="00DB73D0" w:rsidRPr="00B964BF" w:rsidRDefault="00DB73D0" w:rsidP="006A67BA">
            <w:pPr>
              <w:spacing w:before="40" w:after="40"/>
              <w:rPr>
                <w:color w:val="000000"/>
                <w:sz w:val="18"/>
              </w:rPr>
            </w:pPr>
            <w:r w:rsidRPr="00B964BF">
              <w:rPr>
                <w:color w:val="000000"/>
                <w:sz w:val="18"/>
              </w:rPr>
              <w:t>Travel of Article 5 parties: Implementation Committee meetings</w:t>
            </w:r>
          </w:p>
        </w:tc>
        <w:tc>
          <w:tcPr>
            <w:tcW w:w="683" w:type="pct"/>
            <w:tcBorders>
              <w:top w:val="nil"/>
              <w:left w:val="nil"/>
              <w:bottom w:val="nil"/>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125 000 </w:t>
            </w:r>
          </w:p>
        </w:tc>
        <w:tc>
          <w:tcPr>
            <w:tcW w:w="581" w:type="pct"/>
            <w:tcBorders>
              <w:top w:val="nil"/>
              <w:left w:val="nil"/>
              <w:bottom w:val="nil"/>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125 000 </w:t>
            </w:r>
          </w:p>
        </w:tc>
        <w:tc>
          <w:tcPr>
            <w:tcW w:w="701" w:type="pct"/>
            <w:tcBorders>
              <w:top w:val="nil"/>
              <w:left w:val="nil"/>
              <w:bottom w:val="nil"/>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125 000 </w:t>
            </w:r>
          </w:p>
        </w:tc>
      </w:tr>
      <w:tr w:rsidR="00DB73D0" w:rsidRPr="00B964BF" w:rsidTr="00715700">
        <w:trPr>
          <w:trHeight w:val="48"/>
          <w:jc w:val="right"/>
        </w:trPr>
        <w:tc>
          <w:tcPr>
            <w:tcW w:w="595" w:type="pct"/>
            <w:tcBorders>
              <w:top w:val="nil"/>
              <w:left w:val="nil"/>
              <w:bottom w:val="single" w:sz="8" w:space="0" w:color="auto"/>
              <w:right w:val="nil"/>
            </w:tcBorders>
          </w:tcPr>
          <w:p w:rsidR="00DB73D0" w:rsidRPr="00B964BF" w:rsidRDefault="00DB73D0" w:rsidP="006A67BA">
            <w:pPr>
              <w:spacing w:before="40" w:after="40"/>
              <w:jc w:val="right"/>
              <w:rPr>
                <w:color w:val="000000"/>
                <w:sz w:val="18"/>
              </w:rPr>
            </w:pPr>
            <w:r w:rsidRPr="00B964BF">
              <w:rPr>
                <w:color w:val="000000"/>
                <w:sz w:val="18"/>
              </w:rPr>
              <w:t>3306</w:t>
            </w:r>
          </w:p>
        </w:tc>
        <w:tc>
          <w:tcPr>
            <w:tcW w:w="2440" w:type="pct"/>
            <w:tcBorders>
              <w:top w:val="nil"/>
              <w:left w:val="nil"/>
              <w:bottom w:val="single" w:sz="8" w:space="0" w:color="auto"/>
              <w:right w:val="nil"/>
            </w:tcBorders>
            <w:shd w:val="clear" w:color="auto" w:fill="auto"/>
            <w:noWrap/>
          </w:tcPr>
          <w:p w:rsidR="00DB73D0" w:rsidRPr="00B964BF" w:rsidRDefault="00DB73D0" w:rsidP="006A67BA">
            <w:pPr>
              <w:spacing w:before="40" w:after="40"/>
              <w:rPr>
                <w:color w:val="000000"/>
                <w:sz w:val="18"/>
              </w:rPr>
            </w:pPr>
            <w:r w:rsidRPr="00B964BF">
              <w:rPr>
                <w:color w:val="000000"/>
                <w:sz w:val="18"/>
              </w:rPr>
              <w:t xml:space="preserve">Travel of Article 5 parties: informal meeting consultations </w:t>
            </w:r>
          </w:p>
        </w:tc>
        <w:tc>
          <w:tcPr>
            <w:tcW w:w="683" w:type="pct"/>
            <w:tcBorders>
              <w:top w:val="nil"/>
              <w:left w:val="nil"/>
              <w:bottom w:val="single" w:sz="8" w:space="0" w:color="auto"/>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10 000 </w:t>
            </w:r>
          </w:p>
        </w:tc>
        <w:tc>
          <w:tcPr>
            <w:tcW w:w="581" w:type="pct"/>
            <w:tcBorders>
              <w:top w:val="nil"/>
              <w:left w:val="nil"/>
              <w:bottom w:val="single" w:sz="8" w:space="0" w:color="auto"/>
              <w:right w:val="nil"/>
            </w:tcBorders>
            <w:shd w:val="clear" w:color="auto" w:fill="auto"/>
            <w:noWrap/>
          </w:tcPr>
          <w:p w:rsidR="00DB73D0" w:rsidRPr="00B964BF" w:rsidRDefault="00DB73D0" w:rsidP="006A67BA">
            <w:pPr>
              <w:spacing w:before="40" w:after="40"/>
              <w:jc w:val="right"/>
              <w:rPr>
                <w:color w:val="000000"/>
                <w:sz w:val="18"/>
              </w:rPr>
            </w:pPr>
            <w:r>
              <w:rPr>
                <w:color w:val="000000"/>
                <w:sz w:val="18"/>
              </w:rPr>
              <w:t>0</w:t>
            </w:r>
            <w:r w:rsidRPr="00B964BF">
              <w:rPr>
                <w:color w:val="000000"/>
                <w:sz w:val="18"/>
              </w:rPr>
              <w:t xml:space="preserve"> </w:t>
            </w:r>
          </w:p>
        </w:tc>
        <w:tc>
          <w:tcPr>
            <w:tcW w:w="701" w:type="pct"/>
            <w:tcBorders>
              <w:top w:val="nil"/>
              <w:left w:val="nil"/>
              <w:bottom w:val="single" w:sz="8" w:space="0" w:color="auto"/>
              <w:right w:val="nil"/>
            </w:tcBorders>
            <w:shd w:val="clear" w:color="auto" w:fill="auto"/>
            <w:noWrap/>
          </w:tcPr>
          <w:p w:rsidR="00DB73D0" w:rsidRPr="00B964BF" w:rsidRDefault="00DB73D0" w:rsidP="006A67BA">
            <w:pPr>
              <w:spacing w:before="40" w:after="40"/>
              <w:jc w:val="right"/>
              <w:rPr>
                <w:color w:val="000000"/>
                <w:sz w:val="18"/>
              </w:rPr>
            </w:pPr>
            <w:r>
              <w:rPr>
                <w:color w:val="000000"/>
                <w:sz w:val="18"/>
              </w:rPr>
              <w:t>0</w:t>
            </w:r>
            <w:r w:rsidRPr="00B964BF">
              <w:rPr>
                <w:color w:val="000000"/>
                <w:sz w:val="18"/>
              </w:rPr>
              <w:t xml:space="preserve">      </w:t>
            </w:r>
          </w:p>
        </w:tc>
      </w:tr>
      <w:tr w:rsidR="00DB73D0" w:rsidRPr="00B964BF" w:rsidTr="00715700">
        <w:trPr>
          <w:trHeight w:val="48"/>
          <w:jc w:val="right"/>
        </w:trPr>
        <w:tc>
          <w:tcPr>
            <w:tcW w:w="3035" w:type="pct"/>
            <w:gridSpan w:val="2"/>
            <w:tcBorders>
              <w:top w:val="single" w:sz="8" w:space="0" w:color="auto"/>
              <w:left w:val="nil"/>
              <w:bottom w:val="single" w:sz="4" w:space="0" w:color="auto"/>
              <w:right w:val="nil"/>
            </w:tcBorders>
          </w:tcPr>
          <w:p w:rsidR="00DB73D0" w:rsidRPr="00B964BF" w:rsidRDefault="00DB73D0" w:rsidP="006A67BA">
            <w:pPr>
              <w:spacing w:before="20" w:after="20"/>
              <w:rPr>
                <w:b/>
                <w:color w:val="000000"/>
                <w:sz w:val="18"/>
              </w:rPr>
            </w:pPr>
            <w:r w:rsidRPr="00B964BF">
              <w:rPr>
                <w:b/>
                <w:color w:val="000000"/>
                <w:sz w:val="18"/>
              </w:rPr>
              <w:t>Subtotal</w:t>
            </w:r>
            <w:r>
              <w:rPr>
                <w:b/>
                <w:color w:val="000000"/>
                <w:sz w:val="18"/>
              </w:rPr>
              <w:t>, t</w:t>
            </w:r>
            <w:r w:rsidRPr="00B964BF">
              <w:rPr>
                <w:b/>
                <w:color w:val="000000"/>
                <w:sz w:val="18"/>
              </w:rPr>
              <w:t>ravel of Article 5 parties and experts</w:t>
            </w:r>
          </w:p>
        </w:tc>
        <w:tc>
          <w:tcPr>
            <w:tcW w:w="683" w:type="pct"/>
            <w:tcBorders>
              <w:top w:val="single" w:sz="8" w:space="0" w:color="auto"/>
              <w:left w:val="nil"/>
              <w:bottom w:val="single" w:sz="4" w:space="0" w:color="auto"/>
              <w:right w:val="nil"/>
            </w:tcBorders>
            <w:shd w:val="clear" w:color="auto" w:fill="auto"/>
            <w:noWrap/>
          </w:tcPr>
          <w:p w:rsidR="00DB73D0" w:rsidRPr="00B964BF" w:rsidRDefault="00DB73D0" w:rsidP="006A67BA">
            <w:pPr>
              <w:spacing w:before="40" w:after="40"/>
              <w:jc w:val="right"/>
              <w:rPr>
                <w:b/>
                <w:color w:val="000000"/>
                <w:sz w:val="18"/>
              </w:rPr>
            </w:pPr>
            <w:r w:rsidRPr="00B964BF">
              <w:rPr>
                <w:b/>
                <w:color w:val="000000"/>
                <w:sz w:val="18"/>
              </w:rPr>
              <w:t xml:space="preserve">1 255 000 </w:t>
            </w:r>
          </w:p>
        </w:tc>
        <w:tc>
          <w:tcPr>
            <w:tcW w:w="581" w:type="pct"/>
            <w:tcBorders>
              <w:top w:val="single" w:sz="8" w:space="0" w:color="auto"/>
              <w:left w:val="nil"/>
              <w:bottom w:val="single" w:sz="4" w:space="0" w:color="auto"/>
              <w:right w:val="nil"/>
            </w:tcBorders>
            <w:shd w:val="clear" w:color="auto" w:fill="auto"/>
            <w:noWrap/>
          </w:tcPr>
          <w:p w:rsidR="00DB73D0" w:rsidRPr="00C82F83" w:rsidRDefault="00DB73D0" w:rsidP="006A67BA">
            <w:pPr>
              <w:spacing w:before="40" w:after="40"/>
              <w:jc w:val="right"/>
              <w:rPr>
                <w:b/>
                <w:color w:val="000000"/>
                <w:sz w:val="18"/>
              </w:rPr>
            </w:pPr>
            <w:r w:rsidRPr="00C82F83">
              <w:rPr>
                <w:b/>
                <w:color w:val="000000"/>
                <w:sz w:val="18"/>
              </w:rPr>
              <w:t>1 245 000</w:t>
            </w:r>
          </w:p>
        </w:tc>
        <w:tc>
          <w:tcPr>
            <w:tcW w:w="701" w:type="pct"/>
            <w:tcBorders>
              <w:top w:val="single" w:sz="8" w:space="0" w:color="auto"/>
              <w:left w:val="nil"/>
              <w:bottom w:val="single" w:sz="4" w:space="0" w:color="auto"/>
              <w:right w:val="nil"/>
            </w:tcBorders>
            <w:shd w:val="clear" w:color="auto" w:fill="auto"/>
            <w:noWrap/>
          </w:tcPr>
          <w:p w:rsidR="00DB73D0" w:rsidRPr="00C82F83" w:rsidRDefault="00DB73D0" w:rsidP="006A67BA">
            <w:pPr>
              <w:spacing w:before="40" w:after="40"/>
              <w:jc w:val="right"/>
              <w:rPr>
                <w:b/>
                <w:color w:val="000000"/>
                <w:sz w:val="18"/>
              </w:rPr>
            </w:pPr>
            <w:r w:rsidRPr="00C82F83">
              <w:rPr>
                <w:b/>
                <w:color w:val="000000"/>
                <w:sz w:val="18"/>
              </w:rPr>
              <w:t xml:space="preserve">1 245 000 </w:t>
            </w:r>
          </w:p>
        </w:tc>
      </w:tr>
      <w:tr w:rsidR="00DB73D0" w:rsidRPr="00B964BF" w:rsidTr="00715700">
        <w:trPr>
          <w:trHeight w:val="48"/>
          <w:jc w:val="right"/>
        </w:trPr>
        <w:tc>
          <w:tcPr>
            <w:tcW w:w="595" w:type="pct"/>
            <w:tcBorders>
              <w:top w:val="single" w:sz="4" w:space="0" w:color="auto"/>
              <w:left w:val="nil"/>
              <w:bottom w:val="single" w:sz="4" w:space="0" w:color="auto"/>
              <w:right w:val="nil"/>
            </w:tcBorders>
          </w:tcPr>
          <w:p w:rsidR="00DB73D0" w:rsidRPr="00B964BF" w:rsidRDefault="00DB73D0" w:rsidP="006A67BA">
            <w:pPr>
              <w:spacing w:before="40" w:after="40"/>
              <w:jc w:val="right"/>
              <w:rPr>
                <w:b/>
                <w:color w:val="000000"/>
                <w:sz w:val="18"/>
              </w:rPr>
            </w:pPr>
            <w:r w:rsidRPr="00B964BF">
              <w:rPr>
                <w:b/>
                <w:color w:val="000000"/>
                <w:sz w:val="18"/>
              </w:rPr>
              <w:t>1600</w:t>
            </w:r>
          </w:p>
        </w:tc>
        <w:tc>
          <w:tcPr>
            <w:tcW w:w="4405" w:type="pct"/>
            <w:gridSpan w:val="4"/>
            <w:tcBorders>
              <w:top w:val="single" w:sz="4" w:space="0" w:color="auto"/>
              <w:left w:val="nil"/>
              <w:bottom w:val="single" w:sz="4" w:space="0" w:color="auto"/>
              <w:right w:val="nil"/>
            </w:tcBorders>
            <w:shd w:val="clear" w:color="auto" w:fill="auto"/>
            <w:noWrap/>
          </w:tcPr>
          <w:p w:rsidR="00DB73D0" w:rsidRPr="00B964BF" w:rsidRDefault="00DB73D0" w:rsidP="006A67BA">
            <w:pPr>
              <w:spacing w:before="40" w:after="40"/>
              <w:rPr>
                <w:b/>
                <w:color w:val="000000"/>
                <w:sz w:val="18"/>
              </w:rPr>
            </w:pPr>
            <w:r w:rsidRPr="00B964BF">
              <w:rPr>
                <w:b/>
                <w:color w:val="000000"/>
                <w:sz w:val="18"/>
              </w:rPr>
              <w:t>Travel on official business</w:t>
            </w:r>
          </w:p>
        </w:tc>
      </w:tr>
      <w:tr w:rsidR="00DB73D0" w:rsidRPr="00B964BF" w:rsidTr="00715700">
        <w:trPr>
          <w:trHeight w:val="48"/>
          <w:jc w:val="right"/>
        </w:trPr>
        <w:tc>
          <w:tcPr>
            <w:tcW w:w="595" w:type="pct"/>
            <w:tcBorders>
              <w:top w:val="single" w:sz="4" w:space="0" w:color="auto"/>
              <w:left w:val="nil"/>
              <w:bottom w:val="nil"/>
              <w:right w:val="nil"/>
            </w:tcBorders>
          </w:tcPr>
          <w:p w:rsidR="00DB73D0" w:rsidRPr="00B964BF" w:rsidRDefault="00DB73D0" w:rsidP="006A67BA">
            <w:pPr>
              <w:spacing w:before="40" w:after="40"/>
              <w:jc w:val="right"/>
              <w:rPr>
                <w:color w:val="000000"/>
                <w:sz w:val="18"/>
              </w:rPr>
            </w:pPr>
            <w:r w:rsidRPr="00B964BF">
              <w:rPr>
                <w:color w:val="000000"/>
                <w:sz w:val="18"/>
              </w:rPr>
              <w:t>1601</w:t>
            </w:r>
          </w:p>
        </w:tc>
        <w:tc>
          <w:tcPr>
            <w:tcW w:w="2440" w:type="pct"/>
            <w:tcBorders>
              <w:top w:val="single" w:sz="4" w:space="0" w:color="auto"/>
              <w:left w:val="nil"/>
              <w:bottom w:val="nil"/>
              <w:right w:val="nil"/>
            </w:tcBorders>
            <w:shd w:val="clear" w:color="auto" w:fill="auto"/>
            <w:noWrap/>
          </w:tcPr>
          <w:p w:rsidR="00DB73D0" w:rsidRPr="00B964BF" w:rsidRDefault="00DB73D0" w:rsidP="006A67BA">
            <w:pPr>
              <w:spacing w:before="40" w:after="40"/>
              <w:rPr>
                <w:color w:val="000000"/>
                <w:sz w:val="18"/>
              </w:rPr>
            </w:pPr>
            <w:r w:rsidRPr="00B964BF">
              <w:rPr>
                <w:color w:val="000000"/>
                <w:sz w:val="18"/>
              </w:rPr>
              <w:t>Staff travel on official business</w:t>
            </w:r>
          </w:p>
        </w:tc>
        <w:tc>
          <w:tcPr>
            <w:tcW w:w="683" w:type="pct"/>
            <w:tcBorders>
              <w:top w:val="single" w:sz="4" w:space="0" w:color="auto"/>
              <w:left w:val="nil"/>
              <w:bottom w:val="nil"/>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210 000 </w:t>
            </w:r>
          </w:p>
        </w:tc>
        <w:tc>
          <w:tcPr>
            <w:tcW w:w="581" w:type="pct"/>
            <w:tcBorders>
              <w:top w:val="single" w:sz="4" w:space="0" w:color="auto"/>
              <w:left w:val="nil"/>
              <w:bottom w:val="nil"/>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210 000 </w:t>
            </w:r>
          </w:p>
        </w:tc>
        <w:tc>
          <w:tcPr>
            <w:tcW w:w="701" w:type="pct"/>
            <w:tcBorders>
              <w:top w:val="single" w:sz="4" w:space="0" w:color="auto"/>
              <w:left w:val="nil"/>
              <w:bottom w:val="nil"/>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210 000 </w:t>
            </w:r>
          </w:p>
        </w:tc>
      </w:tr>
      <w:tr w:rsidR="00DB73D0" w:rsidRPr="00B964BF" w:rsidTr="00715700">
        <w:trPr>
          <w:trHeight w:val="48"/>
          <w:jc w:val="right"/>
        </w:trPr>
        <w:tc>
          <w:tcPr>
            <w:tcW w:w="595" w:type="pct"/>
            <w:tcBorders>
              <w:top w:val="nil"/>
              <w:left w:val="nil"/>
              <w:bottom w:val="single" w:sz="8" w:space="0" w:color="auto"/>
              <w:right w:val="nil"/>
            </w:tcBorders>
          </w:tcPr>
          <w:p w:rsidR="00DB73D0" w:rsidRPr="00B964BF" w:rsidRDefault="00DB73D0" w:rsidP="006A67BA">
            <w:pPr>
              <w:spacing w:before="40" w:after="40"/>
              <w:jc w:val="right"/>
              <w:rPr>
                <w:color w:val="000000"/>
                <w:sz w:val="18"/>
              </w:rPr>
            </w:pPr>
            <w:r w:rsidRPr="00B964BF">
              <w:rPr>
                <w:color w:val="000000"/>
                <w:sz w:val="18"/>
              </w:rPr>
              <w:t>1602</w:t>
            </w:r>
          </w:p>
        </w:tc>
        <w:tc>
          <w:tcPr>
            <w:tcW w:w="2440" w:type="pct"/>
            <w:tcBorders>
              <w:top w:val="nil"/>
              <w:left w:val="nil"/>
              <w:bottom w:val="single" w:sz="8" w:space="0" w:color="auto"/>
              <w:right w:val="nil"/>
            </w:tcBorders>
            <w:shd w:val="clear" w:color="auto" w:fill="auto"/>
            <w:noWrap/>
          </w:tcPr>
          <w:p w:rsidR="00DB73D0" w:rsidRPr="00B964BF" w:rsidRDefault="00DB73D0" w:rsidP="006A67BA">
            <w:pPr>
              <w:spacing w:before="40" w:after="40"/>
              <w:rPr>
                <w:color w:val="000000"/>
                <w:sz w:val="18"/>
              </w:rPr>
            </w:pPr>
            <w:r w:rsidRPr="00B964BF">
              <w:rPr>
                <w:color w:val="000000"/>
                <w:sz w:val="18"/>
              </w:rPr>
              <w:t>Conference Services staff travel on official business</w:t>
            </w:r>
          </w:p>
        </w:tc>
        <w:tc>
          <w:tcPr>
            <w:tcW w:w="683" w:type="pct"/>
            <w:tcBorders>
              <w:top w:val="nil"/>
              <w:left w:val="nil"/>
              <w:bottom w:val="single" w:sz="8" w:space="0" w:color="auto"/>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15 000 </w:t>
            </w:r>
          </w:p>
        </w:tc>
        <w:tc>
          <w:tcPr>
            <w:tcW w:w="581" w:type="pct"/>
            <w:tcBorders>
              <w:top w:val="nil"/>
              <w:left w:val="nil"/>
              <w:bottom w:val="single" w:sz="8" w:space="0" w:color="auto"/>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15 000 </w:t>
            </w:r>
          </w:p>
        </w:tc>
        <w:tc>
          <w:tcPr>
            <w:tcW w:w="701" w:type="pct"/>
            <w:tcBorders>
              <w:top w:val="nil"/>
              <w:left w:val="nil"/>
              <w:bottom w:val="single" w:sz="8" w:space="0" w:color="auto"/>
              <w:right w:val="nil"/>
            </w:tcBorders>
            <w:shd w:val="clear" w:color="auto" w:fill="auto"/>
            <w:noWrap/>
          </w:tcPr>
          <w:p w:rsidR="00DB73D0" w:rsidRPr="00B964BF" w:rsidRDefault="00DB73D0" w:rsidP="006A67BA">
            <w:pPr>
              <w:spacing w:before="40" w:after="40"/>
              <w:jc w:val="right"/>
              <w:rPr>
                <w:color w:val="000000"/>
                <w:sz w:val="18"/>
              </w:rPr>
            </w:pPr>
            <w:r w:rsidRPr="00B964BF">
              <w:rPr>
                <w:color w:val="000000"/>
                <w:sz w:val="18"/>
              </w:rPr>
              <w:t xml:space="preserve">15 000 </w:t>
            </w:r>
          </w:p>
        </w:tc>
      </w:tr>
      <w:tr w:rsidR="00DB73D0" w:rsidRPr="00B964BF" w:rsidTr="00715700">
        <w:trPr>
          <w:trHeight w:val="48"/>
          <w:jc w:val="right"/>
        </w:trPr>
        <w:tc>
          <w:tcPr>
            <w:tcW w:w="3035" w:type="pct"/>
            <w:gridSpan w:val="2"/>
            <w:tcBorders>
              <w:top w:val="single" w:sz="8" w:space="0" w:color="auto"/>
              <w:left w:val="nil"/>
              <w:bottom w:val="single" w:sz="4" w:space="0" w:color="auto"/>
              <w:right w:val="nil"/>
            </w:tcBorders>
          </w:tcPr>
          <w:p w:rsidR="00DB73D0" w:rsidRPr="00B964BF" w:rsidRDefault="00DB73D0" w:rsidP="006A67BA">
            <w:pPr>
              <w:spacing w:before="20" w:after="20"/>
              <w:rPr>
                <w:b/>
                <w:color w:val="000000"/>
                <w:sz w:val="18"/>
              </w:rPr>
            </w:pPr>
            <w:r w:rsidRPr="00B964BF">
              <w:rPr>
                <w:b/>
                <w:color w:val="000000"/>
                <w:sz w:val="18"/>
              </w:rPr>
              <w:t>Subtotal</w:t>
            </w:r>
            <w:r>
              <w:rPr>
                <w:b/>
                <w:color w:val="000000"/>
                <w:sz w:val="18"/>
              </w:rPr>
              <w:t>, t</w:t>
            </w:r>
            <w:r w:rsidRPr="00B964BF">
              <w:rPr>
                <w:b/>
                <w:color w:val="000000"/>
                <w:sz w:val="18"/>
              </w:rPr>
              <w:t>ravel on official business</w:t>
            </w:r>
          </w:p>
        </w:tc>
        <w:tc>
          <w:tcPr>
            <w:tcW w:w="683" w:type="pct"/>
            <w:tcBorders>
              <w:top w:val="single" w:sz="8" w:space="0" w:color="auto"/>
              <w:left w:val="nil"/>
              <w:bottom w:val="single" w:sz="4" w:space="0" w:color="auto"/>
              <w:right w:val="nil"/>
            </w:tcBorders>
            <w:shd w:val="clear" w:color="auto" w:fill="auto"/>
            <w:noWrap/>
          </w:tcPr>
          <w:p w:rsidR="00DB73D0" w:rsidRPr="00B964BF" w:rsidRDefault="00DB73D0" w:rsidP="006A67BA">
            <w:pPr>
              <w:spacing w:before="40" w:after="40"/>
              <w:jc w:val="right"/>
              <w:rPr>
                <w:b/>
                <w:color w:val="000000"/>
                <w:sz w:val="18"/>
              </w:rPr>
            </w:pPr>
            <w:r w:rsidRPr="00B964BF">
              <w:rPr>
                <w:b/>
                <w:color w:val="000000"/>
                <w:sz w:val="18"/>
              </w:rPr>
              <w:t xml:space="preserve">225 000 </w:t>
            </w:r>
          </w:p>
        </w:tc>
        <w:tc>
          <w:tcPr>
            <w:tcW w:w="581" w:type="pct"/>
            <w:tcBorders>
              <w:top w:val="single" w:sz="8" w:space="0" w:color="auto"/>
              <w:left w:val="nil"/>
              <w:bottom w:val="single" w:sz="4" w:space="0" w:color="auto"/>
              <w:right w:val="nil"/>
            </w:tcBorders>
            <w:shd w:val="clear" w:color="auto" w:fill="auto"/>
            <w:noWrap/>
          </w:tcPr>
          <w:p w:rsidR="00DB73D0" w:rsidRPr="00B964BF" w:rsidRDefault="00DB73D0" w:rsidP="006A67BA">
            <w:pPr>
              <w:spacing w:before="40" w:after="40"/>
              <w:jc w:val="right"/>
              <w:rPr>
                <w:b/>
                <w:color w:val="000000"/>
                <w:sz w:val="18"/>
              </w:rPr>
            </w:pPr>
            <w:r w:rsidRPr="00B964BF">
              <w:rPr>
                <w:b/>
                <w:color w:val="000000"/>
                <w:sz w:val="18"/>
              </w:rPr>
              <w:t xml:space="preserve">225 000 </w:t>
            </w:r>
          </w:p>
        </w:tc>
        <w:tc>
          <w:tcPr>
            <w:tcW w:w="701" w:type="pct"/>
            <w:tcBorders>
              <w:top w:val="single" w:sz="8" w:space="0" w:color="auto"/>
              <w:left w:val="nil"/>
              <w:bottom w:val="single" w:sz="4" w:space="0" w:color="auto"/>
              <w:right w:val="nil"/>
            </w:tcBorders>
            <w:shd w:val="clear" w:color="auto" w:fill="auto"/>
            <w:noWrap/>
          </w:tcPr>
          <w:p w:rsidR="00DB73D0" w:rsidRPr="00B964BF" w:rsidRDefault="00DB73D0" w:rsidP="006A67BA">
            <w:pPr>
              <w:spacing w:before="40" w:after="40"/>
              <w:jc w:val="right"/>
              <w:rPr>
                <w:b/>
                <w:color w:val="000000"/>
                <w:sz w:val="18"/>
              </w:rPr>
            </w:pPr>
            <w:r w:rsidRPr="00B964BF">
              <w:rPr>
                <w:b/>
                <w:color w:val="000000"/>
                <w:sz w:val="18"/>
              </w:rPr>
              <w:t xml:space="preserve">225 000 </w:t>
            </w:r>
          </w:p>
        </w:tc>
      </w:tr>
      <w:tr w:rsidR="00DB73D0" w:rsidRPr="006F1F86" w:rsidTr="00715700">
        <w:trPr>
          <w:trHeight w:val="48"/>
          <w:jc w:val="right"/>
        </w:trPr>
        <w:tc>
          <w:tcPr>
            <w:tcW w:w="595" w:type="pct"/>
            <w:tcBorders>
              <w:top w:val="single" w:sz="4" w:space="0" w:color="auto"/>
              <w:left w:val="nil"/>
              <w:bottom w:val="single" w:sz="4" w:space="0" w:color="auto"/>
              <w:right w:val="nil"/>
            </w:tcBorders>
          </w:tcPr>
          <w:p w:rsidR="00DB73D0" w:rsidRPr="00B964BF" w:rsidRDefault="00DB73D0" w:rsidP="006A67BA">
            <w:pPr>
              <w:spacing w:before="40" w:after="40"/>
              <w:jc w:val="right"/>
              <w:rPr>
                <w:b/>
                <w:color w:val="000000"/>
                <w:sz w:val="18"/>
              </w:rPr>
            </w:pPr>
            <w:r w:rsidRPr="00B964BF">
              <w:rPr>
                <w:b/>
                <w:sz w:val="18"/>
              </w:rPr>
              <w:t>4100-5300</w:t>
            </w:r>
          </w:p>
        </w:tc>
        <w:tc>
          <w:tcPr>
            <w:tcW w:w="4405" w:type="pct"/>
            <w:gridSpan w:val="4"/>
            <w:tcBorders>
              <w:top w:val="single" w:sz="4" w:space="0" w:color="auto"/>
              <w:left w:val="nil"/>
              <w:bottom w:val="single" w:sz="4" w:space="0" w:color="auto"/>
              <w:right w:val="nil"/>
            </w:tcBorders>
            <w:shd w:val="clear" w:color="auto" w:fill="auto"/>
            <w:noWrap/>
          </w:tcPr>
          <w:p w:rsidR="00DB73D0" w:rsidRPr="000E339A" w:rsidRDefault="00DB73D0" w:rsidP="006A67BA">
            <w:pPr>
              <w:spacing w:before="40" w:after="40"/>
              <w:rPr>
                <w:b/>
                <w:color w:val="000000"/>
                <w:sz w:val="18"/>
                <w:highlight w:val="lightGray"/>
              </w:rPr>
            </w:pPr>
            <w:r w:rsidRPr="00B964BF">
              <w:rPr>
                <w:b/>
                <w:color w:val="000000"/>
                <w:sz w:val="18"/>
              </w:rPr>
              <w:t xml:space="preserve">Other operating costs: supplies and consumables </w:t>
            </w:r>
          </w:p>
        </w:tc>
      </w:tr>
      <w:tr w:rsidR="00DB73D0" w:rsidRPr="00B964BF" w:rsidTr="00715700">
        <w:trPr>
          <w:trHeight w:val="48"/>
          <w:jc w:val="right"/>
        </w:trPr>
        <w:tc>
          <w:tcPr>
            <w:tcW w:w="595" w:type="pct"/>
            <w:tcBorders>
              <w:top w:val="single" w:sz="4" w:space="0" w:color="auto"/>
              <w:left w:val="nil"/>
              <w:bottom w:val="nil"/>
              <w:right w:val="nil"/>
            </w:tcBorders>
          </w:tcPr>
          <w:p w:rsidR="00DB73D0" w:rsidRPr="00B964BF" w:rsidRDefault="00DB73D0" w:rsidP="006A67BA">
            <w:pPr>
              <w:spacing w:before="40" w:after="40"/>
              <w:jc w:val="right"/>
              <w:rPr>
                <w:color w:val="000000"/>
                <w:sz w:val="18"/>
              </w:rPr>
            </w:pPr>
            <w:r w:rsidRPr="00B964BF">
              <w:rPr>
                <w:color w:val="000000"/>
                <w:sz w:val="18"/>
              </w:rPr>
              <w:t>4100</w:t>
            </w:r>
          </w:p>
        </w:tc>
        <w:tc>
          <w:tcPr>
            <w:tcW w:w="2440" w:type="pct"/>
            <w:tcBorders>
              <w:top w:val="single" w:sz="4" w:space="0" w:color="auto"/>
              <w:left w:val="nil"/>
              <w:bottom w:val="nil"/>
              <w:right w:val="nil"/>
            </w:tcBorders>
            <w:shd w:val="clear" w:color="auto" w:fill="auto"/>
            <w:noWrap/>
            <w:hideMark/>
          </w:tcPr>
          <w:p w:rsidR="00DB73D0" w:rsidRPr="00B964BF" w:rsidRDefault="00DB73D0" w:rsidP="006A67BA">
            <w:pPr>
              <w:spacing w:before="40" w:after="40"/>
              <w:rPr>
                <w:color w:val="000000"/>
                <w:sz w:val="18"/>
              </w:rPr>
            </w:pPr>
            <w:r w:rsidRPr="00B964BF">
              <w:rPr>
                <w:color w:val="000000"/>
                <w:sz w:val="18"/>
              </w:rPr>
              <w:t>Expendable equipment</w:t>
            </w:r>
          </w:p>
        </w:tc>
        <w:tc>
          <w:tcPr>
            <w:tcW w:w="683" w:type="pct"/>
            <w:tcBorders>
              <w:top w:val="single" w:sz="4" w:space="0" w:color="auto"/>
              <w:left w:val="nil"/>
              <w:bottom w:val="nil"/>
              <w:right w:val="nil"/>
            </w:tcBorders>
            <w:shd w:val="clear" w:color="auto" w:fill="auto"/>
            <w:noWrap/>
            <w:hideMark/>
          </w:tcPr>
          <w:p w:rsidR="00DB73D0" w:rsidRPr="00B964BF" w:rsidRDefault="00DB73D0" w:rsidP="006A67BA">
            <w:pPr>
              <w:spacing w:before="40" w:after="40"/>
              <w:jc w:val="right"/>
              <w:rPr>
                <w:color w:val="000000"/>
                <w:sz w:val="18"/>
              </w:rPr>
            </w:pPr>
            <w:r w:rsidRPr="00B964BF">
              <w:rPr>
                <w:color w:val="000000"/>
                <w:sz w:val="18"/>
              </w:rPr>
              <w:t xml:space="preserve">18 000 </w:t>
            </w:r>
          </w:p>
        </w:tc>
        <w:tc>
          <w:tcPr>
            <w:tcW w:w="581" w:type="pct"/>
            <w:tcBorders>
              <w:top w:val="single" w:sz="4" w:space="0" w:color="auto"/>
              <w:left w:val="nil"/>
              <w:bottom w:val="nil"/>
              <w:right w:val="nil"/>
            </w:tcBorders>
            <w:shd w:val="clear" w:color="auto" w:fill="auto"/>
            <w:noWrap/>
            <w:hideMark/>
          </w:tcPr>
          <w:p w:rsidR="00DB73D0" w:rsidRPr="00B964BF" w:rsidRDefault="00DB73D0" w:rsidP="006A67BA">
            <w:pPr>
              <w:spacing w:before="40" w:after="40"/>
              <w:jc w:val="right"/>
              <w:rPr>
                <w:color w:val="000000"/>
                <w:sz w:val="18"/>
              </w:rPr>
            </w:pPr>
            <w:r w:rsidRPr="00B964BF">
              <w:rPr>
                <w:color w:val="000000"/>
                <w:sz w:val="18"/>
              </w:rPr>
              <w:t xml:space="preserve">18 000 </w:t>
            </w:r>
          </w:p>
        </w:tc>
        <w:tc>
          <w:tcPr>
            <w:tcW w:w="701" w:type="pct"/>
            <w:tcBorders>
              <w:top w:val="single" w:sz="4" w:space="0" w:color="auto"/>
              <w:left w:val="nil"/>
              <w:bottom w:val="nil"/>
              <w:right w:val="nil"/>
            </w:tcBorders>
            <w:shd w:val="clear" w:color="auto" w:fill="auto"/>
            <w:noWrap/>
            <w:hideMark/>
          </w:tcPr>
          <w:p w:rsidR="00DB73D0" w:rsidRPr="00B964BF" w:rsidRDefault="00DB73D0" w:rsidP="006A67BA">
            <w:pPr>
              <w:spacing w:before="40" w:after="40"/>
              <w:jc w:val="right"/>
              <w:rPr>
                <w:color w:val="000000"/>
                <w:sz w:val="18"/>
              </w:rPr>
            </w:pPr>
            <w:r w:rsidRPr="00B964BF">
              <w:rPr>
                <w:color w:val="000000"/>
                <w:sz w:val="18"/>
              </w:rPr>
              <w:t xml:space="preserve">18 000 </w:t>
            </w:r>
          </w:p>
        </w:tc>
      </w:tr>
      <w:tr w:rsidR="00DB73D0" w:rsidRPr="00B964BF" w:rsidTr="00715700">
        <w:trPr>
          <w:trHeight w:val="300"/>
          <w:jc w:val="right"/>
        </w:trPr>
        <w:tc>
          <w:tcPr>
            <w:tcW w:w="595" w:type="pct"/>
            <w:tcBorders>
              <w:top w:val="nil"/>
              <w:left w:val="nil"/>
              <w:bottom w:val="nil"/>
              <w:right w:val="nil"/>
            </w:tcBorders>
          </w:tcPr>
          <w:p w:rsidR="00DB73D0" w:rsidRPr="00B964BF" w:rsidRDefault="00DB73D0" w:rsidP="006A67BA">
            <w:pPr>
              <w:spacing w:before="40" w:after="40"/>
              <w:jc w:val="right"/>
              <w:rPr>
                <w:color w:val="000000"/>
                <w:sz w:val="18"/>
              </w:rPr>
            </w:pPr>
            <w:r w:rsidRPr="00B964BF">
              <w:rPr>
                <w:color w:val="000000"/>
                <w:sz w:val="18"/>
              </w:rPr>
              <w:t>4200</w:t>
            </w:r>
          </w:p>
        </w:tc>
        <w:tc>
          <w:tcPr>
            <w:tcW w:w="2440" w:type="pct"/>
            <w:tcBorders>
              <w:top w:val="nil"/>
              <w:left w:val="nil"/>
              <w:bottom w:val="nil"/>
              <w:right w:val="nil"/>
            </w:tcBorders>
            <w:shd w:val="clear" w:color="auto" w:fill="auto"/>
            <w:noWrap/>
            <w:hideMark/>
          </w:tcPr>
          <w:p w:rsidR="00DB73D0" w:rsidRPr="00B964BF" w:rsidRDefault="00DB73D0" w:rsidP="006A67BA">
            <w:pPr>
              <w:spacing w:before="40" w:after="40"/>
              <w:rPr>
                <w:color w:val="000000"/>
                <w:sz w:val="18"/>
              </w:rPr>
            </w:pPr>
            <w:r w:rsidRPr="00B964BF">
              <w:rPr>
                <w:color w:val="000000"/>
                <w:sz w:val="18"/>
              </w:rPr>
              <w:t>Non-expendable equipment</w:t>
            </w:r>
          </w:p>
        </w:tc>
        <w:tc>
          <w:tcPr>
            <w:tcW w:w="683" w:type="pct"/>
            <w:tcBorders>
              <w:top w:val="nil"/>
              <w:left w:val="nil"/>
              <w:bottom w:val="nil"/>
              <w:right w:val="nil"/>
            </w:tcBorders>
            <w:shd w:val="clear" w:color="auto" w:fill="auto"/>
            <w:noWrap/>
            <w:hideMark/>
          </w:tcPr>
          <w:p w:rsidR="00DB73D0" w:rsidRPr="00B964BF" w:rsidRDefault="00DB73D0" w:rsidP="006A67BA">
            <w:pPr>
              <w:spacing w:before="40" w:after="40"/>
              <w:jc w:val="right"/>
              <w:rPr>
                <w:color w:val="000000"/>
                <w:sz w:val="18"/>
              </w:rPr>
            </w:pPr>
            <w:r w:rsidRPr="00B964BF">
              <w:rPr>
                <w:color w:val="000000"/>
                <w:sz w:val="18"/>
              </w:rPr>
              <w:t>25 000</w:t>
            </w:r>
          </w:p>
        </w:tc>
        <w:tc>
          <w:tcPr>
            <w:tcW w:w="581" w:type="pct"/>
            <w:tcBorders>
              <w:top w:val="nil"/>
              <w:left w:val="nil"/>
              <w:bottom w:val="nil"/>
              <w:right w:val="nil"/>
            </w:tcBorders>
            <w:shd w:val="clear" w:color="auto" w:fill="auto"/>
            <w:noWrap/>
            <w:hideMark/>
          </w:tcPr>
          <w:p w:rsidR="00DB73D0" w:rsidRPr="00B964BF" w:rsidRDefault="00DB73D0" w:rsidP="006A67BA">
            <w:pPr>
              <w:spacing w:before="40" w:after="40"/>
              <w:jc w:val="right"/>
              <w:rPr>
                <w:color w:val="000000"/>
                <w:sz w:val="18"/>
              </w:rPr>
            </w:pPr>
            <w:r w:rsidRPr="00B964BF">
              <w:rPr>
                <w:color w:val="000000"/>
                <w:sz w:val="18"/>
              </w:rPr>
              <w:t>25 000</w:t>
            </w:r>
          </w:p>
        </w:tc>
        <w:tc>
          <w:tcPr>
            <w:tcW w:w="701" w:type="pct"/>
            <w:tcBorders>
              <w:top w:val="nil"/>
              <w:left w:val="nil"/>
              <w:bottom w:val="nil"/>
              <w:right w:val="nil"/>
            </w:tcBorders>
            <w:shd w:val="clear" w:color="auto" w:fill="auto"/>
            <w:noWrap/>
            <w:hideMark/>
          </w:tcPr>
          <w:p w:rsidR="00DB73D0" w:rsidRPr="00B964BF" w:rsidRDefault="00DB73D0" w:rsidP="006A67BA">
            <w:pPr>
              <w:spacing w:before="40" w:after="40"/>
              <w:jc w:val="right"/>
              <w:rPr>
                <w:color w:val="000000"/>
                <w:sz w:val="18"/>
              </w:rPr>
            </w:pPr>
            <w:r w:rsidRPr="00B964BF">
              <w:rPr>
                <w:color w:val="000000"/>
                <w:sz w:val="18"/>
              </w:rPr>
              <w:t>25 000</w:t>
            </w:r>
          </w:p>
        </w:tc>
      </w:tr>
      <w:tr w:rsidR="00DB73D0" w:rsidRPr="00B964BF" w:rsidTr="00715700">
        <w:trPr>
          <w:trHeight w:val="48"/>
          <w:jc w:val="right"/>
        </w:trPr>
        <w:tc>
          <w:tcPr>
            <w:tcW w:w="595" w:type="pct"/>
            <w:tcBorders>
              <w:top w:val="nil"/>
              <w:left w:val="nil"/>
              <w:bottom w:val="nil"/>
              <w:right w:val="nil"/>
            </w:tcBorders>
          </w:tcPr>
          <w:p w:rsidR="00DB73D0" w:rsidRPr="00B964BF" w:rsidRDefault="00DB73D0" w:rsidP="006A67BA">
            <w:pPr>
              <w:spacing w:before="40" w:after="40"/>
              <w:jc w:val="right"/>
              <w:rPr>
                <w:color w:val="000000"/>
                <w:sz w:val="18"/>
              </w:rPr>
            </w:pPr>
            <w:r w:rsidRPr="00B964BF">
              <w:rPr>
                <w:color w:val="000000"/>
                <w:sz w:val="18"/>
              </w:rPr>
              <w:t>4300</w:t>
            </w:r>
          </w:p>
        </w:tc>
        <w:tc>
          <w:tcPr>
            <w:tcW w:w="2440" w:type="pct"/>
            <w:tcBorders>
              <w:top w:val="nil"/>
              <w:left w:val="nil"/>
              <w:bottom w:val="nil"/>
              <w:right w:val="nil"/>
            </w:tcBorders>
            <w:shd w:val="clear" w:color="auto" w:fill="auto"/>
            <w:noWrap/>
            <w:hideMark/>
          </w:tcPr>
          <w:p w:rsidR="00DB73D0" w:rsidRPr="00B964BF" w:rsidRDefault="00DB73D0" w:rsidP="006A67BA">
            <w:pPr>
              <w:spacing w:before="40" w:after="40"/>
              <w:rPr>
                <w:color w:val="000000"/>
                <w:sz w:val="18"/>
              </w:rPr>
            </w:pPr>
            <w:r w:rsidRPr="00B964BF">
              <w:rPr>
                <w:color w:val="000000"/>
                <w:sz w:val="18"/>
              </w:rPr>
              <w:t>Rental of premises</w:t>
            </w:r>
          </w:p>
        </w:tc>
        <w:tc>
          <w:tcPr>
            <w:tcW w:w="683" w:type="pct"/>
            <w:tcBorders>
              <w:top w:val="nil"/>
              <w:left w:val="nil"/>
              <w:bottom w:val="nil"/>
              <w:right w:val="nil"/>
            </w:tcBorders>
            <w:shd w:val="clear" w:color="auto" w:fill="auto"/>
            <w:noWrap/>
            <w:hideMark/>
          </w:tcPr>
          <w:p w:rsidR="00DB73D0" w:rsidRPr="00B964BF" w:rsidRDefault="00DB73D0" w:rsidP="006A67BA">
            <w:pPr>
              <w:spacing w:before="40" w:after="40"/>
              <w:jc w:val="right"/>
              <w:rPr>
                <w:color w:val="000000"/>
                <w:sz w:val="18"/>
              </w:rPr>
            </w:pPr>
            <w:r w:rsidRPr="00B964BF">
              <w:rPr>
                <w:color w:val="000000"/>
                <w:sz w:val="18"/>
              </w:rPr>
              <w:t xml:space="preserve">41 870 </w:t>
            </w:r>
          </w:p>
        </w:tc>
        <w:tc>
          <w:tcPr>
            <w:tcW w:w="581" w:type="pct"/>
            <w:tcBorders>
              <w:top w:val="nil"/>
              <w:left w:val="nil"/>
              <w:bottom w:val="nil"/>
              <w:right w:val="nil"/>
            </w:tcBorders>
            <w:shd w:val="clear" w:color="auto" w:fill="auto"/>
            <w:noWrap/>
            <w:hideMark/>
          </w:tcPr>
          <w:p w:rsidR="00DB73D0" w:rsidRPr="00B964BF" w:rsidRDefault="00DB73D0" w:rsidP="006A67BA">
            <w:pPr>
              <w:spacing w:before="40" w:after="40"/>
              <w:jc w:val="right"/>
              <w:rPr>
                <w:color w:val="000000"/>
                <w:sz w:val="18"/>
              </w:rPr>
            </w:pPr>
            <w:r w:rsidRPr="00B964BF">
              <w:rPr>
                <w:color w:val="000000"/>
                <w:sz w:val="18"/>
              </w:rPr>
              <w:t xml:space="preserve">41 870 </w:t>
            </w:r>
          </w:p>
        </w:tc>
        <w:tc>
          <w:tcPr>
            <w:tcW w:w="701" w:type="pct"/>
            <w:tcBorders>
              <w:top w:val="nil"/>
              <w:left w:val="nil"/>
              <w:bottom w:val="nil"/>
              <w:right w:val="nil"/>
            </w:tcBorders>
            <w:shd w:val="clear" w:color="auto" w:fill="auto"/>
            <w:noWrap/>
            <w:hideMark/>
          </w:tcPr>
          <w:p w:rsidR="00DB73D0" w:rsidRPr="00B964BF" w:rsidRDefault="00DB73D0" w:rsidP="006A67BA">
            <w:pPr>
              <w:spacing w:before="40" w:after="40"/>
              <w:jc w:val="right"/>
              <w:rPr>
                <w:color w:val="000000"/>
                <w:sz w:val="18"/>
              </w:rPr>
            </w:pPr>
            <w:r w:rsidRPr="00B964BF">
              <w:rPr>
                <w:color w:val="000000"/>
                <w:sz w:val="18"/>
              </w:rPr>
              <w:t xml:space="preserve">41 870 </w:t>
            </w:r>
          </w:p>
        </w:tc>
      </w:tr>
      <w:tr w:rsidR="00DB73D0" w:rsidRPr="00B964BF" w:rsidTr="00715700">
        <w:trPr>
          <w:trHeight w:val="48"/>
          <w:jc w:val="right"/>
        </w:trPr>
        <w:tc>
          <w:tcPr>
            <w:tcW w:w="595" w:type="pct"/>
            <w:tcBorders>
              <w:top w:val="nil"/>
              <w:left w:val="nil"/>
              <w:bottom w:val="nil"/>
              <w:right w:val="nil"/>
            </w:tcBorders>
          </w:tcPr>
          <w:p w:rsidR="00DB73D0" w:rsidRPr="00B964BF" w:rsidRDefault="00DB73D0" w:rsidP="006A67BA">
            <w:pPr>
              <w:spacing w:before="40" w:after="40"/>
              <w:jc w:val="right"/>
              <w:rPr>
                <w:color w:val="000000"/>
                <w:sz w:val="18"/>
              </w:rPr>
            </w:pPr>
            <w:r w:rsidRPr="00B964BF">
              <w:rPr>
                <w:color w:val="000000"/>
                <w:sz w:val="18"/>
              </w:rPr>
              <w:t>5100</w:t>
            </w:r>
          </w:p>
        </w:tc>
        <w:tc>
          <w:tcPr>
            <w:tcW w:w="2440" w:type="pct"/>
            <w:tcBorders>
              <w:top w:val="nil"/>
              <w:left w:val="nil"/>
              <w:bottom w:val="nil"/>
              <w:right w:val="nil"/>
            </w:tcBorders>
            <w:shd w:val="clear" w:color="auto" w:fill="auto"/>
            <w:noWrap/>
            <w:hideMark/>
          </w:tcPr>
          <w:p w:rsidR="00DB73D0" w:rsidRPr="00B964BF" w:rsidRDefault="00DB73D0" w:rsidP="006A67BA">
            <w:pPr>
              <w:spacing w:before="40" w:after="40"/>
              <w:rPr>
                <w:color w:val="000000"/>
                <w:sz w:val="18"/>
              </w:rPr>
            </w:pPr>
            <w:r w:rsidRPr="00B964BF">
              <w:rPr>
                <w:color w:val="000000"/>
                <w:sz w:val="18"/>
              </w:rPr>
              <w:t>Operational and maintenance of equipment</w:t>
            </w:r>
          </w:p>
        </w:tc>
        <w:tc>
          <w:tcPr>
            <w:tcW w:w="683" w:type="pct"/>
            <w:tcBorders>
              <w:top w:val="nil"/>
              <w:left w:val="nil"/>
              <w:bottom w:val="nil"/>
              <w:right w:val="nil"/>
            </w:tcBorders>
            <w:shd w:val="clear" w:color="auto" w:fill="auto"/>
            <w:noWrap/>
            <w:hideMark/>
          </w:tcPr>
          <w:p w:rsidR="00DB73D0" w:rsidRPr="00B964BF" w:rsidRDefault="00DB73D0" w:rsidP="006A67BA">
            <w:pPr>
              <w:spacing w:before="40" w:after="40"/>
              <w:jc w:val="right"/>
              <w:rPr>
                <w:color w:val="000000"/>
                <w:sz w:val="18"/>
              </w:rPr>
            </w:pPr>
            <w:r w:rsidRPr="00B964BF">
              <w:rPr>
                <w:color w:val="000000"/>
                <w:sz w:val="18"/>
              </w:rPr>
              <w:t xml:space="preserve">20 000 </w:t>
            </w:r>
          </w:p>
        </w:tc>
        <w:tc>
          <w:tcPr>
            <w:tcW w:w="581" w:type="pct"/>
            <w:tcBorders>
              <w:top w:val="nil"/>
              <w:left w:val="nil"/>
              <w:bottom w:val="nil"/>
              <w:right w:val="nil"/>
            </w:tcBorders>
            <w:shd w:val="clear" w:color="auto" w:fill="auto"/>
            <w:noWrap/>
            <w:hideMark/>
          </w:tcPr>
          <w:p w:rsidR="00DB73D0" w:rsidRPr="00B964BF" w:rsidRDefault="00DB73D0" w:rsidP="006A67BA">
            <w:pPr>
              <w:spacing w:before="40" w:after="40"/>
              <w:jc w:val="right"/>
              <w:rPr>
                <w:color w:val="000000"/>
                <w:sz w:val="18"/>
              </w:rPr>
            </w:pPr>
            <w:r w:rsidRPr="00B964BF">
              <w:rPr>
                <w:color w:val="000000"/>
                <w:sz w:val="18"/>
              </w:rPr>
              <w:t xml:space="preserve">20 000 </w:t>
            </w:r>
          </w:p>
        </w:tc>
        <w:tc>
          <w:tcPr>
            <w:tcW w:w="701" w:type="pct"/>
            <w:tcBorders>
              <w:top w:val="nil"/>
              <w:left w:val="nil"/>
              <w:bottom w:val="nil"/>
              <w:right w:val="nil"/>
            </w:tcBorders>
            <w:shd w:val="clear" w:color="auto" w:fill="auto"/>
            <w:noWrap/>
            <w:hideMark/>
          </w:tcPr>
          <w:p w:rsidR="00DB73D0" w:rsidRPr="00B964BF" w:rsidRDefault="00DB73D0" w:rsidP="006A67BA">
            <w:pPr>
              <w:spacing w:before="40" w:after="40"/>
              <w:jc w:val="right"/>
              <w:rPr>
                <w:color w:val="000000"/>
                <w:sz w:val="18"/>
              </w:rPr>
            </w:pPr>
            <w:r w:rsidRPr="00B964BF">
              <w:rPr>
                <w:color w:val="000000"/>
                <w:sz w:val="18"/>
              </w:rPr>
              <w:t xml:space="preserve">20 000 </w:t>
            </w:r>
          </w:p>
        </w:tc>
      </w:tr>
      <w:tr w:rsidR="00DB73D0" w:rsidRPr="00B964BF" w:rsidTr="00715700">
        <w:trPr>
          <w:trHeight w:val="48"/>
          <w:jc w:val="right"/>
        </w:trPr>
        <w:tc>
          <w:tcPr>
            <w:tcW w:w="595" w:type="pct"/>
            <w:tcBorders>
              <w:top w:val="nil"/>
              <w:left w:val="nil"/>
              <w:bottom w:val="nil"/>
              <w:right w:val="nil"/>
            </w:tcBorders>
          </w:tcPr>
          <w:p w:rsidR="00DB73D0" w:rsidRPr="00B964BF" w:rsidRDefault="00DB73D0" w:rsidP="006A67BA">
            <w:pPr>
              <w:spacing w:before="40" w:after="40"/>
              <w:jc w:val="right"/>
              <w:rPr>
                <w:color w:val="000000"/>
                <w:sz w:val="18"/>
              </w:rPr>
            </w:pPr>
            <w:r w:rsidRPr="00B964BF">
              <w:rPr>
                <w:color w:val="000000"/>
                <w:sz w:val="18"/>
              </w:rPr>
              <w:t>5200</w:t>
            </w:r>
          </w:p>
        </w:tc>
        <w:tc>
          <w:tcPr>
            <w:tcW w:w="2440" w:type="pct"/>
            <w:tcBorders>
              <w:top w:val="nil"/>
              <w:left w:val="nil"/>
              <w:bottom w:val="nil"/>
              <w:right w:val="nil"/>
            </w:tcBorders>
            <w:shd w:val="clear" w:color="auto" w:fill="auto"/>
            <w:noWrap/>
            <w:hideMark/>
          </w:tcPr>
          <w:p w:rsidR="00DB73D0" w:rsidRPr="00B964BF" w:rsidRDefault="00DB73D0" w:rsidP="006A67BA">
            <w:pPr>
              <w:spacing w:before="40" w:after="40"/>
              <w:rPr>
                <w:color w:val="000000"/>
                <w:sz w:val="18"/>
              </w:rPr>
            </w:pPr>
            <w:r w:rsidRPr="00B964BF">
              <w:rPr>
                <w:color w:val="000000"/>
                <w:sz w:val="18"/>
              </w:rPr>
              <w:t>Reporting costs</w:t>
            </w:r>
          </w:p>
        </w:tc>
        <w:tc>
          <w:tcPr>
            <w:tcW w:w="683" w:type="pct"/>
            <w:tcBorders>
              <w:top w:val="nil"/>
              <w:left w:val="nil"/>
              <w:bottom w:val="nil"/>
              <w:right w:val="nil"/>
            </w:tcBorders>
            <w:shd w:val="clear" w:color="auto" w:fill="auto"/>
            <w:noWrap/>
            <w:hideMark/>
          </w:tcPr>
          <w:p w:rsidR="00DB73D0" w:rsidRPr="00B964BF" w:rsidRDefault="00DB73D0" w:rsidP="006A67BA">
            <w:pPr>
              <w:spacing w:before="40" w:after="40"/>
              <w:jc w:val="right"/>
              <w:rPr>
                <w:color w:val="000000"/>
                <w:sz w:val="18"/>
              </w:rPr>
            </w:pPr>
            <w:r w:rsidRPr="00B964BF">
              <w:rPr>
                <w:color w:val="000000"/>
                <w:sz w:val="18"/>
              </w:rPr>
              <w:t>75 000</w:t>
            </w:r>
          </w:p>
        </w:tc>
        <w:tc>
          <w:tcPr>
            <w:tcW w:w="581" w:type="pct"/>
            <w:tcBorders>
              <w:top w:val="nil"/>
              <w:left w:val="nil"/>
              <w:bottom w:val="nil"/>
              <w:right w:val="nil"/>
            </w:tcBorders>
            <w:shd w:val="clear" w:color="auto" w:fill="auto"/>
            <w:noWrap/>
            <w:hideMark/>
          </w:tcPr>
          <w:p w:rsidR="00DB73D0" w:rsidRPr="00B964BF" w:rsidRDefault="00DB73D0" w:rsidP="006A67BA">
            <w:pPr>
              <w:spacing w:before="40" w:after="40"/>
              <w:jc w:val="right"/>
              <w:rPr>
                <w:color w:val="000000"/>
                <w:sz w:val="18"/>
              </w:rPr>
            </w:pPr>
            <w:r w:rsidRPr="00B964BF">
              <w:rPr>
                <w:color w:val="000000"/>
                <w:sz w:val="18"/>
              </w:rPr>
              <w:t>75 000</w:t>
            </w:r>
          </w:p>
        </w:tc>
        <w:tc>
          <w:tcPr>
            <w:tcW w:w="701" w:type="pct"/>
            <w:tcBorders>
              <w:top w:val="nil"/>
              <w:left w:val="nil"/>
              <w:bottom w:val="nil"/>
              <w:right w:val="nil"/>
            </w:tcBorders>
            <w:shd w:val="clear" w:color="auto" w:fill="auto"/>
            <w:noWrap/>
            <w:hideMark/>
          </w:tcPr>
          <w:p w:rsidR="00DB73D0" w:rsidRPr="00B964BF" w:rsidRDefault="00DB73D0" w:rsidP="006A67BA">
            <w:pPr>
              <w:spacing w:before="40" w:after="40"/>
              <w:jc w:val="right"/>
              <w:rPr>
                <w:color w:val="000000"/>
                <w:sz w:val="18"/>
              </w:rPr>
            </w:pPr>
            <w:r w:rsidRPr="00B964BF">
              <w:rPr>
                <w:color w:val="000000"/>
                <w:sz w:val="18"/>
              </w:rPr>
              <w:t>75 000</w:t>
            </w:r>
          </w:p>
        </w:tc>
      </w:tr>
      <w:tr w:rsidR="00DB73D0" w:rsidRPr="00B964BF" w:rsidTr="00715700">
        <w:trPr>
          <w:trHeight w:val="48"/>
          <w:jc w:val="right"/>
        </w:trPr>
        <w:tc>
          <w:tcPr>
            <w:tcW w:w="595" w:type="pct"/>
            <w:tcBorders>
              <w:top w:val="nil"/>
              <w:left w:val="nil"/>
              <w:bottom w:val="single" w:sz="8" w:space="0" w:color="auto"/>
              <w:right w:val="nil"/>
            </w:tcBorders>
          </w:tcPr>
          <w:p w:rsidR="00DB73D0" w:rsidRPr="00B964BF" w:rsidRDefault="00DB73D0" w:rsidP="006A67BA">
            <w:pPr>
              <w:spacing w:before="40" w:after="40"/>
              <w:jc w:val="right"/>
              <w:rPr>
                <w:color w:val="000000"/>
                <w:sz w:val="18"/>
              </w:rPr>
            </w:pPr>
            <w:r w:rsidRPr="00B964BF">
              <w:rPr>
                <w:color w:val="000000"/>
                <w:sz w:val="18"/>
              </w:rPr>
              <w:t>5300</w:t>
            </w:r>
          </w:p>
        </w:tc>
        <w:tc>
          <w:tcPr>
            <w:tcW w:w="2440" w:type="pct"/>
            <w:tcBorders>
              <w:top w:val="nil"/>
              <w:left w:val="nil"/>
              <w:bottom w:val="single" w:sz="8" w:space="0" w:color="auto"/>
              <w:right w:val="nil"/>
            </w:tcBorders>
            <w:shd w:val="clear" w:color="auto" w:fill="auto"/>
            <w:noWrap/>
            <w:hideMark/>
          </w:tcPr>
          <w:p w:rsidR="00DB73D0" w:rsidRPr="00B964BF" w:rsidRDefault="00DB73D0" w:rsidP="006A67BA">
            <w:pPr>
              <w:spacing w:before="40" w:after="40"/>
              <w:rPr>
                <w:color w:val="000000"/>
                <w:sz w:val="18"/>
              </w:rPr>
            </w:pPr>
            <w:r w:rsidRPr="00B964BF">
              <w:rPr>
                <w:color w:val="000000"/>
                <w:sz w:val="18"/>
              </w:rPr>
              <w:t>Sundry</w:t>
            </w:r>
          </w:p>
        </w:tc>
        <w:tc>
          <w:tcPr>
            <w:tcW w:w="683" w:type="pct"/>
            <w:tcBorders>
              <w:top w:val="nil"/>
              <w:left w:val="nil"/>
              <w:bottom w:val="single" w:sz="8" w:space="0" w:color="auto"/>
              <w:right w:val="nil"/>
            </w:tcBorders>
            <w:shd w:val="clear" w:color="auto" w:fill="auto"/>
            <w:noWrap/>
            <w:hideMark/>
          </w:tcPr>
          <w:p w:rsidR="00DB73D0" w:rsidRPr="00B964BF" w:rsidRDefault="00DB73D0" w:rsidP="006A67BA">
            <w:pPr>
              <w:spacing w:before="40" w:after="40"/>
              <w:jc w:val="right"/>
              <w:rPr>
                <w:color w:val="000000"/>
                <w:sz w:val="18"/>
              </w:rPr>
            </w:pPr>
            <w:r w:rsidRPr="00B964BF">
              <w:rPr>
                <w:color w:val="000000"/>
                <w:sz w:val="18"/>
              </w:rPr>
              <w:t>120 000</w:t>
            </w:r>
          </w:p>
        </w:tc>
        <w:tc>
          <w:tcPr>
            <w:tcW w:w="581" w:type="pct"/>
            <w:tcBorders>
              <w:top w:val="nil"/>
              <w:left w:val="nil"/>
              <w:bottom w:val="single" w:sz="8" w:space="0" w:color="auto"/>
              <w:right w:val="nil"/>
            </w:tcBorders>
            <w:shd w:val="clear" w:color="auto" w:fill="auto"/>
            <w:noWrap/>
            <w:hideMark/>
          </w:tcPr>
          <w:p w:rsidR="00DB73D0" w:rsidRPr="00B964BF" w:rsidRDefault="00DB73D0" w:rsidP="006A67BA">
            <w:pPr>
              <w:spacing w:before="40" w:after="40"/>
              <w:jc w:val="right"/>
              <w:rPr>
                <w:color w:val="000000"/>
                <w:sz w:val="18"/>
              </w:rPr>
            </w:pPr>
            <w:r w:rsidRPr="00B964BF">
              <w:rPr>
                <w:color w:val="000000"/>
                <w:sz w:val="18"/>
              </w:rPr>
              <w:t>40 000</w:t>
            </w:r>
          </w:p>
        </w:tc>
        <w:tc>
          <w:tcPr>
            <w:tcW w:w="701" w:type="pct"/>
            <w:tcBorders>
              <w:top w:val="nil"/>
              <w:left w:val="nil"/>
              <w:bottom w:val="single" w:sz="8" w:space="0" w:color="auto"/>
              <w:right w:val="nil"/>
            </w:tcBorders>
            <w:shd w:val="clear" w:color="auto" w:fill="auto"/>
            <w:noWrap/>
            <w:hideMark/>
          </w:tcPr>
          <w:p w:rsidR="00DB73D0" w:rsidRPr="00B964BF" w:rsidRDefault="00DB73D0" w:rsidP="006A67BA">
            <w:pPr>
              <w:spacing w:before="40" w:after="40"/>
              <w:jc w:val="right"/>
              <w:rPr>
                <w:color w:val="000000"/>
                <w:sz w:val="18"/>
              </w:rPr>
            </w:pPr>
            <w:r w:rsidRPr="00B964BF">
              <w:rPr>
                <w:color w:val="000000"/>
                <w:sz w:val="18"/>
              </w:rPr>
              <w:t>40 000</w:t>
            </w:r>
          </w:p>
        </w:tc>
      </w:tr>
      <w:tr w:rsidR="00DB73D0" w:rsidRPr="00B964BF" w:rsidTr="00715700">
        <w:trPr>
          <w:trHeight w:val="48"/>
          <w:jc w:val="right"/>
        </w:trPr>
        <w:tc>
          <w:tcPr>
            <w:tcW w:w="3035" w:type="pct"/>
            <w:gridSpan w:val="2"/>
            <w:tcBorders>
              <w:top w:val="single" w:sz="8" w:space="0" w:color="auto"/>
              <w:left w:val="nil"/>
              <w:bottom w:val="single" w:sz="8" w:space="0" w:color="auto"/>
              <w:right w:val="nil"/>
            </w:tcBorders>
          </w:tcPr>
          <w:p w:rsidR="00DB73D0" w:rsidRPr="00B964BF" w:rsidRDefault="00DB73D0" w:rsidP="006A67BA">
            <w:pPr>
              <w:spacing w:before="20" w:after="20"/>
              <w:rPr>
                <w:b/>
                <w:color w:val="000000"/>
                <w:sz w:val="18"/>
              </w:rPr>
            </w:pPr>
            <w:r w:rsidRPr="00B964BF">
              <w:rPr>
                <w:b/>
                <w:color w:val="000000"/>
                <w:sz w:val="18"/>
              </w:rPr>
              <w:lastRenderedPageBreak/>
              <w:t>Subtotal</w:t>
            </w:r>
            <w:r>
              <w:rPr>
                <w:b/>
                <w:color w:val="000000"/>
                <w:sz w:val="18"/>
              </w:rPr>
              <w:t>, o</w:t>
            </w:r>
            <w:r w:rsidRPr="00B964BF">
              <w:rPr>
                <w:b/>
                <w:color w:val="000000"/>
                <w:sz w:val="18"/>
              </w:rPr>
              <w:t>ther operating costs: supplies and consumables</w:t>
            </w:r>
          </w:p>
        </w:tc>
        <w:tc>
          <w:tcPr>
            <w:tcW w:w="683" w:type="pct"/>
            <w:tcBorders>
              <w:top w:val="single" w:sz="8" w:space="0" w:color="auto"/>
              <w:left w:val="nil"/>
              <w:bottom w:val="single" w:sz="8" w:space="0" w:color="auto"/>
              <w:right w:val="nil"/>
            </w:tcBorders>
            <w:shd w:val="clear" w:color="auto" w:fill="auto"/>
            <w:noWrap/>
            <w:hideMark/>
          </w:tcPr>
          <w:p w:rsidR="00DB73D0" w:rsidRPr="00B964BF" w:rsidRDefault="00DB73D0" w:rsidP="006A67BA">
            <w:pPr>
              <w:spacing w:before="40" w:after="40"/>
              <w:jc w:val="right"/>
              <w:rPr>
                <w:b/>
                <w:color w:val="000000"/>
                <w:sz w:val="18"/>
              </w:rPr>
            </w:pPr>
            <w:r w:rsidRPr="00B964BF">
              <w:rPr>
                <w:b/>
                <w:color w:val="000000"/>
                <w:sz w:val="18"/>
              </w:rPr>
              <w:t xml:space="preserve">299 870 </w:t>
            </w:r>
          </w:p>
        </w:tc>
        <w:tc>
          <w:tcPr>
            <w:tcW w:w="581" w:type="pct"/>
            <w:tcBorders>
              <w:top w:val="single" w:sz="8" w:space="0" w:color="auto"/>
              <w:left w:val="nil"/>
              <w:bottom w:val="single" w:sz="8" w:space="0" w:color="auto"/>
              <w:right w:val="nil"/>
            </w:tcBorders>
            <w:shd w:val="clear" w:color="auto" w:fill="auto"/>
            <w:noWrap/>
            <w:hideMark/>
          </w:tcPr>
          <w:p w:rsidR="00DB73D0" w:rsidRPr="00B964BF" w:rsidRDefault="00DB73D0" w:rsidP="006A67BA">
            <w:pPr>
              <w:spacing w:before="40" w:after="40"/>
              <w:jc w:val="right"/>
              <w:rPr>
                <w:b/>
                <w:color w:val="000000"/>
                <w:sz w:val="18"/>
              </w:rPr>
            </w:pPr>
            <w:r w:rsidRPr="00B964BF">
              <w:rPr>
                <w:b/>
                <w:color w:val="000000"/>
                <w:sz w:val="18"/>
              </w:rPr>
              <w:t xml:space="preserve">219 870 </w:t>
            </w:r>
          </w:p>
        </w:tc>
        <w:tc>
          <w:tcPr>
            <w:tcW w:w="701" w:type="pct"/>
            <w:tcBorders>
              <w:top w:val="single" w:sz="8" w:space="0" w:color="auto"/>
              <w:left w:val="nil"/>
              <w:bottom w:val="single" w:sz="8" w:space="0" w:color="auto"/>
              <w:right w:val="nil"/>
            </w:tcBorders>
            <w:shd w:val="clear" w:color="auto" w:fill="auto"/>
            <w:noWrap/>
            <w:hideMark/>
          </w:tcPr>
          <w:p w:rsidR="00DB73D0" w:rsidRPr="00B964BF" w:rsidRDefault="00DB73D0" w:rsidP="006A67BA">
            <w:pPr>
              <w:spacing w:before="40" w:after="40"/>
              <w:jc w:val="right"/>
              <w:rPr>
                <w:b/>
                <w:color w:val="000000"/>
                <w:sz w:val="18"/>
              </w:rPr>
            </w:pPr>
            <w:r w:rsidRPr="00B964BF">
              <w:rPr>
                <w:b/>
                <w:color w:val="000000"/>
                <w:sz w:val="18"/>
              </w:rPr>
              <w:t xml:space="preserve">219 870 </w:t>
            </w:r>
          </w:p>
        </w:tc>
      </w:tr>
      <w:tr w:rsidR="00DB73D0" w:rsidRPr="00B964BF" w:rsidTr="00715700">
        <w:trPr>
          <w:trHeight w:val="48"/>
          <w:jc w:val="right"/>
        </w:trPr>
        <w:tc>
          <w:tcPr>
            <w:tcW w:w="3035" w:type="pct"/>
            <w:gridSpan w:val="2"/>
            <w:tcBorders>
              <w:top w:val="single" w:sz="8" w:space="0" w:color="auto"/>
              <w:left w:val="nil"/>
              <w:bottom w:val="single" w:sz="8" w:space="0" w:color="auto"/>
              <w:right w:val="nil"/>
            </w:tcBorders>
          </w:tcPr>
          <w:p w:rsidR="00DB73D0" w:rsidRPr="00B964BF" w:rsidRDefault="00DB73D0" w:rsidP="006A67BA">
            <w:pPr>
              <w:spacing w:before="40" w:after="40"/>
              <w:rPr>
                <w:b/>
                <w:color w:val="000000"/>
                <w:sz w:val="18"/>
              </w:rPr>
            </w:pPr>
            <w:r w:rsidRPr="00B964BF">
              <w:rPr>
                <w:b/>
                <w:color w:val="000000"/>
                <w:sz w:val="18"/>
              </w:rPr>
              <w:t xml:space="preserve">Total </w:t>
            </w:r>
            <w:r w:rsidRPr="00435E3D">
              <w:rPr>
                <w:b/>
                <w:color w:val="000000"/>
                <w:sz w:val="18"/>
                <w:lang w:val="fr-FR"/>
              </w:rPr>
              <w:t>direct</w:t>
            </w:r>
            <w:r w:rsidRPr="00B964BF">
              <w:rPr>
                <w:b/>
                <w:color w:val="000000"/>
                <w:sz w:val="18"/>
              </w:rPr>
              <w:t xml:space="preserve"> costs</w:t>
            </w:r>
          </w:p>
        </w:tc>
        <w:tc>
          <w:tcPr>
            <w:tcW w:w="683" w:type="pct"/>
            <w:tcBorders>
              <w:top w:val="single" w:sz="8" w:space="0" w:color="auto"/>
              <w:left w:val="nil"/>
              <w:bottom w:val="single" w:sz="8" w:space="0" w:color="auto"/>
              <w:right w:val="nil"/>
            </w:tcBorders>
            <w:shd w:val="clear" w:color="auto" w:fill="auto"/>
            <w:noWrap/>
            <w:hideMark/>
          </w:tcPr>
          <w:p w:rsidR="00DB73D0" w:rsidRPr="00B964BF" w:rsidRDefault="00DB73D0" w:rsidP="006A67BA">
            <w:pPr>
              <w:spacing w:before="40" w:after="40"/>
              <w:jc w:val="right"/>
              <w:rPr>
                <w:b/>
                <w:color w:val="000000"/>
                <w:sz w:val="18"/>
              </w:rPr>
            </w:pPr>
            <w:r w:rsidRPr="00B964BF">
              <w:rPr>
                <w:b/>
                <w:color w:val="000000"/>
                <w:sz w:val="18"/>
              </w:rPr>
              <w:t xml:space="preserve">4 553 942 </w:t>
            </w:r>
          </w:p>
        </w:tc>
        <w:tc>
          <w:tcPr>
            <w:tcW w:w="581" w:type="pct"/>
            <w:tcBorders>
              <w:top w:val="single" w:sz="8" w:space="0" w:color="auto"/>
              <w:left w:val="nil"/>
              <w:bottom w:val="single" w:sz="8" w:space="0" w:color="auto"/>
              <w:right w:val="nil"/>
            </w:tcBorders>
            <w:shd w:val="clear" w:color="auto" w:fill="auto"/>
            <w:noWrap/>
            <w:hideMark/>
          </w:tcPr>
          <w:p w:rsidR="00DB73D0" w:rsidRPr="00B964BF" w:rsidRDefault="00DB73D0" w:rsidP="006A67BA">
            <w:pPr>
              <w:spacing w:before="40" w:after="40"/>
              <w:jc w:val="right"/>
              <w:rPr>
                <w:b/>
                <w:color w:val="000000"/>
                <w:sz w:val="18"/>
              </w:rPr>
            </w:pPr>
            <w:r>
              <w:rPr>
                <w:b/>
                <w:color w:val="000000"/>
                <w:sz w:val="18"/>
              </w:rPr>
              <w:t>4 908 603</w:t>
            </w:r>
          </w:p>
        </w:tc>
        <w:tc>
          <w:tcPr>
            <w:tcW w:w="701" w:type="pct"/>
            <w:tcBorders>
              <w:top w:val="single" w:sz="8" w:space="0" w:color="auto"/>
              <w:left w:val="nil"/>
              <w:bottom w:val="single" w:sz="8" w:space="0" w:color="auto"/>
              <w:right w:val="nil"/>
            </w:tcBorders>
            <w:shd w:val="clear" w:color="auto" w:fill="auto"/>
            <w:noWrap/>
            <w:hideMark/>
          </w:tcPr>
          <w:p w:rsidR="00DB73D0" w:rsidRPr="001304AC" w:rsidRDefault="00DB73D0" w:rsidP="006A67BA">
            <w:pPr>
              <w:spacing w:before="40" w:after="40"/>
              <w:jc w:val="right"/>
              <w:rPr>
                <w:b/>
                <w:color w:val="000000"/>
                <w:sz w:val="18"/>
                <w:highlight w:val="yellow"/>
              </w:rPr>
            </w:pPr>
            <w:r w:rsidRPr="00C82F83">
              <w:rPr>
                <w:b/>
                <w:color w:val="000000"/>
                <w:sz w:val="18"/>
              </w:rPr>
              <w:t>4 950 858</w:t>
            </w:r>
          </w:p>
        </w:tc>
      </w:tr>
      <w:tr w:rsidR="00DB73D0" w:rsidRPr="00B964BF" w:rsidTr="00715700">
        <w:trPr>
          <w:trHeight w:val="315"/>
          <w:jc w:val="right"/>
        </w:trPr>
        <w:tc>
          <w:tcPr>
            <w:tcW w:w="595" w:type="pct"/>
            <w:tcBorders>
              <w:top w:val="single" w:sz="8" w:space="0" w:color="auto"/>
              <w:left w:val="nil"/>
              <w:bottom w:val="single" w:sz="8" w:space="0" w:color="auto"/>
              <w:right w:val="nil"/>
            </w:tcBorders>
          </w:tcPr>
          <w:p w:rsidR="00DB73D0" w:rsidRPr="00B964BF" w:rsidRDefault="00DB73D0" w:rsidP="006A67BA">
            <w:pPr>
              <w:spacing w:before="40" w:after="40"/>
              <w:rPr>
                <w:color w:val="000000"/>
                <w:sz w:val="18"/>
              </w:rPr>
            </w:pPr>
          </w:p>
        </w:tc>
        <w:tc>
          <w:tcPr>
            <w:tcW w:w="2440" w:type="pct"/>
            <w:tcBorders>
              <w:top w:val="single" w:sz="8" w:space="0" w:color="auto"/>
              <w:left w:val="nil"/>
              <w:bottom w:val="single" w:sz="8" w:space="0" w:color="auto"/>
              <w:right w:val="nil"/>
            </w:tcBorders>
            <w:shd w:val="clear" w:color="auto" w:fill="auto"/>
            <w:noWrap/>
            <w:hideMark/>
          </w:tcPr>
          <w:p w:rsidR="00DB73D0" w:rsidRPr="00B964BF" w:rsidRDefault="00DB73D0" w:rsidP="006A67BA">
            <w:pPr>
              <w:spacing w:before="40" w:after="40"/>
              <w:rPr>
                <w:color w:val="000000"/>
                <w:sz w:val="18"/>
              </w:rPr>
            </w:pPr>
            <w:r w:rsidRPr="00B964BF">
              <w:rPr>
                <w:color w:val="000000"/>
                <w:sz w:val="18"/>
              </w:rPr>
              <w:t>Programme support costs (13 per cent)</w:t>
            </w:r>
          </w:p>
        </w:tc>
        <w:tc>
          <w:tcPr>
            <w:tcW w:w="683" w:type="pct"/>
            <w:tcBorders>
              <w:top w:val="single" w:sz="8" w:space="0" w:color="auto"/>
              <w:left w:val="nil"/>
              <w:bottom w:val="single" w:sz="8" w:space="0" w:color="auto"/>
              <w:right w:val="nil"/>
            </w:tcBorders>
            <w:shd w:val="clear" w:color="auto" w:fill="auto"/>
            <w:noWrap/>
            <w:hideMark/>
          </w:tcPr>
          <w:p w:rsidR="00DB73D0" w:rsidRPr="00B964BF" w:rsidRDefault="00DB73D0" w:rsidP="006A67BA">
            <w:pPr>
              <w:spacing w:before="40" w:after="40"/>
              <w:jc w:val="right"/>
              <w:rPr>
                <w:color w:val="000000"/>
                <w:sz w:val="18"/>
              </w:rPr>
            </w:pPr>
            <w:r w:rsidRPr="00B964BF">
              <w:rPr>
                <w:color w:val="000000"/>
                <w:sz w:val="18"/>
              </w:rPr>
              <w:t xml:space="preserve">592 012 </w:t>
            </w:r>
          </w:p>
        </w:tc>
        <w:tc>
          <w:tcPr>
            <w:tcW w:w="581" w:type="pct"/>
            <w:tcBorders>
              <w:top w:val="single" w:sz="8" w:space="0" w:color="auto"/>
              <w:left w:val="nil"/>
              <w:bottom w:val="single" w:sz="8" w:space="0" w:color="auto"/>
              <w:right w:val="nil"/>
            </w:tcBorders>
            <w:shd w:val="clear" w:color="auto" w:fill="auto"/>
            <w:noWrap/>
            <w:hideMark/>
          </w:tcPr>
          <w:p w:rsidR="00DB73D0" w:rsidRPr="00B964BF" w:rsidRDefault="00DB73D0" w:rsidP="006A67BA">
            <w:pPr>
              <w:spacing w:before="40" w:after="40"/>
              <w:jc w:val="right"/>
              <w:rPr>
                <w:color w:val="000000"/>
                <w:sz w:val="18"/>
              </w:rPr>
            </w:pPr>
            <w:r>
              <w:rPr>
                <w:color w:val="000000"/>
                <w:sz w:val="18"/>
              </w:rPr>
              <w:t>638 118</w:t>
            </w:r>
          </w:p>
        </w:tc>
        <w:tc>
          <w:tcPr>
            <w:tcW w:w="701" w:type="pct"/>
            <w:tcBorders>
              <w:top w:val="single" w:sz="8" w:space="0" w:color="auto"/>
              <w:left w:val="nil"/>
              <w:bottom w:val="single" w:sz="8" w:space="0" w:color="auto"/>
              <w:right w:val="nil"/>
            </w:tcBorders>
            <w:shd w:val="clear" w:color="auto" w:fill="auto"/>
            <w:noWrap/>
            <w:hideMark/>
          </w:tcPr>
          <w:p w:rsidR="00DB73D0" w:rsidRPr="001304AC" w:rsidRDefault="00DB73D0" w:rsidP="006A67BA">
            <w:pPr>
              <w:spacing w:before="40" w:after="40"/>
              <w:jc w:val="right"/>
              <w:rPr>
                <w:color w:val="000000"/>
                <w:sz w:val="18"/>
                <w:highlight w:val="yellow"/>
              </w:rPr>
            </w:pPr>
            <w:r w:rsidRPr="00C82F83">
              <w:rPr>
                <w:color w:val="000000"/>
                <w:sz w:val="18"/>
              </w:rPr>
              <w:t>643</w:t>
            </w:r>
            <w:r>
              <w:rPr>
                <w:color w:val="000000"/>
                <w:sz w:val="18"/>
              </w:rPr>
              <w:t xml:space="preserve"> </w:t>
            </w:r>
            <w:r w:rsidRPr="00C82F83">
              <w:rPr>
                <w:color w:val="000000"/>
                <w:sz w:val="18"/>
              </w:rPr>
              <w:t>612</w:t>
            </w:r>
          </w:p>
        </w:tc>
      </w:tr>
      <w:tr w:rsidR="00DB73D0" w:rsidRPr="00B964BF" w:rsidTr="00715700">
        <w:trPr>
          <w:trHeight w:val="48"/>
          <w:jc w:val="right"/>
        </w:trPr>
        <w:tc>
          <w:tcPr>
            <w:tcW w:w="3035" w:type="pct"/>
            <w:gridSpan w:val="2"/>
            <w:tcBorders>
              <w:top w:val="single" w:sz="8" w:space="0" w:color="auto"/>
              <w:left w:val="nil"/>
              <w:bottom w:val="single" w:sz="12" w:space="0" w:color="auto"/>
              <w:right w:val="nil"/>
            </w:tcBorders>
          </w:tcPr>
          <w:p w:rsidR="00DB73D0" w:rsidRPr="00B964BF" w:rsidRDefault="00DB73D0" w:rsidP="006A67BA">
            <w:pPr>
              <w:spacing w:before="40" w:after="40"/>
              <w:rPr>
                <w:b/>
                <w:color w:val="000000"/>
                <w:sz w:val="18"/>
              </w:rPr>
            </w:pPr>
            <w:r w:rsidRPr="00B964BF">
              <w:rPr>
                <w:b/>
                <w:color w:val="000000"/>
                <w:sz w:val="18"/>
              </w:rPr>
              <w:t xml:space="preserve">Grand </w:t>
            </w:r>
            <w:r w:rsidRPr="00435E3D">
              <w:rPr>
                <w:b/>
                <w:color w:val="000000"/>
                <w:sz w:val="18"/>
                <w:lang w:val="fr-FR"/>
              </w:rPr>
              <w:t>total</w:t>
            </w:r>
          </w:p>
        </w:tc>
        <w:tc>
          <w:tcPr>
            <w:tcW w:w="683" w:type="pct"/>
            <w:tcBorders>
              <w:top w:val="single" w:sz="8" w:space="0" w:color="auto"/>
              <w:left w:val="nil"/>
              <w:bottom w:val="single" w:sz="12" w:space="0" w:color="auto"/>
              <w:right w:val="nil"/>
            </w:tcBorders>
            <w:shd w:val="clear" w:color="auto" w:fill="auto"/>
            <w:noWrap/>
            <w:hideMark/>
          </w:tcPr>
          <w:p w:rsidR="00DB73D0" w:rsidRPr="00B964BF" w:rsidRDefault="00DB73D0" w:rsidP="006A67BA">
            <w:pPr>
              <w:spacing w:before="40" w:after="40"/>
              <w:jc w:val="right"/>
              <w:rPr>
                <w:b/>
                <w:color w:val="000000"/>
                <w:sz w:val="18"/>
              </w:rPr>
            </w:pPr>
            <w:r w:rsidRPr="00B964BF">
              <w:rPr>
                <w:b/>
                <w:color w:val="000000"/>
                <w:sz w:val="18"/>
              </w:rPr>
              <w:t xml:space="preserve">5 145 954 </w:t>
            </w:r>
          </w:p>
        </w:tc>
        <w:tc>
          <w:tcPr>
            <w:tcW w:w="581" w:type="pct"/>
            <w:tcBorders>
              <w:top w:val="single" w:sz="8" w:space="0" w:color="auto"/>
              <w:left w:val="nil"/>
              <w:bottom w:val="single" w:sz="12" w:space="0" w:color="auto"/>
              <w:right w:val="nil"/>
            </w:tcBorders>
            <w:shd w:val="clear" w:color="auto" w:fill="auto"/>
            <w:noWrap/>
            <w:hideMark/>
          </w:tcPr>
          <w:p w:rsidR="00DB73D0" w:rsidRPr="00B964BF" w:rsidRDefault="00DB73D0" w:rsidP="006A67BA">
            <w:pPr>
              <w:spacing w:before="40" w:after="40"/>
              <w:jc w:val="right"/>
              <w:rPr>
                <w:b/>
                <w:color w:val="000000"/>
                <w:sz w:val="18"/>
              </w:rPr>
            </w:pPr>
            <w:r>
              <w:rPr>
                <w:b/>
                <w:color w:val="000000"/>
                <w:sz w:val="18"/>
              </w:rPr>
              <w:t>5 546 722</w:t>
            </w:r>
          </w:p>
        </w:tc>
        <w:tc>
          <w:tcPr>
            <w:tcW w:w="701" w:type="pct"/>
            <w:tcBorders>
              <w:top w:val="single" w:sz="8" w:space="0" w:color="auto"/>
              <w:left w:val="nil"/>
              <w:bottom w:val="single" w:sz="12" w:space="0" w:color="auto"/>
              <w:right w:val="nil"/>
            </w:tcBorders>
            <w:shd w:val="clear" w:color="auto" w:fill="auto"/>
            <w:noWrap/>
            <w:hideMark/>
          </w:tcPr>
          <w:p w:rsidR="00DB73D0" w:rsidRPr="001304AC" w:rsidRDefault="00DB73D0" w:rsidP="006A67BA">
            <w:pPr>
              <w:spacing w:before="40" w:after="40"/>
              <w:jc w:val="right"/>
              <w:rPr>
                <w:b/>
                <w:color w:val="000000"/>
                <w:sz w:val="18"/>
                <w:highlight w:val="yellow"/>
              </w:rPr>
            </w:pPr>
            <w:r w:rsidRPr="00C82F83">
              <w:rPr>
                <w:b/>
                <w:color w:val="000000"/>
                <w:sz w:val="18"/>
              </w:rPr>
              <w:t>5 594 470</w:t>
            </w:r>
          </w:p>
        </w:tc>
      </w:tr>
    </w:tbl>
    <w:p w:rsidR="00DB73D0" w:rsidRDefault="00DB73D0" w:rsidP="00DB73D0"/>
    <w:p w:rsidR="00DB73D0" w:rsidRPr="00B964BF" w:rsidRDefault="00B7417A" w:rsidP="00715700">
      <w:pPr>
        <w:pStyle w:val="CH2"/>
      </w:pPr>
      <w:r>
        <w:tab/>
      </w:r>
      <w:r>
        <w:tab/>
      </w:r>
      <w:r w:rsidR="00DB73D0" w:rsidRPr="00B964BF">
        <w:t>Explanatory notes for the proposed revision to the approved budget for 2017 and the proposed budgets for 2018 and 2019 of the Trust Fund for the Montreal Protocol on Substances that Deplete the Ozone Layer</w:t>
      </w:r>
      <w:r w:rsidR="00646A69">
        <w:t xml:space="preserve"> </w:t>
      </w:r>
    </w:p>
    <w:tbl>
      <w:tblPr>
        <w:tblW w:w="9628" w:type="dxa"/>
        <w:jc w:val="right"/>
        <w:tblBorders>
          <w:bottom w:val="single" w:sz="12" w:space="0" w:color="auto"/>
        </w:tblBorders>
        <w:tblLayout w:type="fixed"/>
        <w:tblLook w:val="0000" w:firstRow="0" w:lastRow="0" w:firstColumn="0" w:lastColumn="0" w:noHBand="0" w:noVBand="0"/>
      </w:tblPr>
      <w:tblGrid>
        <w:gridCol w:w="1703"/>
        <w:gridCol w:w="1111"/>
        <w:gridCol w:w="6814"/>
      </w:tblGrid>
      <w:tr w:rsidR="00DB73D0" w:rsidRPr="00B964BF" w:rsidTr="006A67BA">
        <w:trPr>
          <w:trHeight w:val="311"/>
          <w:tblHeader/>
          <w:jc w:val="right"/>
        </w:trPr>
        <w:tc>
          <w:tcPr>
            <w:tcW w:w="1703" w:type="dxa"/>
            <w:tcBorders>
              <w:top w:val="single" w:sz="4" w:space="0" w:color="auto"/>
              <w:bottom w:val="single" w:sz="12" w:space="0" w:color="auto"/>
            </w:tcBorders>
            <w:shd w:val="clear" w:color="auto" w:fill="auto"/>
          </w:tcPr>
          <w:p w:rsidR="00DB73D0" w:rsidRPr="00B964BF" w:rsidRDefault="00DB73D0" w:rsidP="006A67BA">
            <w:pPr>
              <w:tabs>
                <w:tab w:val="left" w:pos="913"/>
                <w:tab w:val="left" w:pos="4082"/>
              </w:tabs>
              <w:spacing w:before="20" w:after="20"/>
              <w:rPr>
                <w:i/>
                <w:sz w:val="18"/>
                <w:szCs w:val="18"/>
              </w:rPr>
            </w:pPr>
            <w:r w:rsidRPr="00B964BF">
              <w:rPr>
                <w:i/>
                <w:sz w:val="18"/>
                <w:szCs w:val="18"/>
              </w:rPr>
              <w:t xml:space="preserve">Cost category </w:t>
            </w:r>
          </w:p>
        </w:tc>
        <w:tc>
          <w:tcPr>
            <w:tcW w:w="1111" w:type="dxa"/>
            <w:tcBorders>
              <w:top w:val="single" w:sz="4" w:space="0" w:color="auto"/>
              <w:bottom w:val="single" w:sz="12" w:space="0" w:color="auto"/>
            </w:tcBorders>
            <w:shd w:val="clear" w:color="auto" w:fill="auto"/>
          </w:tcPr>
          <w:p w:rsidR="00DB73D0" w:rsidRPr="00B964BF" w:rsidRDefault="00DB73D0" w:rsidP="006A67BA">
            <w:pPr>
              <w:tabs>
                <w:tab w:val="left" w:pos="913"/>
                <w:tab w:val="left" w:pos="4082"/>
              </w:tabs>
              <w:spacing w:before="20" w:after="20"/>
              <w:rPr>
                <w:i/>
                <w:sz w:val="18"/>
                <w:szCs w:val="18"/>
              </w:rPr>
            </w:pPr>
            <w:r w:rsidRPr="00B964BF">
              <w:rPr>
                <w:i/>
                <w:sz w:val="18"/>
                <w:szCs w:val="18"/>
              </w:rPr>
              <w:t>Budget line</w:t>
            </w:r>
          </w:p>
        </w:tc>
        <w:tc>
          <w:tcPr>
            <w:tcW w:w="6814" w:type="dxa"/>
            <w:tcBorders>
              <w:top w:val="single" w:sz="4" w:space="0" w:color="auto"/>
              <w:bottom w:val="single" w:sz="12" w:space="0" w:color="auto"/>
            </w:tcBorders>
          </w:tcPr>
          <w:p w:rsidR="00DB73D0" w:rsidRPr="00B964BF" w:rsidRDefault="00DB73D0" w:rsidP="006A67BA">
            <w:pPr>
              <w:tabs>
                <w:tab w:val="left" w:pos="913"/>
                <w:tab w:val="left" w:pos="4082"/>
              </w:tabs>
              <w:spacing w:before="20" w:after="20"/>
              <w:rPr>
                <w:i/>
                <w:sz w:val="18"/>
                <w:szCs w:val="18"/>
              </w:rPr>
            </w:pPr>
            <w:r w:rsidRPr="00B964BF">
              <w:rPr>
                <w:i/>
                <w:sz w:val="18"/>
                <w:szCs w:val="18"/>
              </w:rPr>
              <w:t>Comment</w:t>
            </w:r>
          </w:p>
        </w:tc>
      </w:tr>
      <w:tr w:rsidR="00DB73D0" w:rsidRPr="006F1F86" w:rsidTr="006A67BA">
        <w:trPr>
          <w:trHeight w:val="1359"/>
          <w:jc w:val="right"/>
        </w:trPr>
        <w:tc>
          <w:tcPr>
            <w:tcW w:w="1703" w:type="dxa"/>
            <w:tcBorders>
              <w:top w:val="single" w:sz="12" w:space="0" w:color="auto"/>
            </w:tcBorders>
            <w:shd w:val="clear" w:color="auto" w:fill="auto"/>
          </w:tcPr>
          <w:p w:rsidR="00DB73D0" w:rsidRPr="00B964BF" w:rsidRDefault="00DB73D0" w:rsidP="006A67BA">
            <w:pPr>
              <w:tabs>
                <w:tab w:val="left" w:pos="913"/>
                <w:tab w:val="left" w:pos="4082"/>
              </w:tabs>
              <w:spacing w:before="80" w:after="20"/>
              <w:rPr>
                <w:sz w:val="18"/>
                <w:szCs w:val="18"/>
              </w:rPr>
            </w:pPr>
            <w:r w:rsidRPr="00B964BF">
              <w:rPr>
                <w:sz w:val="18"/>
                <w:szCs w:val="18"/>
              </w:rPr>
              <w:t>Employee salaries, allowances and benefits</w:t>
            </w:r>
          </w:p>
        </w:tc>
        <w:tc>
          <w:tcPr>
            <w:tcW w:w="1111" w:type="dxa"/>
            <w:tcBorders>
              <w:top w:val="single" w:sz="12" w:space="0" w:color="auto"/>
            </w:tcBorders>
            <w:shd w:val="clear" w:color="auto" w:fill="auto"/>
          </w:tcPr>
          <w:p w:rsidR="00DB73D0" w:rsidRPr="00B964BF" w:rsidRDefault="00DB73D0" w:rsidP="006A67BA">
            <w:pPr>
              <w:tabs>
                <w:tab w:val="left" w:pos="913"/>
                <w:tab w:val="left" w:pos="4082"/>
              </w:tabs>
              <w:spacing w:before="80" w:after="20"/>
              <w:rPr>
                <w:sz w:val="18"/>
                <w:szCs w:val="18"/>
              </w:rPr>
            </w:pPr>
            <w:r w:rsidRPr="00B964BF">
              <w:rPr>
                <w:sz w:val="18"/>
                <w:szCs w:val="18"/>
              </w:rPr>
              <w:t>1000</w:t>
            </w:r>
          </w:p>
        </w:tc>
        <w:tc>
          <w:tcPr>
            <w:tcW w:w="6814" w:type="dxa"/>
            <w:tcBorders>
              <w:top w:val="single" w:sz="12" w:space="0" w:color="auto"/>
            </w:tcBorders>
          </w:tcPr>
          <w:p w:rsidR="00DB73D0" w:rsidRPr="00B964BF" w:rsidRDefault="00DB73D0" w:rsidP="006A67BA">
            <w:pPr>
              <w:tabs>
                <w:tab w:val="left" w:pos="913"/>
                <w:tab w:val="left" w:pos="4082"/>
              </w:tabs>
              <w:spacing w:before="80"/>
              <w:rPr>
                <w:sz w:val="18"/>
                <w:szCs w:val="18"/>
              </w:rPr>
            </w:pPr>
            <w:r w:rsidRPr="00B964BF">
              <w:rPr>
                <w:sz w:val="18"/>
                <w:szCs w:val="18"/>
              </w:rPr>
              <w:t>The 2018 and 2019 costs have been increased by 2</w:t>
            </w:r>
            <w:r w:rsidRPr="00B964BF">
              <w:rPr>
                <w:rFonts w:eastAsia="MS Mincho"/>
              </w:rPr>
              <w:t xml:space="preserve"> per cent</w:t>
            </w:r>
            <w:r w:rsidRPr="00B964BF">
              <w:rPr>
                <w:sz w:val="18"/>
                <w:szCs w:val="18"/>
              </w:rPr>
              <w:t xml:space="preserve"> to allow for inflation. </w:t>
            </w:r>
          </w:p>
          <w:p w:rsidR="00DB73D0" w:rsidRPr="00B964BF" w:rsidRDefault="00DB73D0" w:rsidP="006A67BA">
            <w:pPr>
              <w:tabs>
                <w:tab w:val="left" w:pos="913"/>
                <w:tab w:val="left" w:pos="4082"/>
              </w:tabs>
              <w:spacing w:before="80"/>
              <w:rPr>
                <w:sz w:val="18"/>
                <w:szCs w:val="18"/>
              </w:rPr>
            </w:pPr>
            <w:r w:rsidRPr="00B964BF">
              <w:rPr>
                <w:sz w:val="18"/>
                <w:szCs w:val="18"/>
              </w:rPr>
              <w:t>The posts of the Senior Administrative Officer (P5) and the Senior Administrative Assistant (G7) are funded by the programme support cost budget.</w:t>
            </w:r>
          </w:p>
          <w:p w:rsidR="00DB73D0" w:rsidRPr="00B964BF" w:rsidRDefault="00DB73D0" w:rsidP="006A67BA">
            <w:pPr>
              <w:tabs>
                <w:tab w:val="left" w:pos="913"/>
                <w:tab w:val="left" w:pos="4082"/>
              </w:tabs>
              <w:spacing w:before="80"/>
              <w:rPr>
                <w:sz w:val="18"/>
                <w:szCs w:val="18"/>
              </w:rPr>
            </w:pPr>
            <w:r w:rsidRPr="00B964BF">
              <w:rPr>
                <w:sz w:val="18"/>
                <w:szCs w:val="18"/>
              </w:rPr>
              <w:t>The post of Communications and Information Officer (P-3) is funded fully from the Trust Fund for the Vienna Convention.</w:t>
            </w:r>
          </w:p>
        </w:tc>
      </w:tr>
      <w:tr w:rsidR="00DB73D0" w:rsidRPr="00B964BF" w:rsidTr="006A67BA">
        <w:trPr>
          <w:trHeight w:val="708"/>
          <w:jc w:val="right"/>
        </w:trPr>
        <w:tc>
          <w:tcPr>
            <w:tcW w:w="1703" w:type="dxa"/>
          </w:tcPr>
          <w:p w:rsidR="00DB73D0" w:rsidRPr="00B964BF" w:rsidRDefault="00DB73D0" w:rsidP="006A67BA">
            <w:pPr>
              <w:tabs>
                <w:tab w:val="left" w:pos="913"/>
                <w:tab w:val="left" w:pos="4082"/>
              </w:tabs>
              <w:spacing w:before="40" w:after="20"/>
              <w:rPr>
                <w:sz w:val="18"/>
                <w:szCs w:val="18"/>
              </w:rPr>
            </w:pPr>
            <w:r w:rsidRPr="00B964BF">
              <w:rPr>
                <w:sz w:val="18"/>
                <w:szCs w:val="18"/>
              </w:rPr>
              <w:t xml:space="preserve">Consultants </w:t>
            </w:r>
          </w:p>
        </w:tc>
        <w:tc>
          <w:tcPr>
            <w:tcW w:w="1111" w:type="dxa"/>
          </w:tcPr>
          <w:p w:rsidR="00DB73D0" w:rsidRPr="00B964BF" w:rsidRDefault="00DB73D0" w:rsidP="006A67BA">
            <w:pPr>
              <w:tabs>
                <w:tab w:val="left" w:pos="913"/>
                <w:tab w:val="left" w:pos="4082"/>
              </w:tabs>
              <w:spacing w:before="40" w:after="20"/>
              <w:rPr>
                <w:sz w:val="18"/>
                <w:szCs w:val="18"/>
              </w:rPr>
            </w:pPr>
            <w:r w:rsidRPr="00B964BF">
              <w:rPr>
                <w:sz w:val="18"/>
                <w:szCs w:val="18"/>
              </w:rPr>
              <w:t>1200</w:t>
            </w:r>
          </w:p>
        </w:tc>
        <w:tc>
          <w:tcPr>
            <w:tcW w:w="6814" w:type="dxa"/>
          </w:tcPr>
          <w:p w:rsidR="00DB73D0" w:rsidRPr="00B964BF" w:rsidRDefault="00DB73D0" w:rsidP="006A67BA">
            <w:pPr>
              <w:tabs>
                <w:tab w:val="left" w:pos="913"/>
                <w:tab w:val="left" w:pos="4082"/>
              </w:tabs>
              <w:spacing w:before="40" w:after="20"/>
              <w:rPr>
                <w:sz w:val="18"/>
                <w:szCs w:val="18"/>
              </w:rPr>
            </w:pPr>
            <w:r w:rsidRPr="00B964BF">
              <w:rPr>
                <w:sz w:val="18"/>
                <w:szCs w:val="18"/>
              </w:rPr>
              <w:t xml:space="preserve">Consultants are used by the Secretariat for meetings research and facilitation of the workshop on safety standards to be held on 11 July 2017. The approved amount for 2017 has been maintained for 2018 and 2019. </w:t>
            </w:r>
          </w:p>
        </w:tc>
      </w:tr>
      <w:tr w:rsidR="00DB73D0" w:rsidRPr="006F1F86" w:rsidTr="006A67BA">
        <w:trPr>
          <w:trHeight w:val="293"/>
          <w:jc w:val="right"/>
        </w:trPr>
        <w:tc>
          <w:tcPr>
            <w:tcW w:w="1703" w:type="dxa"/>
          </w:tcPr>
          <w:p w:rsidR="00DB73D0" w:rsidRPr="00B964BF" w:rsidRDefault="00DB73D0" w:rsidP="006A67BA">
            <w:pPr>
              <w:tabs>
                <w:tab w:val="left" w:pos="913"/>
                <w:tab w:val="left" w:pos="4082"/>
              </w:tabs>
              <w:spacing w:before="120" w:after="20"/>
              <w:rPr>
                <w:sz w:val="18"/>
                <w:szCs w:val="18"/>
              </w:rPr>
            </w:pPr>
            <w:r w:rsidRPr="00B964BF">
              <w:rPr>
                <w:sz w:val="18"/>
                <w:szCs w:val="18"/>
              </w:rPr>
              <w:t>Operating expenses</w:t>
            </w:r>
          </w:p>
        </w:tc>
        <w:tc>
          <w:tcPr>
            <w:tcW w:w="1111" w:type="dxa"/>
          </w:tcPr>
          <w:p w:rsidR="00DB73D0" w:rsidRPr="00B964BF" w:rsidRDefault="00DB73D0" w:rsidP="006A67BA">
            <w:pPr>
              <w:tabs>
                <w:tab w:val="left" w:pos="913"/>
                <w:tab w:val="left" w:pos="4082"/>
              </w:tabs>
              <w:spacing w:before="120" w:after="20"/>
              <w:rPr>
                <w:sz w:val="18"/>
                <w:szCs w:val="18"/>
              </w:rPr>
            </w:pPr>
          </w:p>
        </w:tc>
        <w:tc>
          <w:tcPr>
            <w:tcW w:w="6814" w:type="dxa"/>
          </w:tcPr>
          <w:p w:rsidR="00DB73D0" w:rsidRPr="00B964BF" w:rsidRDefault="00DB73D0" w:rsidP="006A67BA">
            <w:pPr>
              <w:tabs>
                <w:tab w:val="left" w:pos="913"/>
                <w:tab w:val="left" w:pos="4082"/>
              </w:tabs>
              <w:spacing w:before="120" w:after="20"/>
              <w:rPr>
                <w:sz w:val="18"/>
                <w:szCs w:val="18"/>
              </w:rPr>
            </w:pPr>
            <w:r w:rsidRPr="00B964BF">
              <w:rPr>
                <w:sz w:val="18"/>
                <w:szCs w:val="18"/>
              </w:rPr>
              <w:t>This section includes meetings costs, travel of Article 5 participants and hospitality.</w:t>
            </w:r>
          </w:p>
        </w:tc>
      </w:tr>
      <w:tr w:rsidR="00DB73D0" w:rsidRPr="006F1F86" w:rsidTr="006A67BA">
        <w:trPr>
          <w:trHeight w:val="1399"/>
          <w:jc w:val="right"/>
        </w:trPr>
        <w:tc>
          <w:tcPr>
            <w:tcW w:w="1703" w:type="dxa"/>
          </w:tcPr>
          <w:p w:rsidR="00DB73D0" w:rsidRPr="00B964BF" w:rsidRDefault="00DB73D0" w:rsidP="006A67BA">
            <w:pPr>
              <w:tabs>
                <w:tab w:val="left" w:pos="913"/>
                <w:tab w:val="left" w:pos="4082"/>
              </w:tabs>
              <w:spacing w:before="20" w:after="20"/>
              <w:rPr>
                <w:sz w:val="18"/>
                <w:szCs w:val="18"/>
              </w:rPr>
            </w:pPr>
          </w:p>
        </w:tc>
        <w:tc>
          <w:tcPr>
            <w:tcW w:w="1111" w:type="dxa"/>
          </w:tcPr>
          <w:p w:rsidR="00DB73D0" w:rsidRPr="00B964BF" w:rsidRDefault="00DB73D0" w:rsidP="006A67BA">
            <w:pPr>
              <w:tabs>
                <w:tab w:val="left" w:pos="913"/>
                <w:tab w:val="left" w:pos="4082"/>
              </w:tabs>
              <w:spacing w:before="120" w:after="20"/>
              <w:rPr>
                <w:sz w:val="18"/>
                <w:szCs w:val="18"/>
              </w:rPr>
            </w:pPr>
            <w:r w:rsidRPr="00B964BF">
              <w:rPr>
                <w:sz w:val="18"/>
                <w:szCs w:val="18"/>
              </w:rPr>
              <w:t>1300</w:t>
            </w:r>
          </w:p>
          <w:p w:rsidR="00DB73D0" w:rsidRPr="00B964BF" w:rsidRDefault="00DB73D0" w:rsidP="006A67BA">
            <w:pPr>
              <w:tabs>
                <w:tab w:val="left" w:pos="913"/>
                <w:tab w:val="left" w:pos="4082"/>
              </w:tabs>
              <w:spacing w:before="120" w:after="20"/>
              <w:rPr>
                <w:sz w:val="18"/>
                <w:szCs w:val="18"/>
              </w:rPr>
            </w:pPr>
            <w:r w:rsidRPr="00B964BF">
              <w:rPr>
                <w:sz w:val="18"/>
                <w:szCs w:val="18"/>
              </w:rPr>
              <w:t>1321</w:t>
            </w:r>
          </w:p>
        </w:tc>
        <w:tc>
          <w:tcPr>
            <w:tcW w:w="6814" w:type="dxa"/>
          </w:tcPr>
          <w:p w:rsidR="00DB73D0" w:rsidRPr="00B964BF" w:rsidRDefault="00DB73D0" w:rsidP="006A67BA">
            <w:pPr>
              <w:tabs>
                <w:tab w:val="left" w:pos="913"/>
                <w:tab w:val="left" w:pos="4082"/>
              </w:tabs>
              <w:spacing w:before="120" w:after="20"/>
              <w:rPr>
                <w:sz w:val="18"/>
                <w:szCs w:val="18"/>
              </w:rPr>
            </w:pPr>
            <w:r w:rsidRPr="00B964BF">
              <w:rPr>
                <w:sz w:val="18"/>
                <w:szCs w:val="18"/>
              </w:rPr>
              <w:t xml:space="preserve">Meeting costs </w:t>
            </w:r>
          </w:p>
          <w:p w:rsidR="00DB73D0" w:rsidRPr="00B964BF" w:rsidRDefault="00DB73D0" w:rsidP="006A67BA">
            <w:pPr>
              <w:tabs>
                <w:tab w:val="left" w:pos="913"/>
                <w:tab w:val="left" w:pos="4082"/>
              </w:tabs>
              <w:spacing w:before="120" w:after="20"/>
              <w:rPr>
                <w:sz w:val="18"/>
                <w:szCs w:val="18"/>
              </w:rPr>
            </w:pPr>
            <w:r w:rsidRPr="00B964BF">
              <w:rPr>
                <w:sz w:val="18"/>
                <w:szCs w:val="18"/>
              </w:rPr>
              <w:t>Open-ended Working Group meetings</w:t>
            </w:r>
          </w:p>
          <w:p w:rsidR="00DB73D0" w:rsidRPr="00B964BF" w:rsidRDefault="00DB73D0" w:rsidP="006A67BA">
            <w:pPr>
              <w:tabs>
                <w:tab w:val="left" w:pos="913"/>
                <w:tab w:val="left" w:pos="4082"/>
              </w:tabs>
              <w:spacing w:before="20" w:after="20"/>
              <w:rPr>
                <w:sz w:val="18"/>
                <w:szCs w:val="18"/>
              </w:rPr>
            </w:pPr>
            <w:r w:rsidRPr="00B964BF">
              <w:rPr>
                <w:sz w:val="18"/>
                <w:szCs w:val="18"/>
              </w:rPr>
              <w:t xml:space="preserve">The figure for 2017 is presented as an average cost across five duty stations: Bangkok, Montreal, Nairobi, Paris and Vienna. The costs will be adjusted based on the venue of the meetings. </w:t>
            </w:r>
          </w:p>
        </w:tc>
      </w:tr>
      <w:tr w:rsidR="00DB73D0" w:rsidRPr="006F1F86" w:rsidTr="006A67BA">
        <w:trPr>
          <w:trHeight w:val="2926"/>
          <w:jc w:val="right"/>
        </w:trPr>
        <w:tc>
          <w:tcPr>
            <w:tcW w:w="1703" w:type="dxa"/>
          </w:tcPr>
          <w:p w:rsidR="00DB73D0" w:rsidRPr="00B964BF" w:rsidRDefault="00DB73D0" w:rsidP="006A67BA">
            <w:pPr>
              <w:tabs>
                <w:tab w:val="left" w:pos="913"/>
                <w:tab w:val="left" w:pos="4082"/>
              </w:tabs>
              <w:spacing w:before="20" w:after="20"/>
              <w:rPr>
                <w:sz w:val="18"/>
                <w:szCs w:val="18"/>
              </w:rPr>
            </w:pPr>
          </w:p>
        </w:tc>
        <w:tc>
          <w:tcPr>
            <w:tcW w:w="1111" w:type="dxa"/>
          </w:tcPr>
          <w:p w:rsidR="00DB73D0" w:rsidRPr="00B964BF" w:rsidRDefault="00DB73D0" w:rsidP="006A67BA">
            <w:pPr>
              <w:tabs>
                <w:tab w:val="left" w:pos="913"/>
                <w:tab w:val="left" w:pos="4082"/>
              </w:tabs>
              <w:spacing w:before="120" w:after="20"/>
              <w:rPr>
                <w:sz w:val="18"/>
                <w:szCs w:val="18"/>
              </w:rPr>
            </w:pPr>
            <w:r w:rsidRPr="00B964BF">
              <w:rPr>
                <w:sz w:val="18"/>
                <w:szCs w:val="18"/>
              </w:rPr>
              <w:t>1322</w:t>
            </w:r>
          </w:p>
        </w:tc>
        <w:tc>
          <w:tcPr>
            <w:tcW w:w="6814" w:type="dxa"/>
          </w:tcPr>
          <w:p w:rsidR="00DB73D0" w:rsidRPr="00B964BF" w:rsidRDefault="00DB73D0" w:rsidP="006A67BA">
            <w:pPr>
              <w:tabs>
                <w:tab w:val="left" w:pos="913"/>
                <w:tab w:val="left" w:pos="4082"/>
              </w:tabs>
              <w:spacing w:before="120" w:after="20"/>
              <w:rPr>
                <w:sz w:val="18"/>
                <w:szCs w:val="18"/>
              </w:rPr>
            </w:pPr>
            <w:r w:rsidRPr="00B964BF">
              <w:rPr>
                <w:sz w:val="18"/>
                <w:szCs w:val="18"/>
              </w:rPr>
              <w:t xml:space="preserve">Preparatory meetings and Meetings of the Parties </w:t>
            </w:r>
          </w:p>
          <w:p w:rsidR="00DB73D0" w:rsidRPr="00B964BF" w:rsidRDefault="00DB73D0" w:rsidP="006A67BA">
            <w:pPr>
              <w:tabs>
                <w:tab w:val="left" w:pos="913"/>
                <w:tab w:val="left" w:pos="4082"/>
              </w:tabs>
              <w:spacing w:before="20" w:after="20"/>
              <w:rPr>
                <w:sz w:val="18"/>
                <w:szCs w:val="18"/>
              </w:rPr>
            </w:pPr>
            <w:r w:rsidRPr="00B964BF">
              <w:rPr>
                <w:sz w:val="18"/>
                <w:szCs w:val="18"/>
              </w:rPr>
              <w:t xml:space="preserve">In 2017, the joint eleventh Conference of the Parties/Twenty-Ninth Meeting of the Parties </w:t>
            </w:r>
            <w:r w:rsidR="0095208B">
              <w:rPr>
                <w:sz w:val="18"/>
                <w:szCs w:val="18"/>
              </w:rPr>
              <w:t>was</w:t>
            </w:r>
            <w:r w:rsidRPr="00B964BF">
              <w:rPr>
                <w:sz w:val="18"/>
                <w:szCs w:val="18"/>
              </w:rPr>
              <w:t xml:space="preserve"> hosted by the Government of Canada in Montreal. The meeting costs </w:t>
            </w:r>
            <w:r>
              <w:rPr>
                <w:sz w:val="18"/>
                <w:szCs w:val="18"/>
              </w:rPr>
              <w:t>are</w:t>
            </w:r>
            <w:r w:rsidRPr="00B964BF">
              <w:rPr>
                <w:sz w:val="18"/>
                <w:szCs w:val="18"/>
              </w:rPr>
              <w:t xml:space="preserve"> reduced by $185,000, which represents the UNON cost estimate for interpretation services that </w:t>
            </w:r>
            <w:r w:rsidR="0095208B">
              <w:rPr>
                <w:sz w:val="18"/>
                <w:szCs w:val="18"/>
              </w:rPr>
              <w:t>was</w:t>
            </w:r>
            <w:r w:rsidR="0095208B" w:rsidRPr="0095208B">
              <w:rPr>
                <w:sz w:val="18"/>
                <w:szCs w:val="18"/>
              </w:rPr>
              <w:t xml:space="preserve"> </w:t>
            </w:r>
            <w:r w:rsidRPr="0095208B">
              <w:rPr>
                <w:sz w:val="18"/>
                <w:szCs w:val="18"/>
              </w:rPr>
              <w:t xml:space="preserve">instead </w:t>
            </w:r>
            <w:r w:rsidRPr="00B964BF">
              <w:rPr>
                <w:sz w:val="18"/>
                <w:szCs w:val="18"/>
              </w:rPr>
              <w:t xml:space="preserve">provided by the Government of Canada. </w:t>
            </w:r>
          </w:p>
          <w:p w:rsidR="00DB73D0" w:rsidRPr="00B964BF" w:rsidRDefault="00DB73D0" w:rsidP="006A67BA">
            <w:pPr>
              <w:tabs>
                <w:tab w:val="left" w:pos="913"/>
                <w:tab w:val="left" w:pos="4082"/>
              </w:tabs>
              <w:spacing w:before="120" w:after="20"/>
              <w:rPr>
                <w:sz w:val="18"/>
                <w:szCs w:val="18"/>
              </w:rPr>
            </w:pPr>
            <w:r w:rsidRPr="00B964BF">
              <w:rPr>
                <w:sz w:val="18"/>
                <w:szCs w:val="18"/>
              </w:rPr>
              <w:t xml:space="preserve">In 2017, the meeting cost of the joint eleventh Conference of the Parties/Twenty-Ninth Meeting of the Parties is shared with the Trust Fund for the Vienna Convention, which has a budget of $252,000. In 2018 and 2019, the full meeting cost will be charged to the Trust Fund for the Montreal Protocol. </w:t>
            </w:r>
          </w:p>
          <w:p w:rsidR="00DB73D0" w:rsidRPr="00B964BF" w:rsidRDefault="00DB73D0" w:rsidP="006A67BA">
            <w:pPr>
              <w:tabs>
                <w:tab w:val="left" w:pos="913"/>
                <w:tab w:val="left" w:pos="4082"/>
              </w:tabs>
              <w:spacing w:before="120" w:after="20"/>
              <w:rPr>
                <w:sz w:val="18"/>
                <w:szCs w:val="18"/>
              </w:rPr>
            </w:pPr>
            <w:r w:rsidRPr="00B964BF">
              <w:rPr>
                <w:sz w:val="18"/>
                <w:szCs w:val="18"/>
              </w:rPr>
              <w:t xml:space="preserve">The 2017 costs are presented as an average cost across five duty stations: Bangkok, Montreal, Nairobi, Paris and Vienna. The costs will be adjusted based on the venue of the meetings and whether they are </w:t>
            </w:r>
            <w:r w:rsidRPr="00B964BF">
              <w:rPr>
                <w:rFonts w:eastAsia="MS Mincho"/>
                <w:sz w:val="18"/>
                <w:szCs w:val="18"/>
              </w:rPr>
              <w:t>hosted by a party</w:t>
            </w:r>
            <w:r w:rsidRPr="00B964BF">
              <w:rPr>
                <w:sz w:val="18"/>
                <w:szCs w:val="18"/>
              </w:rPr>
              <w:t xml:space="preserve">. </w:t>
            </w:r>
          </w:p>
        </w:tc>
      </w:tr>
      <w:tr w:rsidR="00DB73D0" w:rsidRPr="006F1F86" w:rsidTr="006A67BA">
        <w:trPr>
          <w:trHeight w:val="745"/>
          <w:jc w:val="right"/>
        </w:trPr>
        <w:tc>
          <w:tcPr>
            <w:tcW w:w="1703" w:type="dxa"/>
          </w:tcPr>
          <w:p w:rsidR="00DB73D0" w:rsidRPr="00B964BF" w:rsidRDefault="00DB73D0" w:rsidP="006A67BA">
            <w:pPr>
              <w:tabs>
                <w:tab w:val="left" w:pos="913"/>
                <w:tab w:val="left" w:pos="4082"/>
              </w:tabs>
              <w:spacing w:before="20" w:after="20"/>
              <w:rPr>
                <w:sz w:val="18"/>
                <w:szCs w:val="18"/>
              </w:rPr>
            </w:pPr>
          </w:p>
        </w:tc>
        <w:tc>
          <w:tcPr>
            <w:tcW w:w="1111" w:type="dxa"/>
          </w:tcPr>
          <w:p w:rsidR="00DB73D0" w:rsidRPr="00B964BF" w:rsidRDefault="00DB73D0" w:rsidP="006A67BA">
            <w:pPr>
              <w:tabs>
                <w:tab w:val="left" w:pos="913"/>
                <w:tab w:val="left" w:pos="4082"/>
              </w:tabs>
              <w:spacing w:before="120" w:after="20"/>
              <w:rPr>
                <w:sz w:val="18"/>
                <w:szCs w:val="18"/>
              </w:rPr>
            </w:pPr>
            <w:r w:rsidRPr="00B964BF">
              <w:rPr>
                <w:sz w:val="18"/>
                <w:szCs w:val="18"/>
              </w:rPr>
              <w:t>1324</w:t>
            </w:r>
          </w:p>
        </w:tc>
        <w:tc>
          <w:tcPr>
            <w:tcW w:w="6814" w:type="dxa"/>
          </w:tcPr>
          <w:p w:rsidR="00DB73D0" w:rsidRPr="00B964BF" w:rsidRDefault="00DB73D0" w:rsidP="006A67BA">
            <w:pPr>
              <w:tabs>
                <w:tab w:val="left" w:pos="913"/>
                <w:tab w:val="left" w:pos="4082"/>
              </w:tabs>
              <w:spacing w:before="120" w:after="20"/>
              <w:rPr>
                <w:sz w:val="18"/>
                <w:szCs w:val="18"/>
              </w:rPr>
            </w:pPr>
            <w:r w:rsidRPr="00B964BF">
              <w:rPr>
                <w:sz w:val="18"/>
                <w:szCs w:val="18"/>
              </w:rPr>
              <w:t>One Bureau meeting is scheduled for each of the years 2017, 2018 and 2019, with provision for interpretation and document translation into appropriate languages, depending on the membership of the Bureau. The proposed costs have remained the same as for the approved figures for 2017.</w:t>
            </w:r>
          </w:p>
        </w:tc>
      </w:tr>
      <w:tr w:rsidR="00DB73D0" w:rsidRPr="006F1F86" w:rsidTr="006A67BA">
        <w:trPr>
          <w:trHeight w:val="459"/>
          <w:jc w:val="right"/>
        </w:trPr>
        <w:tc>
          <w:tcPr>
            <w:tcW w:w="1703" w:type="dxa"/>
          </w:tcPr>
          <w:p w:rsidR="00DB73D0" w:rsidRPr="00B964BF" w:rsidRDefault="00DB73D0" w:rsidP="006A67BA">
            <w:pPr>
              <w:tabs>
                <w:tab w:val="left" w:pos="913"/>
                <w:tab w:val="left" w:pos="4082"/>
              </w:tabs>
              <w:spacing w:before="20" w:after="20"/>
              <w:rPr>
                <w:sz w:val="18"/>
                <w:szCs w:val="18"/>
              </w:rPr>
            </w:pPr>
          </w:p>
        </w:tc>
        <w:tc>
          <w:tcPr>
            <w:tcW w:w="1111" w:type="dxa"/>
          </w:tcPr>
          <w:p w:rsidR="00DB73D0" w:rsidRPr="00B964BF" w:rsidRDefault="00DB73D0" w:rsidP="006A67BA">
            <w:pPr>
              <w:tabs>
                <w:tab w:val="left" w:pos="913"/>
                <w:tab w:val="left" w:pos="4082"/>
              </w:tabs>
              <w:spacing w:before="120" w:after="20"/>
              <w:rPr>
                <w:sz w:val="18"/>
                <w:szCs w:val="18"/>
              </w:rPr>
            </w:pPr>
            <w:r w:rsidRPr="00B964BF">
              <w:rPr>
                <w:sz w:val="18"/>
                <w:szCs w:val="18"/>
              </w:rPr>
              <w:t>1325</w:t>
            </w:r>
          </w:p>
        </w:tc>
        <w:tc>
          <w:tcPr>
            <w:tcW w:w="6814" w:type="dxa"/>
          </w:tcPr>
          <w:p w:rsidR="00DB73D0" w:rsidRPr="00B964BF" w:rsidRDefault="00DB73D0" w:rsidP="006A67BA">
            <w:pPr>
              <w:tabs>
                <w:tab w:val="left" w:pos="913"/>
                <w:tab w:val="left" w:pos="4082"/>
              </w:tabs>
              <w:spacing w:before="120" w:after="20"/>
              <w:rPr>
                <w:rFonts w:eastAsia="Calibri"/>
                <w:sz w:val="18"/>
                <w:szCs w:val="18"/>
              </w:rPr>
            </w:pPr>
            <w:r w:rsidRPr="00B964BF">
              <w:rPr>
                <w:sz w:val="18"/>
                <w:szCs w:val="18"/>
              </w:rPr>
              <w:t>The proposed budgets for Implementation Committee meetings in 2018 and 2019 have remained the same as the approved figures for 2017.</w:t>
            </w:r>
          </w:p>
        </w:tc>
      </w:tr>
      <w:tr w:rsidR="00DB73D0" w:rsidRPr="006F1F86" w:rsidTr="006A67BA">
        <w:trPr>
          <w:trHeight w:val="845"/>
          <w:jc w:val="right"/>
        </w:trPr>
        <w:tc>
          <w:tcPr>
            <w:tcW w:w="1703" w:type="dxa"/>
          </w:tcPr>
          <w:p w:rsidR="00DB73D0" w:rsidRPr="00B964BF" w:rsidRDefault="00DB73D0" w:rsidP="006A67BA">
            <w:pPr>
              <w:tabs>
                <w:tab w:val="left" w:pos="913"/>
                <w:tab w:val="left" w:pos="4082"/>
              </w:tabs>
              <w:spacing w:before="20" w:after="20"/>
              <w:rPr>
                <w:sz w:val="18"/>
                <w:szCs w:val="18"/>
              </w:rPr>
            </w:pPr>
          </w:p>
        </w:tc>
        <w:tc>
          <w:tcPr>
            <w:tcW w:w="1111" w:type="dxa"/>
          </w:tcPr>
          <w:p w:rsidR="00DB73D0" w:rsidRPr="00B964BF" w:rsidRDefault="00DB73D0" w:rsidP="006A67BA">
            <w:pPr>
              <w:tabs>
                <w:tab w:val="left" w:pos="913"/>
                <w:tab w:val="left" w:pos="4082"/>
              </w:tabs>
              <w:spacing w:before="120" w:after="20"/>
              <w:rPr>
                <w:sz w:val="18"/>
                <w:szCs w:val="18"/>
              </w:rPr>
            </w:pPr>
            <w:r w:rsidRPr="00B964BF">
              <w:rPr>
                <w:sz w:val="18"/>
                <w:szCs w:val="18"/>
              </w:rPr>
              <w:t>5401</w:t>
            </w:r>
          </w:p>
        </w:tc>
        <w:tc>
          <w:tcPr>
            <w:tcW w:w="6814" w:type="dxa"/>
          </w:tcPr>
          <w:p w:rsidR="00DB73D0" w:rsidRPr="00B964BF" w:rsidRDefault="00DB73D0" w:rsidP="006A67BA">
            <w:pPr>
              <w:tabs>
                <w:tab w:val="left" w:pos="913"/>
                <w:tab w:val="left" w:pos="4082"/>
              </w:tabs>
              <w:spacing w:before="120" w:after="20"/>
              <w:rPr>
                <w:sz w:val="18"/>
                <w:szCs w:val="18"/>
              </w:rPr>
            </w:pPr>
            <w:r w:rsidRPr="00B964BF">
              <w:rPr>
                <w:sz w:val="18"/>
                <w:szCs w:val="18"/>
              </w:rPr>
              <w:t xml:space="preserve">The hospitality costs cover receptions at the meetings of the Open-ended Working Group and the Meetings of the Parties. Necessary funds may be transferred from the conference servicing budget lines should such services be required, either through individual consultancies or corporate contracts. </w:t>
            </w:r>
          </w:p>
          <w:p w:rsidR="00DB73D0" w:rsidRPr="00B964BF" w:rsidRDefault="00DB73D0" w:rsidP="006A67BA">
            <w:pPr>
              <w:tabs>
                <w:tab w:val="left" w:pos="913"/>
                <w:tab w:val="left" w:pos="4082"/>
              </w:tabs>
              <w:spacing w:before="120" w:after="20"/>
              <w:rPr>
                <w:sz w:val="18"/>
                <w:szCs w:val="18"/>
              </w:rPr>
            </w:pPr>
            <w:r w:rsidRPr="00B964BF">
              <w:rPr>
                <w:sz w:val="18"/>
                <w:szCs w:val="18"/>
              </w:rPr>
              <w:t>The costs for 2018 and 2019 remain constant at the 2017 approved level.</w:t>
            </w:r>
          </w:p>
        </w:tc>
      </w:tr>
      <w:tr w:rsidR="00DB73D0" w:rsidRPr="006F1F86" w:rsidTr="006A67BA">
        <w:trPr>
          <w:trHeight w:val="1715"/>
          <w:jc w:val="right"/>
        </w:trPr>
        <w:tc>
          <w:tcPr>
            <w:tcW w:w="1703" w:type="dxa"/>
          </w:tcPr>
          <w:p w:rsidR="00DB73D0" w:rsidRPr="00B964BF" w:rsidRDefault="00DB73D0" w:rsidP="006A67BA">
            <w:pPr>
              <w:tabs>
                <w:tab w:val="left" w:pos="913"/>
                <w:tab w:val="left" w:pos="4082"/>
              </w:tabs>
              <w:spacing w:before="20" w:after="20"/>
              <w:rPr>
                <w:sz w:val="18"/>
                <w:szCs w:val="18"/>
              </w:rPr>
            </w:pPr>
          </w:p>
        </w:tc>
        <w:tc>
          <w:tcPr>
            <w:tcW w:w="1111" w:type="dxa"/>
          </w:tcPr>
          <w:p w:rsidR="00DB73D0" w:rsidRPr="00B964BF" w:rsidRDefault="00DB73D0" w:rsidP="006A67BA">
            <w:pPr>
              <w:tabs>
                <w:tab w:val="left" w:pos="913"/>
                <w:tab w:val="left" w:pos="4082"/>
              </w:tabs>
              <w:spacing w:before="120" w:after="20"/>
              <w:rPr>
                <w:sz w:val="18"/>
                <w:szCs w:val="18"/>
              </w:rPr>
            </w:pPr>
            <w:r w:rsidRPr="00B964BF">
              <w:rPr>
                <w:sz w:val="18"/>
                <w:szCs w:val="18"/>
              </w:rPr>
              <w:t>3300</w:t>
            </w:r>
          </w:p>
        </w:tc>
        <w:tc>
          <w:tcPr>
            <w:tcW w:w="6814" w:type="dxa"/>
          </w:tcPr>
          <w:p w:rsidR="00DB73D0" w:rsidRPr="00B964BF" w:rsidRDefault="00DB73D0" w:rsidP="006A67BA">
            <w:pPr>
              <w:tabs>
                <w:tab w:val="left" w:pos="913"/>
                <w:tab w:val="left" w:pos="4082"/>
              </w:tabs>
              <w:spacing w:before="120" w:after="20"/>
              <w:rPr>
                <w:b/>
                <w:sz w:val="18"/>
                <w:szCs w:val="18"/>
              </w:rPr>
            </w:pPr>
            <w:r w:rsidRPr="00B964BF">
              <w:rPr>
                <w:b/>
                <w:sz w:val="18"/>
                <w:szCs w:val="18"/>
              </w:rPr>
              <w:t>Travel of Article 5 participants</w:t>
            </w:r>
          </w:p>
          <w:p w:rsidR="00DB73D0" w:rsidRPr="00B964BF" w:rsidRDefault="00DB73D0" w:rsidP="006A67BA">
            <w:pPr>
              <w:tabs>
                <w:tab w:val="left" w:pos="913"/>
                <w:tab w:val="left" w:pos="4082"/>
              </w:tabs>
              <w:spacing w:before="120" w:after="20"/>
              <w:rPr>
                <w:sz w:val="18"/>
                <w:szCs w:val="18"/>
              </w:rPr>
            </w:pPr>
            <w:r w:rsidRPr="00B964BF">
              <w:rPr>
                <w:sz w:val="18"/>
                <w:szCs w:val="18"/>
              </w:rPr>
              <w:t>The participation of representatives of parties operating under paragraph 1 of Article 5 in various Montreal Protocol meetings is budgeted at $5,000 per representative per meeting using the most appropriate and advantageous economy-class fare and United Nations daily subsistence allowances.</w:t>
            </w:r>
          </w:p>
          <w:p w:rsidR="00DB73D0" w:rsidRPr="00B964BF" w:rsidRDefault="00DB73D0" w:rsidP="006A67BA">
            <w:pPr>
              <w:tabs>
                <w:tab w:val="left" w:pos="913"/>
                <w:tab w:val="left" w:pos="4082"/>
              </w:tabs>
              <w:spacing w:before="120" w:after="20"/>
              <w:rPr>
                <w:sz w:val="18"/>
                <w:szCs w:val="18"/>
              </w:rPr>
            </w:pPr>
            <w:r w:rsidRPr="00B964BF">
              <w:rPr>
                <w:sz w:val="18"/>
                <w:szCs w:val="18"/>
              </w:rPr>
              <w:t>The costs for 2018 and 2019 remain constant at the 2017 approved level.</w:t>
            </w:r>
          </w:p>
        </w:tc>
      </w:tr>
      <w:tr w:rsidR="00DB73D0" w:rsidRPr="006F1F86" w:rsidTr="006A67BA">
        <w:trPr>
          <w:trHeight w:val="470"/>
          <w:jc w:val="right"/>
        </w:trPr>
        <w:tc>
          <w:tcPr>
            <w:tcW w:w="1703" w:type="dxa"/>
          </w:tcPr>
          <w:p w:rsidR="00DB73D0" w:rsidRPr="00B964BF" w:rsidRDefault="00DB73D0" w:rsidP="006A67BA">
            <w:pPr>
              <w:tabs>
                <w:tab w:val="left" w:pos="913"/>
                <w:tab w:val="left" w:pos="4082"/>
              </w:tabs>
              <w:spacing w:before="20" w:after="20"/>
              <w:rPr>
                <w:sz w:val="18"/>
                <w:szCs w:val="18"/>
              </w:rPr>
            </w:pPr>
          </w:p>
        </w:tc>
        <w:tc>
          <w:tcPr>
            <w:tcW w:w="1111" w:type="dxa"/>
          </w:tcPr>
          <w:p w:rsidR="00DB73D0" w:rsidRPr="00B964BF" w:rsidRDefault="00DB73D0" w:rsidP="006A67BA">
            <w:pPr>
              <w:tabs>
                <w:tab w:val="left" w:pos="913"/>
                <w:tab w:val="left" w:pos="4082"/>
              </w:tabs>
              <w:spacing w:before="20" w:after="20"/>
              <w:rPr>
                <w:sz w:val="18"/>
                <w:szCs w:val="18"/>
              </w:rPr>
            </w:pPr>
          </w:p>
        </w:tc>
        <w:tc>
          <w:tcPr>
            <w:tcW w:w="6814" w:type="dxa"/>
          </w:tcPr>
          <w:p w:rsidR="00DB73D0" w:rsidRPr="00B964BF" w:rsidRDefault="00DB73D0" w:rsidP="006A67BA">
            <w:pPr>
              <w:tabs>
                <w:tab w:val="left" w:pos="913"/>
                <w:tab w:val="left" w:pos="4082"/>
              </w:tabs>
              <w:spacing w:after="20"/>
              <w:rPr>
                <w:sz w:val="18"/>
                <w:szCs w:val="18"/>
              </w:rPr>
            </w:pPr>
            <w:r w:rsidRPr="00B964BF">
              <w:rPr>
                <w:sz w:val="18"/>
                <w:szCs w:val="18"/>
              </w:rPr>
              <w:t xml:space="preserve">The Secretariat confirms that no funds from the budget lines in this section have been used to cover the cost of travel by representatives of non-Article 5 parties.  </w:t>
            </w:r>
          </w:p>
        </w:tc>
      </w:tr>
      <w:tr w:rsidR="00DB73D0" w:rsidRPr="006F1F86" w:rsidTr="006A67BA">
        <w:trPr>
          <w:trHeight w:val="562"/>
          <w:jc w:val="right"/>
        </w:trPr>
        <w:tc>
          <w:tcPr>
            <w:tcW w:w="1703" w:type="dxa"/>
          </w:tcPr>
          <w:p w:rsidR="00DB73D0" w:rsidRPr="00B964BF" w:rsidRDefault="00DB73D0" w:rsidP="006A67BA">
            <w:pPr>
              <w:keepNext/>
              <w:keepLines/>
              <w:tabs>
                <w:tab w:val="left" w:pos="913"/>
                <w:tab w:val="left" w:pos="4082"/>
              </w:tabs>
              <w:spacing w:before="120" w:after="20"/>
              <w:rPr>
                <w:sz w:val="18"/>
                <w:szCs w:val="18"/>
              </w:rPr>
            </w:pPr>
            <w:r w:rsidRPr="00B964BF">
              <w:rPr>
                <w:sz w:val="18"/>
                <w:szCs w:val="18"/>
              </w:rPr>
              <w:t>Travel on official business</w:t>
            </w:r>
          </w:p>
        </w:tc>
        <w:tc>
          <w:tcPr>
            <w:tcW w:w="1111" w:type="dxa"/>
          </w:tcPr>
          <w:p w:rsidR="00DB73D0" w:rsidRPr="00B964BF" w:rsidRDefault="00DB73D0" w:rsidP="006A67BA">
            <w:pPr>
              <w:keepNext/>
              <w:keepLines/>
              <w:tabs>
                <w:tab w:val="left" w:pos="913"/>
                <w:tab w:val="left" w:pos="4082"/>
              </w:tabs>
              <w:spacing w:before="120" w:after="20"/>
              <w:rPr>
                <w:sz w:val="18"/>
                <w:szCs w:val="18"/>
              </w:rPr>
            </w:pPr>
            <w:r w:rsidRPr="00B964BF">
              <w:rPr>
                <w:sz w:val="18"/>
                <w:szCs w:val="18"/>
              </w:rPr>
              <w:t>1600</w:t>
            </w:r>
          </w:p>
        </w:tc>
        <w:tc>
          <w:tcPr>
            <w:tcW w:w="6814" w:type="dxa"/>
          </w:tcPr>
          <w:p w:rsidR="00DB73D0" w:rsidRPr="00B964BF" w:rsidRDefault="00DB73D0" w:rsidP="006A67BA">
            <w:pPr>
              <w:keepNext/>
              <w:keepLines/>
              <w:tabs>
                <w:tab w:val="left" w:pos="913"/>
                <w:tab w:val="left" w:pos="4082"/>
              </w:tabs>
              <w:spacing w:before="120" w:after="20"/>
              <w:rPr>
                <w:sz w:val="18"/>
                <w:szCs w:val="18"/>
              </w:rPr>
            </w:pPr>
            <w:r w:rsidRPr="00B964BF">
              <w:rPr>
                <w:sz w:val="18"/>
                <w:szCs w:val="18"/>
              </w:rPr>
              <w:t>Travel on official business for 2018 and 2019 is maintained at the 2017 approved level.</w:t>
            </w:r>
          </w:p>
        </w:tc>
      </w:tr>
      <w:tr w:rsidR="00DB73D0" w:rsidRPr="006F1F86" w:rsidTr="006A67BA">
        <w:trPr>
          <w:trHeight w:val="845"/>
          <w:jc w:val="right"/>
        </w:trPr>
        <w:tc>
          <w:tcPr>
            <w:tcW w:w="1703" w:type="dxa"/>
          </w:tcPr>
          <w:p w:rsidR="00DB73D0" w:rsidRPr="00B964BF" w:rsidRDefault="00DB73D0" w:rsidP="006A67BA">
            <w:pPr>
              <w:keepNext/>
              <w:keepLines/>
              <w:tabs>
                <w:tab w:val="left" w:pos="913"/>
                <w:tab w:val="left" w:pos="4082"/>
              </w:tabs>
              <w:spacing w:before="120" w:after="20"/>
              <w:rPr>
                <w:sz w:val="18"/>
                <w:szCs w:val="18"/>
              </w:rPr>
            </w:pPr>
            <w:r w:rsidRPr="00B964BF">
              <w:rPr>
                <w:sz w:val="18"/>
                <w:szCs w:val="18"/>
              </w:rPr>
              <w:t>Other operating costs: supplies and consumables</w:t>
            </w:r>
          </w:p>
          <w:p w:rsidR="00DB73D0" w:rsidRPr="00B964BF" w:rsidRDefault="00DB73D0" w:rsidP="006A67BA">
            <w:pPr>
              <w:keepNext/>
              <w:keepLines/>
              <w:tabs>
                <w:tab w:val="left" w:pos="913"/>
                <w:tab w:val="left" w:pos="4082"/>
              </w:tabs>
              <w:spacing w:before="120" w:after="20"/>
              <w:rPr>
                <w:sz w:val="18"/>
                <w:szCs w:val="18"/>
              </w:rPr>
            </w:pPr>
          </w:p>
        </w:tc>
        <w:tc>
          <w:tcPr>
            <w:tcW w:w="1111" w:type="dxa"/>
          </w:tcPr>
          <w:p w:rsidR="00DB73D0" w:rsidRPr="00B964BF" w:rsidRDefault="00DB73D0" w:rsidP="006A67BA">
            <w:pPr>
              <w:keepNext/>
              <w:keepLines/>
              <w:tabs>
                <w:tab w:val="left" w:pos="913"/>
                <w:tab w:val="left" w:pos="4082"/>
              </w:tabs>
              <w:spacing w:before="120" w:after="20"/>
              <w:rPr>
                <w:sz w:val="18"/>
                <w:szCs w:val="18"/>
              </w:rPr>
            </w:pPr>
            <w:r w:rsidRPr="00B964BF">
              <w:rPr>
                <w:sz w:val="18"/>
                <w:szCs w:val="18"/>
              </w:rPr>
              <w:t>4100–5300</w:t>
            </w:r>
          </w:p>
        </w:tc>
        <w:tc>
          <w:tcPr>
            <w:tcW w:w="6814" w:type="dxa"/>
          </w:tcPr>
          <w:p w:rsidR="00DB73D0" w:rsidRPr="00B964BF" w:rsidRDefault="00DB73D0" w:rsidP="006A67BA">
            <w:pPr>
              <w:keepNext/>
              <w:keepLines/>
              <w:tabs>
                <w:tab w:val="left" w:pos="913"/>
                <w:tab w:val="left" w:pos="4082"/>
              </w:tabs>
              <w:spacing w:before="120" w:after="20"/>
              <w:rPr>
                <w:sz w:val="18"/>
                <w:szCs w:val="18"/>
              </w:rPr>
            </w:pPr>
            <w:r w:rsidRPr="00B964BF">
              <w:rPr>
                <w:sz w:val="18"/>
                <w:szCs w:val="18"/>
              </w:rPr>
              <w:t xml:space="preserve">The section includes expendable equipment, non-expendable equipment and rental of office premises, reporting costs and sundry. </w:t>
            </w:r>
          </w:p>
          <w:p w:rsidR="00DB73D0" w:rsidRPr="00B964BF" w:rsidRDefault="00DB73D0" w:rsidP="006A67BA">
            <w:pPr>
              <w:keepNext/>
              <w:keepLines/>
              <w:tabs>
                <w:tab w:val="left" w:pos="913"/>
                <w:tab w:val="left" w:pos="4082"/>
              </w:tabs>
              <w:spacing w:before="120" w:after="20"/>
              <w:rPr>
                <w:sz w:val="18"/>
                <w:szCs w:val="18"/>
              </w:rPr>
            </w:pPr>
            <w:r w:rsidRPr="00B964BF">
              <w:rPr>
                <w:sz w:val="18"/>
                <w:szCs w:val="18"/>
              </w:rPr>
              <w:t xml:space="preserve">The 2018 and 2019 proposed costs remain constant at the 2017 approved level, except for “Sundry”, which includes $10,000 for </w:t>
            </w:r>
            <w:r w:rsidRPr="00933176">
              <w:rPr>
                <w:sz w:val="18"/>
                <w:szCs w:val="18"/>
              </w:rPr>
              <w:t>communication, $10,000 for freight, $10,000 for training and $10,000 for Ozone Day celebrations, which is increased to $90,000 in 2017 to cover an enhanced plan to mark the thirtieth anniversary</w:t>
            </w:r>
            <w:r w:rsidRPr="00B964BF">
              <w:rPr>
                <w:sz w:val="18"/>
                <w:szCs w:val="18"/>
              </w:rPr>
              <w:t xml:space="preserve"> of the Montreal Protocol. </w:t>
            </w:r>
          </w:p>
        </w:tc>
      </w:tr>
    </w:tbl>
    <w:p w:rsidR="00DB73D0" w:rsidRDefault="00DB73D0" w:rsidP="00DB73D0">
      <w:pPr>
        <w:spacing w:after="200" w:line="276" w:lineRule="auto"/>
      </w:pPr>
      <w:r>
        <w:br w:type="page"/>
      </w:r>
    </w:p>
    <w:p w:rsidR="00DB73D0" w:rsidRPr="00CD35BB" w:rsidRDefault="00DB73D0" w:rsidP="00DB73D0">
      <w:pPr>
        <w:tabs>
          <w:tab w:val="left" w:pos="624"/>
        </w:tabs>
        <w:spacing w:after="120"/>
        <w:rPr>
          <w:b/>
          <w:sz w:val="28"/>
          <w:szCs w:val="28"/>
        </w:rPr>
      </w:pPr>
      <w:r w:rsidRPr="00CD35BB">
        <w:rPr>
          <w:b/>
          <w:sz w:val="28"/>
          <w:szCs w:val="28"/>
        </w:rPr>
        <w:lastRenderedPageBreak/>
        <w:t>Annex V</w:t>
      </w:r>
    </w:p>
    <w:p w:rsidR="00DB73D0" w:rsidRDefault="00DB73D0" w:rsidP="00DB73D0">
      <w:pPr>
        <w:pStyle w:val="ZZAnxtitle"/>
      </w:pPr>
      <w:r w:rsidRPr="00B8143E">
        <w:t>Contributions</w:t>
      </w:r>
      <w:r>
        <w:t xml:space="preserve"> by the parties to the </w:t>
      </w:r>
      <w:r w:rsidRPr="00B8143E">
        <w:t xml:space="preserve">Trust </w:t>
      </w:r>
      <w:r w:rsidRPr="002B7A9D">
        <w:t xml:space="preserve">Fund </w:t>
      </w:r>
      <w:r w:rsidRPr="00B8143E">
        <w:t xml:space="preserve">for the Montreal Protocol on </w:t>
      </w:r>
      <w:r w:rsidRPr="002B7A9D">
        <w:t xml:space="preserve">Substances </w:t>
      </w:r>
      <w:r w:rsidRPr="00B8143E">
        <w:t xml:space="preserve">that </w:t>
      </w:r>
      <w:r w:rsidRPr="002B7A9D">
        <w:t xml:space="preserve">Deplete </w:t>
      </w:r>
      <w:r w:rsidRPr="00B8143E">
        <w:t>the Ozone Layer</w:t>
      </w:r>
    </w:p>
    <w:p w:rsidR="004A2FEB" w:rsidRPr="00CD35BB" w:rsidRDefault="004A2FEB" w:rsidP="00CD35BB">
      <w:pPr>
        <w:pStyle w:val="CH1"/>
        <w:keepNext w:val="0"/>
        <w:keepLines w:val="0"/>
        <w:rPr>
          <w:sz w:val="24"/>
          <w:szCs w:val="24"/>
        </w:rPr>
      </w:pPr>
      <w:r>
        <w:rPr>
          <w:sz w:val="24"/>
          <w:szCs w:val="24"/>
        </w:rPr>
        <w:tab/>
      </w:r>
      <w:r>
        <w:rPr>
          <w:sz w:val="24"/>
          <w:szCs w:val="24"/>
        </w:rPr>
        <w:tab/>
      </w:r>
      <w:r w:rsidRPr="00CD35BB">
        <w:rPr>
          <w:sz w:val="24"/>
          <w:szCs w:val="24"/>
        </w:rPr>
        <w:t xml:space="preserve">(General Assembly resolution 70/245, with a </w:t>
      </w:r>
      <w:r w:rsidRPr="007714BE">
        <w:rPr>
          <w:sz w:val="24"/>
          <w:szCs w:val="24"/>
        </w:rPr>
        <w:t>maximum assessment</w:t>
      </w:r>
      <w:r w:rsidRPr="00CD35BB">
        <w:rPr>
          <w:sz w:val="24"/>
          <w:szCs w:val="24"/>
        </w:rPr>
        <w:t xml:space="preserve"> rate of 22</w:t>
      </w:r>
      <w:r w:rsidR="007E70CE">
        <w:rPr>
          <w:sz w:val="24"/>
          <w:szCs w:val="24"/>
        </w:rPr>
        <w:t> </w:t>
      </w:r>
      <w:r w:rsidRPr="00CD35BB">
        <w:rPr>
          <w:sz w:val="24"/>
          <w:szCs w:val="24"/>
        </w:rPr>
        <w:t>per cent)</w:t>
      </w:r>
    </w:p>
    <w:p w:rsidR="00DB73D0" w:rsidRPr="004E7D79" w:rsidRDefault="00DB73D0" w:rsidP="00DB73D0">
      <w:pPr>
        <w:rPr>
          <w:sz w:val="2"/>
          <w:szCs w:val="2"/>
        </w:rPr>
      </w:pPr>
    </w:p>
    <w:tbl>
      <w:tblPr>
        <w:tblW w:w="9513" w:type="dxa"/>
        <w:tblInd w:w="93" w:type="dxa"/>
        <w:tblLayout w:type="fixed"/>
        <w:tblLook w:val="04A0" w:firstRow="1" w:lastRow="0" w:firstColumn="1" w:lastColumn="0" w:noHBand="0" w:noVBand="1"/>
      </w:tblPr>
      <w:tblGrid>
        <w:gridCol w:w="648"/>
        <w:gridCol w:w="4079"/>
        <w:gridCol w:w="1701"/>
        <w:gridCol w:w="1559"/>
        <w:gridCol w:w="1526"/>
      </w:tblGrid>
      <w:tr w:rsidR="00DB73D0" w:rsidRPr="00F81A17" w:rsidTr="00CD35BB">
        <w:trPr>
          <w:trHeight w:val="1265"/>
          <w:tblHeader/>
        </w:trPr>
        <w:tc>
          <w:tcPr>
            <w:tcW w:w="648" w:type="dxa"/>
            <w:tcBorders>
              <w:top w:val="single" w:sz="4" w:space="0" w:color="auto"/>
              <w:bottom w:val="single" w:sz="12" w:space="0" w:color="auto"/>
            </w:tcBorders>
            <w:shd w:val="clear" w:color="auto" w:fill="auto"/>
            <w:noWrap/>
            <w:hideMark/>
          </w:tcPr>
          <w:p w:rsidR="00DB73D0" w:rsidRPr="004E7D79" w:rsidRDefault="00DB73D0" w:rsidP="006A67BA">
            <w:pPr>
              <w:spacing w:before="40" w:after="40"/>
              <w:rPr>
                <w:sz w:val="18"/>
                <w:szCs w:val="18"/>
                <w:lang w:val="en-US"/>
              </w:rPr>
            </w:pPr>
            <w:r w:rsidRPr="004E7D79">
              <w:rPr>
                <w:sz w:val="18"/>
                <w:szCs w:val="18"/>
                <w:lang w:val="en-US"/>
              </w:rPr>
              <w:t> </w:t>
            </w:r>
          </w:p>
        </w:tc>
        <w:tc>
          <w:tcPr>
            <w:tcW w:w="4079" w:type="dxa"/>
            <w:tcBorders>
              <w:top w:val="single" w:sz="4" w:space="0" w:color="auto"/>
              <w:bottom w:val="single" w:sz="12" w:space="0" w:color="auto"/>
            </w:tcBorders>
            <w:shd w:val="clear" w:color="auto" w:fill="auto"/>
            <w:noWrap/>
            <w:hideMark/>
          </w:tcPr>
          <w:p w:rsidR="00DB73D0" w:rsidRPr="004E7D79" w:rsidRDefault="00DB73D0" w:rsidP="00E17AC1">
            <w:pPr>
              <w:tabs>
                <w:tab w:val="clear" w:pos="1247"/>
                <w:tab w:val="clear" w:pos="1814"/>
                <w:tab w:val="clear" w:pos="2381"/>
                <w:tab w:val="clear" w:pos="2948"/>
                <w:tab w:val="clear" w:pos="3515"/>
              </w:tabs>
              <w:spacing w:before="40" w:after="40"/>
              <w:jc w:val="both"/>
              <w:rPr>
                <w:bCs/>
                <w:i/>
                <w:sz w:val="18"/>
                <w:szCs w:val="18"/>
                <w:lang w:val="en-US"/>
              </w:rPr>
            </w:pPr>
            <w:r w:rsidRPr="004E7D79">
              <w:rPr>
                <w:bCs/>
                <w:i/>
                <w:sz w:val="18"/>
                <w:szCs w:val="18"/>
                <w:lang w:val="en-US"/>
              </w:rPr>
              <w:t>Party</w:t>
            </w:r>
          </w:p>
        </w:tc>
        <w:tc>
          <w:tcPr>
            <w:tcW w:w="1701" w:type="dxa"/>
            <w:tcBorders>
              <w:top w:val="single" w:sz="4" w:space="0" w:color="auto"/>
              <w:bottom w:val="single" w:sz="12" w:space="0" w:color="auto"/>
            </w:tcBorders>
            <w:shd w:val="clear" w:color="auto" w:fill="auto"/>
            <w:hideMark/>
          </w:tcPr>
          <w:p w:rsidR="00DB73D0" w:rsidRPr="004E7D79" w:rsidRDefault="00DB73D0" w:rsidP="006A67BA">
            <w:pPr>
              <w:spacing w:before="40" w:after="40"/>
              <w:jc w:val="center"/>
              <w:rPr>
                <w:bCs/>
                <w:i/>
                <w:sz w:val="18"/>
                <w:szCs w:val="18"/>
                <w:lang w:val="en-US"/>
              </w:rPr>
            </w:pPr>
            <w:r w:rsidRPr="004E7D79">
              <w:rPr>
                <w:bCs/>
                <w:i/>
                <w:sz w:val="18"/>
                <w:szCs w:val="18"/>
                <w:lang w:val="en-US"/>
              </w:rPr>
              <w:t>Adjusted United</w:t>
            </w:r>
            <w:r w:rsidR="004A2FEB">
              <w:rPr>
                <w:bCs/>
                <w:i/>
                <w:sz w:val="18"/>
                <w:szCs w:val="18"/>
                <w:lang w:val="en-US"/>
              </w:rPr>
              <w:t> </w:t>
            </w:r>
            <w:r w:rsidRPr="004E7D79">
              <w:rPr>
                <w:bCs/>
                <w:i/>
                <w:sz w:val="18"/>
                <w:szCs w:val="18"/>
                <w:lang w:val="en-US"/>
              </w:rPr>
              <w:t xml:space="preserve">Nations scale with 22 per cent maximum assessment rate considered </w:t>
            </w:r>
          </w:p>
        </w:tc>
        <w:tc>
          <w:tcPr>
            <w:tcW w:w="1559" w:type="dxa"/>
            <w:tcBorders>
              <w:top w:val="single" w:sz="4" w:space="0" w:color="auto"/>
              <w:bottom w:val="single" w:sz="12" w:space="0" w:color="auto"/>
            </w:tcBorders>
            <w:shd w:val="clear" w:color="auto" w:fill="auto"/>
            <w:hideMark/>
          </w:tcPr>
          <w:p w:rsidR="00DB73D0" w:rsidRPr="004E7D79" w:rsidRDefault="00DB73D0" w:rsidP="006A67BA">
            <w:pPr>
              <w:spacing w:before="40" w:after="40"/>
              <w:jc w:val="center"/>
              <w:rPr>
                <w:i/>
                <w:sz w:val="18"/>
                <w:szCs w:val="18"/>
                <w:lang w:val="en-US"/>
              </w:rPr>
            </w:pPr>
            <w:r w:rsidRPr="004E7D79">
              <w:rPr>
                <w:i/>
                <w:sz w:val="18"/>
                <w:szCs w:val="18"/>
                <w:lang w:val="en-US"/>
              </w:rPr>
              <w:t xml:space="preserve"> 2018 contributions by parties </w:t>
            </w:r>
          </w:p>
        </w:tc>
        <w:tc>
          <w:tcPr>
            <w:tcW w:w="1526" w:type="dxa"/>
            <w:tcBorders>
              <w:top w:val="single" w:sz="4" w:space="0" w:color="auto"/>
              <w:bottom w:val="single" w:sz="12" w:space="0" w:color="auto"/>
            </w:tcBorders>
            <w:shd w:val="clear" w:color="auto" w:fill="auto"/>
            <w:hideMark/>
          </w:tcPr>
          <w:p w:rsidR="00DB73D0" w:rsidRPr="004E7D79" w:rsidRDefault="00DB73D0" w:rsidP="006A67BA">
            <w:pPr>
              <w:spacing w:before="40" w:after="40"/>
              <w:jc w:val="center"/>
              <w:rPr>
                <w:i/>
                <w:sz w:val="18"/>
                <w:szCs w:val="18"/>
                <w:lang w:val="en-US"/>
              </w:rPr>
            </w:pPr>
            <w:r w:rsidRPr="004E7D79">
              <w:rPr>
                <w:i/>
                <w:sz w:val="18"/>
                <w:szCs w:val="18"/>
                <w:lang w:val="en-US"/>
              </w:rPr>
              <w:t xml:space="preserve"> 2019 contributions by parties  </w:t>
            </w:r>
          </w:p>
        </w:tc>
      </w:tr>
      <w:tr w:rsidR="00DB73D0" w:rsidRPr="00F81A17" w:rsidTr="00CD35BB">
        <w:trPr>
          <w:trHeight w:val="300"/>
        </w:trPr>
        <w:tc>
          <w:tcPr>
            <w:tcW w:w="648" w:type="dxa"/>
            <w:tcBorders>
              <w:top w:val="single" w:sz="12" w:space="0" w:color="auto"/>
            </w:tcBorders>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w:t>
            </w:r>
          </w:p>
        </w:tc>
        <w:tc>
          <w:tcPr>
            <w:tcW w:w="4079" w:type="dxa"/>
            <w:tcBorders>
              <w:top w:val="single" w:sz="12" w:space="0" w:color="auto"/>
            </w:tcBorders>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Afghanistan</w:t>
            </w:r>
          </w:p>
        </w:tc>
        <w:tc>
          <w:tcPr>
            <w:tcW w:w="1701" w:type="dxa"/>
            <w:tcBorders>
              <w:top w:val="single" w:sz="12" w:space="0" w:color="auto"/>
            </w:tcBorders>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tcBorders>
              <w:top w:val="single" w:sz="12" w:space="0" w:color="auto"/>
            </w:tcBorders>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tcBorders>
              <w:top w:val="single" w:sz="12" w:space="0" w:color="auto"/>
            </w:tcBorders>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2</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Albania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3</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Algeria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0.160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8 892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8 969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4</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Andorra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5</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Angola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6</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Antigua and Barbuda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7</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Argentina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0.888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49 265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49 689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8</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Armenia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9</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Australia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2.327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129 072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130 183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10</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Austria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0.717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39 765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40 108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11</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Azerbaijan</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12</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Bahamas</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13</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Bahrain</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14</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Bangladesh</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15</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Barbados</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16</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Belarus</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17</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Belgium</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0.881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48 878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49 299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18</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Belize</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19</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Benin</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20</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Bhutan</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21</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Bolivia (Plurinational State of)</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22</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Bosnia and Herzegovina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23</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Botswana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24</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Brazil</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3.807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211 143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212 961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25</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Brunei Darussalam</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26</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Bulgaria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27</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Burkina Faso</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28</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Burundi</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29</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Cabo Verde</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30</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Cambodia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31</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Cameroon</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15"/>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32</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Canada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2.908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161 326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162 715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33</w:t>
            </w:r>
          </w:p>
        </w:tc>
        <w:tc>
          <w:tcPr>
            <w:tcW w:w="4079" w:type="dxa"/>
            <w:shd w:val="clear" w:color="auto" w:fill="auto"/>
            <w:hideMark/>
          </w:tcPr>
          <w:p w:rsidR="00DB73D0" w:rsidRPr="004E7D79" w:rsidRDefault="00DB73D0" w:rsidP="00CD35BB">
            <w:pPr>
              <w:spacing w:before="40" w:after="40"/>
              <w:rPr>
                <w:sz w:val="18"/>
                <w:szCs w:val="18"/>
                <w:lang w:val="en-US"/>
              </w:rPr>
            </w:pPr>
            <w:r w:rsidRPr="004E7D79">
              <w:rPr>
                <w:sz w:val="18"/>
                <w:szCs w:val="18"/>
                <w:lang w:val="en-US"/>
              </w:rPr>
              <w:t>Central African Republic</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34</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Chad</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35</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Chile</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0.397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22 037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22 226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36</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China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7.887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437 475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441 241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lastRenderedPageBreak/>
              <w:t>37</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Colombia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0.321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17 784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17 937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38</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Comoros</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39</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Congo</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40</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Cook Islands</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41</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Costa Rica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42</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Côte d'Ivoire</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43</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Croatia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44</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Cuba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45</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Cyprus</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46</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Czechia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0.343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18 999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19 163 </w:t>
            </w:r>
          </w:p>
        </w:tc>
      </w:tr>
      <w:tr w:rsidR="00DB73D0" w:rsidRPr="00F81A17" w:rsidTr="00CD35BB">
        <w:trPr>
          <w:trHeight w:val="351"/>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47</w:t>
            </w:r>
          </w:p>
        </w:tc>
        <w:tc>
          <w:tcPr>
            <w:tcW w:w="4079" w:type="dxa"/>
            <w:shd w:val="clear" w:color="auto" w:fill="auto"/>
            <w:hideMark/>
          </w:tcPr>
          <w:p w:rsidR="00DB73D0" w:rsidRPr="00CD35BB" w:rsidRDefault="00DB73D0" w:rsidP="00CD35BB">
            <w:pPr>
              <w:spacing w:before="40" w:after="40"/>
              <w:rPr>
                <w:sz w:val="18"/>
                <w:szCs w:val="18"/>
                <w:lang w:val="en-US"/>
              </w:rPr>
            </w:pPr>
            <w:r w:rsidRPr="00CD35BB">
              <w:rPr>
                <w:sz w:val="18"/>
                <w:szCs w:val="18"/>
                <w:lang w:val="en-US"/>
              </w:rPr>
              <w:t>Democratic People</w:t>
            </w:r>
            <w:r w:rsidR="008E222D" w:rsidRPr="00CD35BB">
              <w:rPr>
                <w:sz w:val="18"/>
                <w:szCs w:val="18"/>
                <w:lang w:val="en-US"/>
              </w:rPr>
              <w:t>’</w:t>
            </w:r>
            <w:r w:rsidRPr="00CD35BB">
              <w:rPr>
                <w:sz w:val="18"/>
                <w:szCs w:val="18"/>
                <w:lang w:val="en-US"/>
              </w:rPr>
              <w:t>s Republic of Korea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48</w:t>
            </w:r>
          </w:p>
        </w:tc>
        <w:tc>
          <w:tcPr>
            <w:tcW w:w="4079" w:type="dxa"/>
            <w:shd w:val="clear" w:color="auto" w:fill="auto"/>
            <w:hideMark/>
          </w:tcPr>
          <w:p w:rsidR="00DB73D0" w:rsidRPr="00CD35BB" w:rsidRDefault="00DB73D0" w:rsidP="00CD35BB">
            <w:pPr>
              <w:spacing w:before="40" w:after="40"/>
              <w:rPr>
                <w:sz w:val="18"/>
                <w:szCs w:val="18"/>
                <w:lang w:val="en-US"/>
              </w:rPr>
            </w:pPr>
            <w:r w:rsidRPr="00CD35BB">
              <w:rPr>
                <w:sz w:val="18"/>
                <w:szCs w:val="18"/>
                <w:lang w:val="en-US"/>
              </w:rPr>
              <w:t>Democratic Republic of the Congo</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49</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Denmark</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0.581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32 254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32 532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50</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Djibouti</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51</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Dominica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52</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Dominican Republic</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53</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Ecuador</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54</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Egypt</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0.151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8 395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8 467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55</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El Salvador</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56</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Equatorial Guinea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57</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Eritrea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58</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Estonia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59</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Ethiopia</w:t>
            </w:r>
          </w:p>
        </w:tc>
        <w:tc>
          <w:tcPr>
            <w:tcW w:w="1701" w:type="dxa"/>
            <w:shd w:val="clear" w:color="000000" w:fill="FFFFFF"/>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60</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European Union</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2.489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138 074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139 263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61</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Fiji</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62</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Finland</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0.454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25 185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25 402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63</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France</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4.838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268 361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270 671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64</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Gabon</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65</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Gambia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66</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Georgia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67</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Germany</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6.362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352 863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355 900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68</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Ghana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69</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Greece</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0.469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26 013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26 237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70</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Grenada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71</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Guatemala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72</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Guinea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73</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Guinea-Bissau</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74</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Guyana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75</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Haiti</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76</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Holy See</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77</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Honduras</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78</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Hungary</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0.160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8 892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8 969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79</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Iceland</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lastRenderedPageBreak/>
              <w:t>80</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India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0.734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40 704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41 055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81</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Indonesia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0.502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27 836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28 075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82</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Iran (Islamic Republic of)</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0.469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26 013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26 237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83</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Iraq</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0.128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7 125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7 186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84</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Ireland</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0.334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18 502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18 661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85</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Israel</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0.428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23 749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23 953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86</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Italy</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3.732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207 001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208 783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87</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Jamaica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88</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Japan</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9.639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534 624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539 226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89</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Jordan</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90</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Kazakhstan</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0.190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10 549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10 640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91</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Kenya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92</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Kiribati</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93</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Kuwait</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0.284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15 740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15 876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94</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Kyrgyzstan</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95</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Lao People</w:t>
            </w:r>
            <w:r w:rsidR="008E222D" w:rsidRPr="00CD35BB">
              <w:rPr>
                <w:sz w:val="18"/>
                <w:szCs w:val="18"/>
                <w:lang w:val="en-US"/>
              </w:rPr>
              <w:t>’</w:t>
            </w:r>
            <w:r w:rsidRPr="00CD35BB">
              <w:rPr>
                <w:sz w:val="18"/>
                <w:szCs w:val="18"/>
                <w:lang w:val="en-US"/>
              </w:rPr>
              <w:t>s Democratic Republic</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96</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Latvia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97</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Lebanon</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98</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Lesotho</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99</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Liberia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100</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Libya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0.124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6 904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6 963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101</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Liechtenstein</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102</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Lithuania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103</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Luxembourg</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104</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Madagascar</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105</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Malawi</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106</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Malaysia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0.321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17 784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17 937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107</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Maldives</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108</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Mali</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109</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Malta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110</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Marshall Islands</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111</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Mauritania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112</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Mauritius</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113</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Mexico</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1.429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79 255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79 937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114</w:t>
            </w:r>
          </w:p>
        </w:tc>
        <w:tc>
          <w:tcPr>
            <w:tcW w:w="4079" w:type="dxa"/>
            <w:shd w:val="clear" w:color="auto" w:fill="auto"/>
            <w:noWrap/>
            <w:hideMark/>
          </w:tcPr>
          <w:p w:rsidR="00DB73D0" w:rsidRPr="004E7D79" w:rsidRDefault="00DB73D0" w:rsidP="00CD35BB">
            <w:pPr>
              <w:spacing w:before="40" w:after="40"/>
              <w:rPr>
                <w:sz w:val="18"/>
                <w:szCs w:val="18"/>
                <w:lang w:val="en-US"/>
              </w:rPr>
            </w:pPr>
            <w:r w:rsidRPr="004E7D79">
              <w:rPr>
                <w:sz w:val="18"/>
                <w:szCs w:val="18"/>
                <w:lang w:val="en-US"/>
              </w:rPr>
              <w:t>Micronesia (Federated States of)</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115</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Monaco</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116</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Mongolia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117</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Montenegro</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118</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Morocco</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119</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Mozambique</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120</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Myanmar</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121</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Namibia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122</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Nauru</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lastRenderedPageBreak/>
              <w:t>123</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Nepal</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124</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Netherlands</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1.476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81 850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82 555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125</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New Zealand</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0.267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14 802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14 929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126</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Nicaragua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127</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Niger</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128</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Nigeria</w:t>
            </w:r>
          </w:p>
        </w:tc>
        <w:tc>
          <w:tcPr>
            <w:tcW w:w="1701" w:type="dxa"/>
            <w:shd w:val="clear" w:color="000000" w:fill="FFFFFF"/>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0.208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11 543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11 642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129</w:t>
            </w:r>
          </w:p>
        </w:tc>
        <w:tc>
          <w:tcPr>
            <w:tcW w:w="4079" w:type="dxa"/>
            <w:shd w:val="clear" w:color="000000" w:fill="FFFFFF"/>
            <w:noWrap/>
            <w:hideMark/>
          </w:tcPr>
          <w:p w:rsidR="00DB73D0" w:rsidRPr="00CD35BB" w:rsidRDefault="00DB73D0" w:rsidP="00CD35BB">
            <w:pPr>
              <w:spacing w:before="40" w:after="40"/>
              <w:rPr>
                <w:sz w:val="18"/>
                <w:szCs w:val="18"/>
                <w:lang w:val="en-US"/>
              </w:rPr>
            </w:pPr>
            <w:r w:rsidRPr="00CD35BB">
              <w:rPr>
                <w:sz w:val="18"/>
                <w:szCs w:val="18"/>
                <w:lang w:val="en-US"/>
              </w:rPr>
              <w:t>Niue</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130</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Norway</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0.845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46 890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47 294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131</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Oman</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0.113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6 241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6 295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132</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Pakistan</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133</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Palau</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134</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Panama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135</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Papua New Guinea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136</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Paraguay</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137</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Peru</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0.135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7 511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7 576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138</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Philippines</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0.164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9 113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9 191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139</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Poland</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0.837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46 448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46 848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140</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Portugal</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0.390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21 650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21 836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141</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Qatar</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0.268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14 857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14 985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142</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Republic of Korea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2.030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112 613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113 583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143</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Republic of Moldova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144</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Romania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0.183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10 162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10 250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145</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Russian Federation</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3.075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170 549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172 018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146</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Rwanda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147</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Saint Kitts and Nevis</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148</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Saint Lucia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149</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 xml:space="preserve">Saint Vincent and the Grenadines </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150</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Samoa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151</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San Marino</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152</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Sao Tome and Principe</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153</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Saudi Arabia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1.141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63 293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63 838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154</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Senegal</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155</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Serbia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156</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Seychelles</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157</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Sierra Leone</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158</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Singapore</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0.445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24 688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24 900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159</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Slovakia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0.159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8 837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8 913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160</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Slovenia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161</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Solomon Islands</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162</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Somalia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163</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South Africa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0.362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20 104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20 277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164</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South Sudan</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165</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Spain</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2.433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134 926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136 088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lastRenderedPageBreak/>
              <w:t>166</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Sri Lanka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167</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Sudan</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168</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Suriname</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169</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Swaziland</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170</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Sweden</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0.952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52 800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53 254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171</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Switzerland</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1.135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62 962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63 504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172</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Syrian Arab Republic</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173</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Tajikistan</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174</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Thailand</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0.290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16 072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16 210 </w:t>
            </w:r>
          </w:p>
        </w:tc>
      </w:tr>
      <w:tr w:rsidR="00DB73D0" w:rsidRPr="00F81A17" w:rsidTr="00CD35BB">
        <w:trPr>
          <w:trHeight w:val="357"/>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175</w:t>
            </w:r>
          </w:p>
        </w:tc>
        <w:tc>
          <w:tcPr>
            <w:tcW w:w="4079" w:type="dxa"/>
            <w:shd w:val="clear" w:color="auto" w:fill="auto"/>
            <w:hideMark/>
          </w:tcPr>
          <w:p w:rsidR="00DB73D0" w:rsidRPr="00CD35BB" w:rsidRDefault="00DB73D0" w:rsidP="00CD35BB">
            <w:pPr>
              <w:spacing w:before="40" w:after="40"/>
              <w:rPr>
                <w:sz w:val="18"/>
                <w:szCs w:val="18"/>
                <w:lang w:val="en-US"/>
              </w:rPr>
            </w:pPr>
            <w:r w:rsidRPr="00CD35BB">
              <w:rPr>
                <w:sz w:val="18"/>
                <w:szCs w:val="18"/>
                <w:lang w:val="en-US"/>
              </w:rPr>
              <w:t>The former Yugoslav Republic of Macedonia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176</w:t>
            </w:r>
          </w:p>
        </w:tc>
        <w:tc>
          <w:tcPr>
            <w:tcW w:w="4079" w:type="dxa"/>
            <w:shd w:val="clear" w:color="auto" w:fill="auto"/>
            <w:hideMark/>
          </w:tcPr>
          <w:p w:rsidR="00DB73D0" w:rsidRPr="00CD35BB" w:rsidRDefault="00DB73D0" w:rsidP="00CD35BB">
            <w:pPr>
              <w:spacing w:before="40" w:after="40"/>
              <w:rPr>
                <w:sz w:val="18"/>
                <w:szCs w:val="18"/>
                <w:lang w:val="en-US"/>
              </w:rPr>
            </w:pPr>
            <w:r w:rsidRPr="00CD35BB">
              <w:rPr>
                <w:sz w:val="18"/>
                <w:szCs w:val="18"/>
                <w:lang w:val="en-US"/>
              </w:rPr>
              <w:t>Timor-Leste</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177</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Togo</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178</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Tonga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179</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Trinidad and Tobago</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180</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Tunisia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181</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Turkey</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1.014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56 224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56 708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182</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Turkmenistan</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183</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Tuvalu</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184</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Uganda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185</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Ukraine</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0.103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5 689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5 738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186</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United Arab Emirates</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0.601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33 359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33 646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187</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United Kingdom of Great Britain and Northern Ireland</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4.444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246 490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248 612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188</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United Republic of Tanzania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189</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United States of America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21.906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1 215 054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1 225 514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190</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Uruguay</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191</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Uzbekistan</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192</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Vanuatu</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193</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Venezuela (Bolivarian Republic of)</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0.569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31 536 </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31 808 </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194</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Viet Nam</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195</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Yemen</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196</w:t>
            </w:r>
          </w:p>
        </w:tc>
        <w:tc>
          <w:tcPr>
            <w:tcW w:w="4079" w:type="dxa"/>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Zambia</w:t>
            </w:r>
          </w:p>
        </w:tc>
        <w:tc>
          <w:tcPr>
            <w:tcW w:w="1701"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F81A17" w:rsidTr="00CD35BB">
        <w:trPr>
          <w:trHeight w:val="300"/>
        </w:trPr>
        <w:tc>
          <w:tcPr>
            <w:tcW w:w="648" w:type="dxa"/>
            <w:tcBorders>
              <w:bottom w:val="single" w:sz="4" w:space="0" w:color="auto"/>
            </w:tcBorders>
            <w:shd w:val="clear" w:color="auto" w:fill="auto"/>
            <w:noWrap/>
            <w:hideMark/>
          </w:tcPr>
          <w:p w:rsidR="00DB73D0" w:rsidRPr="004E7D79" w:rsidRDefault="00DB73D0" w:rsidP="006A67BA">
            <w:pPr>
              <w:spacing w:before="40" w:after="40"/>
              <w:jc w:val="right"/>
              <w:rPr>
                <w:sz w:val="18"/>
                <w:szCs w:val="18"/>
                <w:lang w:val="en-US"/>
              </w:rPr>
            </w:pPr>
            <w:r w:rsidRPr="004E7D79">
              <w:rPr>
                <w:sz w:val="18"/>
                <w:szCs w:val="18"/>
                <w:lang w:val="en-US"/>
              </w:rPr>
              <w:t>197</w:t>
            </w:r>
          </w:p>
        </w:tc>
        <w:tc>
          <w:tcPr>
            <w:tcW w:w="4079" w:type="dxa"/>
            <w:tcBorders>
              <w:bottom w:val="single" w:sz="4" w:space="0" w:color="auto"/>
            </w:tcBorders>
            <w:shd w:val="clear" w:color="auto" w:fill="auto"/>
            <w:noWrap/>
            <w:hideMark/>
          </w:tcPr>
          <w:p w:rsidR="00DB73D0" w:rsidRPr="00CD35BB" w:rsidRDefault="00DB73D0" w:rsidP="00CD35BB">
            <w:pPr>
              <w:spacing w:before="40" w:after="40"/>
              <w:rPr>
                <w:sz w:val="18"/>
                <w:szCs w:val="18"/>
                <w:lang w:val="en-US"/>
              </w:rPr>
            </w:pPr>
            <w:r w:rsidRPr="00CD35BB">
              <w:rPr>
                <w:sz w:val="18"/>
                <w:szCs w:val="18"/>
                <w:lang w:val="en-US"/>
              </w:rPr>
              <w:t>Zimbabwe</w:t>
            </w:r>
          </w:p>
        </w:tc>
        <w:tc>
          <w:tcPr>
            <w:tcW w:w="1701" w:type="dxa"/>
            <w:tcBorders>
              <w:bottom w:val="single" w:sz="4" w:space="0" w:color="auto"/>
            </w:tcBorders>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 xml:space="preserve">0.000 </w:t>
            </w:r>
          </w:p>
        </w:tc>
        <w:tc>
          <w:tcPr>
            <w:tcW w:w="1559" w:type="dxa"/>
            <w:tcBorders>
              <w:bottom w:val="single" w:sz="4" w:space="0" w:color="auto"/>
            </w:tcBorders>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c>
          <w:tcPr>
            <w:tcW w:w="1526" w:type="dxa"/>
            <w:tcBorders>
              <w:bottom w:val="single" w:sz="4" w:space="0" w:color="auto"/>
            </w:tcBorders>
            <w:shd w:val="clear" w:color="auto" w:fill="auto"/>
            <w:noWrap/>
            <w:hideMark/>
          </w:tcPr>
          <w:p w:rsidR="00DB73D0" w:rsidRPr="004E7D79" w:rsidRDefault="00DB73D0" w:rsidP="006A67BA">
            <w:pPr>
              <w:spacing w:before="40" w:after="40"/>
              <w:jc w:val="right"/>
              <w:rPr>
                <w:bCs/>
                <w:sz w:val="18"/>
                <w:szCs w:val="18"/>
                <w:lang w:val="en-US"/>
              </w:rPr>
            </w:pPr>
            <w:r w:rsidRPr="004E7D79">
              <w:rPr>
                <w:bCs/>
                <w:sz w:val="18"/>
                <w:szCs w:val="18"/>
                <w:lang w:val="en-US"/>
              </w:rPr>
              <w:t>–</w:t>
            </w:r>
          </w:p>
        </w:tc>
      </w:tr>
      <w:tr w:rsidR="00DB73D0" w:rsidRPr="00B60A16" w:rsidTr="00CD35BB">
        <w:trPr>
          <w:trHeight w:val="209"/>
        </w:trPr>
        <w:tc>
          <w:tcPr>
            <w:tcW w:w="648" w:type="dxa"/>
            <w:tcBorders>
              <w:top w:val="single" w:sz="4" w:space="0" w:color="auto"/>
              <w:bottom w:val="single" w:sz="12" w:space="0" w:color="auto"/>
            </w:tcBorders>
            <w:shd w:val="clear" w:color="auto" w:fill="auto"/>
            <w:noWrap/>
            <w:hideMark/>
          </w:tcPr>
          <w:p w:rsidR="00DB73D0" w:rsidRPr="004E7D79" w:rsidRDefault="00DB73D0" w:rsidP="006A67BA">
            <w:pPr>
              <w:spacing w:before="40" w:after="40"/>
              <w:rPr>
                <w:b/>
                <w:sz w:val="18"/>
                <w:szCs w:val="18"/>
                <w:lang w:val="en-US"/>
              </w:rPr>
            </w:pPr>
            <w:r w:rsidRPr="004E7D79">
              <w:rPr>
                <w:b/>
                <w:sz w:val="18"/>
                <w:szCs w:val="18"/>
                <w:lang w:val="en-US"/>
              </w:rPr>
              <w:t> </w:t>
            </w:r>
          </w:p>
        </w:tc>
        <w:tc>
          <w:tcPr>
            <w:tcW w:w="4079" w:type="dxa"/>
            <w:tcBorders>
              <w:top w:val="single" w:sz="4" w:space="0" w:color="auto"/>
              <w:bottom w:val="single" w:sz="12" w:space="0" w:color="auto"/>
            </w:tcBorders>
            <w:shd w:val="clear" w:color="auto" w:fill="auto"/>
            <w:noWrap/>
            <w:hideMark/>
          </w:tcPr>
          <w:p w:rsidR="00DB73D0" w:rsidRPr="00715700" w:rsidRDefault="00DB73D0" w:rsidP="00CD35BB">
            <w:pPr>
              <w:spacing w:before="40" w:after="40"/>
              <w:ind w:firstLine="181"/>
              <w:rPr>
                <w:b/>
                <w:sz w:val="18"/>
                <w:szCs w:val="18"/>
                <w:lang w:val="en-US"/>
              </w:rPr>
            </w:pPr>
            <w:r w:rsidRPr="00715700">
              <w:rPr>
                <w:b/>
                <w:sz w:val="18"/>
                <w:szCs w:val="18"/>
                <w:lang w:val="en-US"/>
              </w:rPr>
              <w:t>Total</w:t>
            </w:r>
          </w:p>
        </w:tc>
        <w:tc>
          <w:tcPr>
            <w:tcW w:w="1701" w:type="dxa"/>
            <w:tcBorders>
              <w:top w:val="single" w:sz="4" w:space="0" w:color="auto"/>
              <w:bottom w:val="single" w:sz="12" w:space="0" w:color="auto"/>
            </w:tcBorders>
            <w:shd w:val="clear" w:color="auto" w:fill="auto"/>
            <w:noWrap/>
            <w:hideMark/>
          </w:tcPr>
          <w:p w:rsidR="00DB73D0" w:rsidRPr="004E7D79" w:rsidRDefault="00DB73D0" w:rsidP="006A67BA">
            <w:pPr>
              <w:spacing w:before="40" w:after="40"/>
              <w:jc w:val="right"/>
              <w:rPr>
                <w:b/>
                <w:bCs/>
                <w:sz w:val="18"/>
                <w:szCs w:val="18"/>
                <w:lang w:val="en-US"/>
              </w:rPr>
            </w:pPr>
            <w:r w:rsidRPr="004E7D79">
              <w:rPr>
                <w:b/>
                <w:bCs/>
                <w:sz w:val="18"/>
                <w:szCs w:val="18"/>
                <w:lang w:val="en-US"/>
              </w:rPr>
              <w:t xml:space="preserve">100.000 </w:t>
            </w:r>
          </w:p>
        </w:tc>
        <w:tc>
          <w:tcPr>
            <w:tcW w:w="1559" w:type="dxa"/>
            <w:tcBorders>
              <w:top w:val="single" w:sz="4" w:space="0" w:color="auto"/>
              <w:bottom w:val="single" w:sz="12" w:space="0" w:color="auto"/>
            </w:tcBorders>
            <w:shd w:val="clear" w:color="auto" w:fill="auto"/>
            <w:noWrap/>
            <w:hideMark/>
          </w:tcPr>
          <w:p w:rsidR="00DB73D0" w:rsidRPr="004E7D79" w:rsidRDefault="00DB73D0" w:rsidP="006A67BA">
            <w:pPr>
              <w:spacing w:before="40" w:after="40"/>
              <w:jc w:val="right"/>
              <w:rPr>
                <w:b/>
                <w:bCs/>
                <w:sz w:val="18"/>
                <w:szCs w:val="18"/>
                <w:lang w:val="en-US"/>
              </w:rPr>
            </w:pPr>
            <w:r w:rsidRPr="004E7D79">
              <w:rPr>
                <w:b/>
                <w:bCs/>
                <w:sz w:val="18"/>
                <w:szCs w:val="18"/>
                <w:lang w:val="en-US"/>
              </w:rPr>
              <w:t xml:space="preserve">5 546 722 </w:t>
            </w:r>
          </w:p>
        </w:tc>
        <w:tc>
          <w:tcPr>
            <w:tcW w:w="1526" w:type="dxa"/>
            <w:tcBorders>
              <w:top w:val="single" w:sz="4" w:space="0" w:color="auto"/>
              <w:bottom w:val="single" w:sz="12" w:space="0" w:color="auto"/>
            </w:tcBorders>
            <w:shd w:val="clear" w:color="auto" w:fill="auto"/>
            <w:noWrap/>
            <w:hideMark/>
          </w:tcPr>
          <w:p w:rsidR="00DB73D0" w:rsidRPr="004E7D79" w:rsidRDefault="00DB73D0" w:rsidP="006A67BA">
            <w:pPr>
              <w:spacing w:before="40" w:after="40"/>
              <w:jc w:val="right"/>
              <w:rPr>
                <w:b/>
                <w:bCs/>
                <w:sz w:val="18"/>
                <w:szCs w:val="18"/>
                <w:lang w:val="en-US"/>
              </w:rPr>
            </w:pPr>
            <w:r w:rsidRPr="004E7D79">
              <w:rPr>
                <w:b/>
                <w:bCs/>
                <w:sz w:val="18"/>
                <w:szCs w:val="18"/>
                <w:lang w:val="en-US"/>
              </w:rPr>
              <w:t xml:space="preserve">5 594 470 </w:t>
            </w:r>
          </w:p>
        </w:tc>
      </w:tr>
    </w:tbl>
    <w:p w:rsidR="00DB73D0" w:rsidRPr="00F65FC9" w:rsidRDefault="00DB73D0" w:rsidP="00DB73D0"/>
    <w:p w:rsidR="00DB73D0" w:rsidRDefault="00DB73D0">
      <w:pPr>
        <w:tabs>
          <w:tab w:val="clear" w:pos="1247"/>
          <w:tab w:val="clear" w:pos="1814"/>
          <w:tab w:val="clear" w:pos="2381"/>
          <w:tab w:val="clear" w:pos="2948"/>
          <w:tab w:val="clear" w:pos="3515"/>
        </w:tabs>
        <w:rPr>
          <w:b/>
          <w:bCs/>
          <w:sz w:val="28"/>
          <w:szCs w:val="22"/>
        </w:rPr>
      </w:pPr>
      <w:r>
        <w:br w:type="page"/>
      </w:r>
    </w:p>
    <w:p w:rsidR="004C6B9D" w:rsidRPr="00F65FC9" w:rsidRDefault="008B7091" w:rsidP="004E7D79">
      <w:pPr>
        <w:pStyle w:val="ZZAnxheader"/>
        <w:tabs>
          <w:tab w:val="left" w:pos="4082"/>
        </w:tabs>
      </w:pPr>
      <w:r w:rsidRPr="00F65FC9">
        <w:lastRenderedPageBreak/>
        <w:t>Annex</w:t>
      </w:r>
      <w:r w:rsidR="00DB73D0">
        <w:t xml:space="preserve"> VI</w:t>
      </w:r>
    </w:p>
    <w:p w:rsidR="008B7091" w:rsidRPr="00F65FC9" w:rsidRDefault="008B7091" w:rsidP="004E7D79">
      <w:pPr>
        <w:pStyle w:val="ZZAnxtitle"/>
      </w:pPr>
      <w:r w:rsidRPr="00EC637D">
        <w:t>Summaries of presentations by members of the assessment panels</w:t>
      </w:r>
      <w:r w:rsidRPr="00F65FC9">
        <w:t xml:space="preserve"> and technical options committees</w:t>
      </w:r>
    </w:p>
    <w:p w:rsidR="008B7091" w:rsidRPr="00F65FC9" w:rsidRDefault="00F7476C" w:rsidP="004E7D79">
      <w:pPr>
        <w:pStyle w:val="CH2"/>
      </w:pPr>
      <w:r>
        <w:tab/>
        <w:t>A.</w:t>
      </w:r>
      <w:r>
        <w:tab/>
      </w:r>
      <w:r w:rsidR="008B7091" w:rsidRPr="00E861A7">
        <w:t>Presentation by the M</w:t>
      </w:r>
      <w:r w:rsidR="008B7091" w:rsidRPr="00F65FC9">
        <w:t>ethyl Bromide Technical Options Committee on final recommendations for critical-use exemptions for 2017 and 2018</w:t>
      </w:r>
    </w:p>
    <w:p w:rsidR="008D263A" w:rsidRDefault="008D263A"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t xml:space="preserve">On behalf of </w:t>
      </w:r>
      <w:r w:rsidR="00EC637D">
        <w:t xml:space="preserve">the </w:t>
      </w:r>
      <w:r w:rsidR="00EC637D" w:rsidRPr="00F65FC9">
        <w:t>Technology and Economic Assessment Panel</w:t>
      </w:r>
      <w:r>
        <w:t xml:space="preserve">, the </w:t>
      </w:r>
      <w:r w:rsidR="00EC637D">
        <w:t xml:space="preserve">Co-Chairs of the </w:t>
      </w:r>
      <w:r>
        <w:t xml:space="preserve">Methyl Bromide Technical Options Committee, Mohammed Besri, Ian Porter and Marta Pizano presented an overview of the trends and outcomes for </w:t>
      </w:r>
      <w:r w:rsidR="00EC637D">
        <w:t>critical use</w:t>
      </w:r>
      <w:r>
        <w:t xml:space="preserve"> nominations submitted in 2017 for use in 2018 and 2019.</w:t>
      </w:r>
    </w:p>
    <w:p w:rsidR="008D263A" w:rsidRDefault="008D263A"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t xml:space="preserve">In opening the presentation, </w:t>
      </w:r>
      <w:r w:rsidR="0021455A">
        <w:t xml:space="preserve">Mr. </w:t>
      </w:r>
      <w:r>
        <w:t xml:space="preserve">Besri reported that </w:t>
      </w:r>
      <w:r w:rsidR="00EC637D">
        <w:t xml:space="preserve">parties </w:t>
      </w:r>
      <w:r>
        <w:t xml:space="preserve">nominating critical use exemptions are requested under </w:t>
      </w:r>
      <w:r w:rsidR="00EC637D">
        <w:t xml:space="preserve">decision </w:t>
      </w:r>
      <w:r>
        <w:t>Ex.I/4</w:t>
      </w:r>
      <w:r w:rsidR="0063589A">
        <w:t xml:space="preserve">, adopted </w:t>
      </w:r>
      <w:r>
        <w:t xml:space="preserve">at the </w:t>
      </w:r>
      <w:r w:rsidR="00EC637D">
        <w:t>F</w:t>
      </w:r>
      <w:r w:rsidR="0063589A">
        <w:t>irst</w:t>
      </w:r>
      <w:r w:rsidR="00EC637D">
        <w:t xml:space="preserve"> </w:t>
      </w:r>
      <w:r>
        <w:t>Extraordinary Meeting of the Parties</w:t>
      </w:r>
      <w:r w:rsidR="0063589A">
        <w:t xml:space="preserve"> to the Montreal Protocol of Substances that Deplete the Ozone Layer, held in Montreal from 24 to 26 March </w:t>
      </w:r>
      <w:r>
        <w:t>2004</w:t>
      </w:r>
      <w:r w:rsidR="0063589A">
        <w:t>,</w:t>
      </w:r>
      <w:r>
        <w:t xml:space="preserve"> to submit information on stocks. The quantities of </w:t>
      </w:r>
      <w:r w:rsidR="0063589A">
        <w:t>methyl bromide “</w:t>
      </w:r>
      <w:r>
        <w:t>on hand</w:t>
      </w:r>
      <w:r w:rsidR="0063589A">
        <w:t>”</w:t>
      </w:r>
      <w:r>
        <w:t xml:space="preserve"> at the end of 2016 were presented. He said that </w:t>
      </w:r>
      <w:r w:rsidR="0063589A">
        <w:t>the Methyl Bromide Technical Options Committee</w:t>
      </w:r>
      <w:r w:rsidR="0063589A" w:rsidDel="0063589A">
        <w:t xml:space="preserve"> </w:t>
      </w:r>
      <w:r w:rsidR="0063589A">
        <w:t>had</w:t>
      </w:r>
      <w:r>
        <w:t xml:space="preserve"> not reduced its recommended amount of methyl bromide in consideration of stocks held by the </w:t>
      </w:r>
      <w:r w:rsidR="0063589A">
        <w:t>party</w:t>
      </w:r>
      <w:r>
        <w:t xml:space="preserve">. He added that information on stocks has been reported by some countries but not by others. </w:t>
      </w:r>
    </w:p>
    <w:p w:rsidR="008D263A" w:rsidRPr="004219FE" w:rsidRDefault="008D263A"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t xml:space="preserve">He then said that since 2005 there </w:t>
      </w:r>
      <w:r w:rsidR="0063589A">
        <w:t xml:space="preserve">had </w:t>
      </w:r>
      <w:r>
        <w:t xml:space="preserve">been a progressive downward trend in the officially reported amounts of </w:t>
      </w:r>
      <w:r w:rsidR="0063589A">
        <w:t xml:space="preserve">methyl bromide </w:t>
      </w:r>
      <w:r>
        <w:t xml:space="preserve">requested for </w:t>
      </w:r>
      <w:r w:rsidR="00EC637D">
        <w:t>critical use nomination</w:t>
      </w:r>
      <w:r>
        <w:t xml:space="preserve">s by all </w:t>
      </w:r>
      <w:r w:rsidR="0063589A">
        <w:t xml:space="preserve">parties </w:t>
      </w:r>
      <w:r>
        <w:t xml:space="preserve">for use on soils, structures and commodities. He presented reduction trends in amounts approved/nominated by </w:t>
      </w:r>
      <w:r w:rsidR="0063589A">
        <w:t xml:space="preserve">parties </w:t>
      </w:r>
      <w:r>
        <w:t xml:space="preserve">for </w:t>
      </w:r>
      <w:r w:rsidR="0063589A">
        <w:t>c</w:t>
      </w:r>
      <w:r>
        <w:t xml:space="preserve">ritical </w:t>
      </w:r>
      <w:r w:rsidR="0063589A">
        <w:t>u</w:t>
      </w:r>
      <w:r>
        <w:t xml:space="preserve">se from 2005 to 2018 </w:t>
      </w:r>
      <w:r w:rsidRPr="004219FE">
        <w:t xml:space="preserve">for all applications. </w:t>
      </w:r>
    </w:p>
    <w:p w:rsidR="008D263A" w:rsidRPr="007022CB" w:rsidRDefault="0021455A"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7022CB">
        <w:t>Mr.</w:t>
      </w:r>
      <w:r w:rsidR="00EA557B" w:rsidRPr="007022CB">
        <w:t xml:space="preserve"> </w:t>
      </w:r>
      <w:r w:rsidR="008D263A" w:rsidRPr="007022CB">
        <w:t xml:space="preserve">Besri reported that quantities of </w:t>
      </w:r>
      <w:r w:rsidR="0063589A" w:rsidRPr="007022CB">
        <w:t>methyl bromide</w:t>
      </w:r>
      <w:r w:rsidR="008D263A" w:rsidRPr="007022CB">
        <w:t xml:space="preserve"> nominated by Argentina for tomato and strawberry production </w:t>
      </w:r>
      <w:r w:rsidR="00FF5938">
        <w:t xml:space="preserve">had </w:t>
      </w:r>
      <w:r w:rsidR="008D263A" w:rsidRPr="007022CB">
        <w:t xml:space="preserve">decreased from 2015 to 2018. The same trends </w:t>
      </w:r>
      <w:r w:rsidR="00FF5938">
        <w:t>had been</w:t>
      </w:r>
      <w:r w:rsidR="00FF5938" w:rsidRPr="007022CB">
        <w:t xml:space="preserve"> </w:t>
      </w:r>
      <w:r w:rsidR="008D263A" w:rsidRPr="007022CB">
        <w:t xml:space="preserve">observed for China (ginger in protected and open field production) and </w:t>
      </w:r>
      <w:r w:rsidR="0011005C" w:rsidRPr="007022CB">
        <w:t xml:space="preserve">South Africa </w:t>
      </w:r>
      <w:r w:rsidR="008D263A" w:rsidRPr="007022CB">
        <w:t xml:space="preserve">(mills and houses). He added that Mexico had not presented any </w:t>
      </w:r>
      <w:r w:rsidR="00EC637D" w:rsidRPr="007022CB">
        <w:t>critical</w:t>
      </w:r>
      <w:r w:rsidR="00FF5938">
        <w:t>-</w:t>
      </w:r>
      <w:r w:rsidR="00EC637D" w:rsidRPr="007022CB">
        <w:t>use nomination</w:t>
      </w:r>
      <w:r w:rsidR="008D263A" w:rsidRPr="007022CB">
        <w:t xml:space="preserve"> since 2016 due to the use of </w:t>
      </w:r>
      <w:r w:rsidR="0063589A" w:rsidRPr="007022CB">
        <w:t>methyl bromide</w:t>
      </w:r>
      <w:r w:rsidR="008D263A" w:rsidRPr="007022CB">
        <w:t xml:space="preserve"> stocks. He showed that </w:t>
      </w:r>
      <w:r w:rsidR="0011005C" w:rsidRPr="007022CB">
        <w:t xml:space="preserve">the </w:t>
      </w:r>
      <w:r w:rsidR="008D263A" w:rsidRPr="007022CB">
        <w:t xml:space="preserve">total amount of </w:t>
      </w:r>
      <w:r w:rsidR="0063589A" w:rsidRPr="007022CB">
        <w:t>methyl bromide</w:t>
      </w:r>
      <w:r w:rsidR="008D263A" w:rsidRPr="007022CB">
        <w:t xml:space="preserve"> requested in </w:t>
      </w:r>
      <w:r w:rsidR="00EC637D" w:rsidRPr="007022CB">
        <w:t>critical</w:t>
      </w:r>
      <w:r w:rsidR="00FF5938">
        <w:t>-</w:t>
      </w:r>
      <w:r w:rsidR="00EC637D" w:rsidRPr="007022CB">
        <w:t>use nomination</w:t>
      </w:r>
      <w:r w:rsidR="008D263A" w:rsidRPr="007022CB">
        <w:t xml:space="preserve">s from all parties had decreased by 33 </w:t>
      </w:r>
      <w:r w:rsidR="0011005C" w:rsidRPr="007022CB">
        <w:t xml:space="preserve">per cent </w:t>
      </w:r>
      <w:r w:rsidR="008D263A" w:rsidRPr="007022CB">
        <w:t>between 2015 and 2018, from about 450 t to about 300 t.</w:t>
      </w:r>
    </w:p>
    <w:p w:rsidR="008D263A" w:rsidRPr="007022CB" w:rsidRDefault="0021455A"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7022CB">
        <w:t>Mr.</w:t>
      </w:r>
      <w:r w:rsidR="008D263A" w:rsidRPr="007022CB">
        <w:t xml:space="preserve"> Porter then provided an overview of the outcomes from the assessment of </w:t>
      </w:r>
      <w:r w:rsidR="00EC637D" w:rsidRPr="007022CB">
        <w:t>critical</w:t>
      </w:r>
      <w:r w:rsidR="00FF5938">
        <w:t>-</w:t>
      </w:r>
      <w:r w:rsidR="00EC637D" w:rsidRPr="007022CB">
        <w:t>use nomination</w:t>
      </w:r>
      <w:r w:rsidR="008D263A" w:rsidRPr="007022CB">
        <w:t xml:space="preserve">s submitted in 2017. He stated that </w:t>
      </w:r>
      <w:r w:rsidR="0011005C" w:rsidRPr="007022CB">
        <w:t xml:space="preserve">five </w:t>
      </w:r>
      <w:r w:rsidR="008D263A" w:rsidRPr="007022CB">
        <w:t xml:space="preserve">countries still applied for 297.9 t of </w:t>
      </w:r>
      <w:r w:rsidR="0063589A" w:rsidRPr="007022CB">
        <w:t>methyl bromide</w:t>
      </w:r>
      <w:r w:rsidR="008D263A" w:rsidRPr="007022CB">
        <w:t xml:space="preserve"> under critical use in eight sectors. Final recommendations for Argentina (tomato 47.7 t</w:t>
      </w:r>
      <w:r w:rsidR="00A537AA" w:rsidRPr="007022CB">
        <w:t>;</w:t>
      </w:r>
      <w:r w:rsidR="008D263A" w:rsidRPr="007022CB">
        <w:t xml:space="preserve"> strawberry fruit 29.0 t), China (ginger open field 16.88 t</w:t>
      </w:r>
      <w:r w:rsidR="00A537AA" w:rsidRPr="007022CB">
        <w:t>;</w:t>
      </w:r>
      <w:r w:rsidR="008D263A" w:rsidRPr="007022CB">
        <w:t xml:space="preserve"> ginger protected 18.36 t</w:t>
      </w:r>
      <w:r w:rsidR="00A537AA" w:rsidRPr="007022CB">
        <w:t>) and South Africa</w:t>
      </w:r>
      <w:r w:rsidR="008D263A" w:rsidRPr="007022CB">
        <w:t xml:space="preserve"> </w:t>
      </w:r>
      <w:r w:rsidR="007E70CE">
        <w:br/>
      </w:r>
      <w:r w:rsidR="008D263A" w:rsidRPr="007022CB">
        <w:t>(mills 2.9 t</w:t>
      </w:r>
      <w:r w:rsidR="00A537AA" w:rsidRPr="007022CB">
        <w:t>;</w:t>
      </w:r>
      <w:r w:rsidR="008D263A" w:rsidRPr="007022CB">
        <w:t xml:space="preserve"> houses 42.75 t) had not changed from those recommended </w:t>
      </w:r>
      <w:r w:rsidR="00A537AA" w:rsidRPr="007022CB">
        <w:t>at</w:t>
      </w:r>
      <w:r w:rsidR="009575F6" w:rsidRPr="007022CB">
        <w:t xml:space="preserve"> the</w:t>
      </w:r>
      <w:r w:rsidR="00A537AA" w:rsidRPr="007022CB">
        <w:t xml:space="preserve"> </w:t>
      </w:r>
      <w:r w:rsidR="009575F6" w:rsidRPr="007022CB">
        <w:t xml:space="preserve">thirty-ninth meeting of the </w:t>
      </w:r>
      <w:r w:rsidR="00A537AA" w:rsidRPr="007022CB">
        <w:t>Open</w:t>
      </w:r>
      <w:r w:rsidR="00A537AA" w:rsidRPr="007022CB">
        <w:noBreakHyphen/>
        <w:t>ended Working Group</w:t>
      </w:r>
      <w:r w:rsidR="008D263A" w:rsidRPr="007022CB">
        <w:t xml:space="preserve">, however those from Australia and Canada had been reassessed after further information had been provided by the parties after the </w:t>
      </w:r>
      <w:r w:rsidR="009575F6" w:rsidRPr="004E7D79">
        <w:t>thirty-ninth meeting</w:t>
      </w:r>
      <w:r w:rsidR="008D263A" w:rsidRPr="007022CB">
        <w:t xml:space="preserve">. </w:t>
      </w:r>
    </w:p>
    <w:p w:rsidR="008D263A" w:rsidRDefault="008D263A"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t xml:space="preserve">For Australian strawberry runners in 2019, the full amount of 28.98 t was recommended. Although the nomination aligned with </w:t>
      </w:r>
      <w:r w:rsidR="00A537AA">
        <w:t xml:space="preserve">decision </w:t>
      </w:r>
      <w:r>
        <w:t xml:space="preserve">IX/6, </w:t>
      </w:r>
      <w:r w:rsidR="00A537AA">
        <w:t>the Methyl Bromide Technical Options Committee</w:t>
      </w:r>
      <w:r>
        <w:t xml:space="preserve"> continue</w:t>
      </w:r>
      <w:r w:rsidR="00F576B7">
        <w:t>d</w:t>
      </w:r>
      <w:r>
        <w:t xml:space="preserve"> to encourage the </w:t>
      </w:r>
      <w:r w:rsidR="00A537AA">
        <w:t xml:space="preserve">party </w:t>
      </w:r>
      <w:r>
        <w:t>to review regulations and other hurdles that constrain</w:t>
      </w:r>
      <w:r w:rsidR="00F576B7">
        <w:t>ed</w:t>
      </w:r>
      <w:r>
        <w:t xml:space="preserve"> the adoption of alternatives. This </w:t>
      </w:r>
      <w:r w:rsidR="00F576B7">
        <w:t xml:space="preserve">would </w:t>
      </w:r>
      <w:r>
        <w:t xml:space="preserve">ensure that together with </w:t>
      </w:r>
      <w:r w:rsidR="00A537AA">
        <w:t>research and development</w:t>
      </w:r>
      <w:r>
        <w:t xml:space="preserve"> presently under way a successful phaseout plan </w:t>
      </w:r>
      <w:r w:rsidR="00F576B7">
        <w:t xml:space="preserve">could </w:t>
      </w:r>
      <w:r>
        <w:t>be implemented</w:t>
      </w:r>
      <w:r w:rsidR="00A537AA">
        <w:t>.</w:t>
      </w:r>
    </w:p>
    <w:p w:rsidR="008D263A" w:rsidRDefault="008D263A"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t>For Canadian strawberry runners in 2018</w:t>
      </w:r>
      <w:r w:rsidR="00A537AA">
        <w:t>, the</w:t>
      </w:r>
      <w:r>
        <w:t xml:space="preserve"> </w:t>
      </w:r>
      <w:r w:rsidR="00A537AA">
        <w:t>Methyl Bromide Technical Options Committee</w:t>
      </w:r>
      <w:r>
        <w:t xml:space="preserve"> </w:t>
      </w:r>
      <w:r w:rsidR="00A537AA">
        <w:t xml:space="preserve">recommended </w:t>
      </w:r>
      <w:r w:rsidR="00F576B7">
        <w:t xml:space="preserve">the </w:t>
      </w:r>
      <w:r>
        <w:t>full amount of 5.261 t</w:t>
      </w:r>
      <w:r w:rsidR="00A537AA">
        <w:t>;</w:t>
      </w:r>
      <w:r>
        <w:t xml:space="preserve"> however</w:t>
      </w:r>
      <w:r w:rsidR="00A537AA">
        <w:t>,</w:t>
      </w:r>
      <w:r>
        <w:t xml:space="preserve"> there were continued concerns about chloropicrin (Pic) being able to be used in </w:t>
      </w:r>
      <w:r w:rsidR="00030AF7">
        <w:t>methyl bromide</w:t>
      </w:r>
      <w:r>
        <w:t xml:space="preserve">/Pic mixtures, but not when it </w:t>
      </w:r>
      <w:r w:rsidR="00F576B7">
        <w:t>was</w:t>
      </w:r>
      <w:r>
        <w:t xml:space="preserve"> applied alone. </w:t>
      </w:r>
    </w:p>
    <w:p w:rsidR="008D263A" w:rsidRDefault="008D263A"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t>Both nominations from Argentina (strawberry fruit 45.3 t</w:t>
      </w:r>
      <w:r w:rsidR="00A537AA">
        <w:t>;</w:t>
      </w:r>
      <w:r>
        <w:t xml:space="preserve"> tomatoes 75.4 t) were reduced to meet the standard presumptions for </w:t>
      </w:r>
      <w:r w:rsidR="00030AF7">
        <w:t>methyl bromide</w:t>
      </w:r>
      <w:r>
        <w:t xml:space="preserve"> dosage rates used with barrier films over a </w:t>
      </w:r>
      <w:r w:rsidR="00A537AA">
        <w:t>three</w:t>
      </w:r>
      <w:r w:rsidR="00A537AA">
        <w:noBreakHyphen/>
      </w:r>
      <w:r>
        <w:t>year adoption period. A further 10</w:t>
      </w:r>
      <w:r w:rsidR="00A537AA">
        <w:t xml:space="preserve"> per cent </w:t>
      </w:r>
      <w:r>
        <w:t>reduction was made for uptake of available alternatives. For the strawberry nomination</w:t>
      </w:r>
      <w:r w:rsidR="00A537AA">
        <w:t>,</w:t>
      </w:r>
      <w:r>
        <w:t xml:space="preserve"> the party was urged to consider practices</w:t>
      </w:r>
      <w:r w:rsidR="00A537AA">
        <w:t xml:space="preserve"> that </w:t>
      </w:r>
      <w:r>
        <w:t>improve the likelihood of adoption of available alternatives (i</w:t>
      </w:r>
      <w:r w:rsidR="00A537AA">
        <w:t>.</w:t>
      </w:r>
      <w:r>
        <w:t>e</w:t>
      </w:r>
      <w:r w:rsidR="00A537AA">
        <w:t>.</w:t>
      </w:r>
      <w:r w:rsidR="00FF5938">
        <w:t>,</w:t>
      </w:r>
      <w:r>
        <w:t xml:space="preserve"> 1,3-D/Pic) and for the tomato nomination </w:t>
      </w:r>
      <w:r w:rsidR="00A537AA">
        <w:t>the Methyl Bromide Technical Options Committee</w:t>
      </w:r>
      <w:r>
        <w:t xml:space="preserve"> did not accept an increase in the nominated amount from the </w:t>
      </w:r>
      <w:r w:rsidR="00A537AA">
        <w:t xml:space="preserve">critical use exemption </w:t>
      </w:r>
      <w:r>
        <w:t>approved last year.</w:t>
      </w:r>
    </w:p>
    <w:p w:rsidR="008D263A" w:rsidRDefault="008D263A"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t>For the nomination from China for open field ginger of 74.617 t</w:t>
      </w:r>
      <w:r w:rsidR="00A537AA">
        <w:t>,</w:t>
      </w:r>
      <w:r>
        <w:t xml:space="preserve"> the interim recommendation was reduced for use of a rate </w:t>
      </w:r>
      <w:r w:rsidR="00A537AA">
        <w:t xml:space="preserve">that </w:t>
      </w:r>
      <w:r>
        <w:t>met the standard presumptions for use with barrier films.</w:t>
      </w:r>
    </w:p>
    <w:p w:rsidR="008D263A" w:rsidRDefault="008D263A"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t xml:space="preserve">Mr. Porter finalized the presentation by summarizing issues and the work plan for future </w:t>
      </w:r>
      <w:r w:rsidR="00EC637D">
        <w:t>critical</w:t>
      </w:r>
      <w:r w:rsidR="00FF5938">
        <w:t>-</w:t>
      </w:r>
      <w:r w:rsidR="00EC637D">
        <w:t>use nomination</w:t>
      </w:r>
      <w:r>
        <w:t xml:space="preserve"> requests. He stated that </w:t>
      </w:r>
      <w:r w:rsidR="0021455A">
        <w:t xml:space="preserve">the </w:t>
      </w:r>
      <w:r w:rsidR="00A537AA">
        <w:t>Methyl Bromide Technical Options Committee</w:t>
      </w:r>
      <w:r>
        <w:t xml:space="preserve"> </w:t>
      </w:r>
      <w:r w:rsidR="0021455A">
        <w:t xml:space="preserve">was </w:t>
      </w:r>
      <w:r>
        <w:t xml:space="preserve">aware of uses of </w:t>
      </w:r>
      <w:r w:rsidR="00030AF7">
        <w:t>methyl bromide</w:t>
      </w:r>
      <w:r>
        <w:t xml:space="preserve"> for which no </w:t>
      </w:r>
      <w:r w:rsidR="00EC637D">
        <w:t>critical</w:t>
      </w:r>
      <w:r w:rsidR="00FF5938">
        <w:t>-</w:t>
      </w:r>
      <w:r w:rsidR="00EC637D">
        <w:t>use nomination</w:t>
      </w:r>
      <w:r>
        <w:t xml:space="preserve"> </w:t>
      </w:r>
      <w:r w:rsidR="00F576B7">
        <w:t>was</w:t>
      </w:r>
      <w:r>
        <w:t xml:space="preserve"> being sought. Also</w:t>
      </w:r>
      <w:r w:rsidR="0021455A">
        <w:t xml:space="preserve">, the </w:t>
      </w:r>
      <w:r w:rsidR="00A537AA">
        <w:lastRenderedPageBreak/>
        <w:t>Methyl Bromide Technical Options Committee</w:t>
      </w:r>
      <w:r>
        <w:t xml:space="preserve"> </w:t>
      </w:r>
      <w:r w:rsidR="0021455A">
        <w:t xml:space="preserve">felt </w:t>
      </w:r>
      <w:r>
        <w:t xml:space="preserve">that continued </w:t>
      </w:r>
      <w:r w:rsidR="00030AF7">
        <w:t>methyl bromide</w:t>
      </w:r>
      <w:r>
        <w:t xml:space="preserve"> supply for </w:t>
      </w:r>
      <w:r w:rsidR="00EC637D">
        <w:t>critical</w:t>
      </w:r>
      <w:r w:rsidR="00FF5938">
        <w:noBreakHyphen/>
      </w:r>
      <w:r w:rsidR="00EC637D">
        <w:t>use nomination</w:t>
      </w:r>
      <w:r>
        <w:t xml:space="preserve">s </w:t>
      </w:r>
      <w:r w:rsidR="0021455A">
        <w:t xml:space="preserve">was </w:t>
      </w:r>
      <w:r>
        <w:t xml:space="preserve">in itself becoming a barrier </w:t>
      </w:r>
      <w:r w:rsidR="00FF5938">
        <w:t xml:space="preserve">to </w:t>
      </w:r>
      <w:r>
        <w:t>technological change and consideration of alternatives.</w:t>
      </w:r>
    </w:p>
    <w:p w:rsidR="008D263A" w:rsidRDefault="008D263A"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t xml:space="preserve">China </w:t>
      </w:r>
      <w:r w:rsidR="0021455A">
        <w:t xml:space="preserve">had </w:t>
      </w:r>
      <w:r>
        <w:t xml:space="preserve">indicated its </w:t>
      </w:r>
      <w:r w:rsidRPr="004219FE">
        <w:t xml:space="preserve">intention for </w:t>
      </w:r>
      <w:r w:rsidR="0021455A" w:rsidRPr="007022CB">
        <w:t xml:space="preserve">2017 </w:t>
      </w:r>
      <w:r w:rsidRPr="007022CB">
        <w:t>to be the last year</w:t>
      </w:r>
      <w:r>
        <w:t xml:space="preserve"> of critical</w:t>
      </w:r>
      <w:r w:rsidR="00FF5938">
        <w:t>-</w:t>
      </w:r>
      <w:r>
        <w:t>use nominations</w:t>
      </w:r>
      <w:r w:rsidR="0021455A">
        <w:t>.</w:t>
      </w:r>
    </w:p>
    <w:p w:rsidR="008B7091" w:rsidRPr="00DB6883" w:rsidRDefault="008D263A"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t xml:space="preserve">In closing the presentation, </w:t>
      </w:r>
      <w:r w:rsidR="0021455A">
        <w:t xml:space="preserve">Mr. Porter </w:t>
      </w:r>
      <w:r>
        <w:t xml:space="preserve">stressed that any nominations submitted in 2018 must be submitted to </w:t>
      </w:r>
      <w:r w:rsidR="0021455A">
        <w:t xml:space="preserve">the </w:t>
      </w:r>
      <w:r w:rsidR="00A537AA">
        <w:t>Methyl Bromide Technical Options Committee</w:t>
      </w:r>
      <w:r>
        <w:t xml:space="preserve"> by 24 January 2018</w:t>
      </w:r>
      <w:r w:rsidR="008B7091" w:rsidRPr="00DB6883">
        <w:t>.</w:t>
      </w:r>
    </w:p>
    <w:p w:rsidR="008B7091" w:rsidRPr="00DF6D5C" w:rsidRDefault="00D13F71" w:rsidP="00D13F71">
      <w:pPr>
        <w:pStyle w:val="CH2"/>
      </w:pPr>
      <w:r>
        <w:tab/>
        <w:t>B.</w:t>
      </w:r>
      <w:r>
        <w:tab/>
      </w:r>
      <w:r w:rsidR="008B7091" w:rsidRPr="00E861A7">
        <w:t>Supplemental report of the Technology and Economic Assessment Panel replenishment task force</w:t>
      </w:r>
    </w:p>
    <w:p w:rsidR="008B7091" w:rsidRPr="00DB6883" w:rsidRDefault="008B7091"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E861A7">
        <w:t>The Co-</w:t>
      </w:r>
      <w:r w:rsidR="008F5C73">
        <w:t>C</w:t>
      </w:r>
      <w:r w:rsidR="008F5C73" w:rsidRPr="00E861A7">
        <w:t xml:space="preserve">hairs </w:t>
      </w:r>
      <w:r w:rsidRPr="00E861A7">
        <w:t>of the Technology and Economic Assessment Panel replenishment task force on the funding</w:t>
      </w:r>
      <w:r w:rsidRPr="00DB6883">
        <w:t xml:space="preserve"> requirement for the replenishment for the </w:t>
      </w:r>
      <w:r w:rsidR="0021455A" w:rsidRPr="00DB6883">
        <w:t xml:space="preserve">triennium </w:t>
      </w:r>
      <w:r w:rsidRPr="00DB6883">
        <w:t>2018</w:t>
      </w:r>
      <w:r w:rsidR="0021455A">
        <w:t>–</w:t>
      </w:r>
      <w:r w:rsidRPr="00DB6883">
        <w:t>2020, Lambert Kuijpers, Bella Maranion and Shiqiu Zhang</w:t>
      </w:r>
      <w:r w:rsidR="0021455A">
        <w:t>,</w:t>
      </w:r>
      <w:r w:rsidRPr="00DB6883">
        <w:t xml:space="preserve"> gave a presentation in plenary on the supplemental report</w:t>
      </w:r>
      <w:r w:rsidR="0021455A" w:rsidRPr="0021455A">
        <w:t xml:space="preserve"> </w:t>
      </w:r>
      <w:r w:rsidR="0021455A">
        <w:t xml:space="preserve">of the </w:t>
      </w:r>
      <w:r w:rsidR="0021455A" w:rsidRPr="00DB6883">
        <w:t>task force</w:t>
      </w:r>
      <w:r w:rsidRPr="00DB6883">
        <w:t>, which further assesse</w:t>
      </w:r>
      <w:r w:rsidR="00FF5938">
        <w:t>d</w:t>
      </w:r>
      <w:r w:rsidRPr="00DB6883">
        <w:t xml:space="preserve"> a number of parameters in the funding requirement for the replenishment of the Multilateral Fund for 2018–2020</w:t>
      </w:r>
      <w:r w:rsidR="0021455A">
        <w:t>.</w:t>
      </w:r>
    </w:p>
    <w:p w:rsidR="008B7091" w:rsidRPr="00DB6883" w:rsidRDefault="008B7091"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DB6883">
        <w:t xml:space="preserve">Ms. Zhang, </w:t>
      </w:r>
      <w:r w:rsidR="008F5C73">
        <w:t>C</w:t>
      </w:r>
      <w:r w:rsidRPr="00DB6883">
        <w:t>o-</w:t>
      </w:r>
      <w:r w:rsidR="008F5C73">
        <w:t>C</w:t>
      </w:r>
      <w:r w:rsidRPr="00DB6883">
        <w:t xml:space="preserve">hair of the task force, started the presentation with </w:t>
      </w:r>
      <w:r w:rsidR="009575F6">
        <w:t xml:space="preserve">a description of </w:t>
      </w:r>
      <w:r w:rsidRPr="00DB6883">
        <w:t xml:space="preserve">the mandate given by </w:t>
      </w:r>
      <w:r w:rsidR="0021455A">
        <w:t>d</w:t>
      </w:r>
      <w:r w:rsidR="0021455A" w:rsidRPr="00DB6883">
        <w:t xml:space="preserve">ecision </w:t>
      </w:r>
      <w:r w:rsidRPr="00DB6883">
        <w:t xml:space="preserve">XXVIII/5, which requested </w:t>
      </w:r>
      <w:r w:rsidR="0021455A">
        <w:t xml:space="preserve">the </w:t>
      </w:r>
      <w:r w:rsidR="0021455A" w:rsidRPr="00E861A7">
        <w:t xml:space="preserve">Technology and Economic Assessment Panel </w:t>
      </w:r>
      <w:r w:rsidRPr="00DB6883">
        <w:t>to prepare a report to enable parties to decide on the appropriate level of the replenishment of the Multilateral Fund for the triennium 2018</w:t>
      </w:r>
      <w:r w:rsidR="0021455A">
        <w:t>–</w:t>
      </w:r>
      <w:r w:rsidRPr="00DB6883">
        <w:t xml:space="preserve">2020. </w:t>
      </w:r>
      <w:r w:rsidR="009575F6">
        <w:t xml:space="preserve">She then described </w:t>
      </w:r>
      <w:r w:rsidRPr="00DB6883">
        <w:t xml:space="preserve">the requests elaborated by the contact group </w:t>
      </w:r>
      <w:r w:rsidR="009575F6">
        <w:t xml:space="preserve">that was </w:t>
      </w:r>
      <w:r w:rsidRPr="00DB6883">
        <w:t>set up during</w:t>
      </w:r>
      <w:r w:rsidR="0021455A">
        <w:t xml:space="preserve"> the</w:t>
      </w:r>
      <w:r w:rsidRPr="00DB6883">
        <w:t xml:space="preserve"> </w:t>
      </w:r>
      <w:r w:rsidR="0021455A">
        <w:t>thirty-ninth meeting of the Open-ended Working Group</w:t>
      </w:r>
      <w:r w:rsidRPr="00DB6883">
        <w:t>, which require</w:t>
      </w:r>
      <w:r w:rsidR="009575F6">
        <w:t>d the</w:t>
      </w:r>
      <w:r w:rsidRPr="00DB6883">
        <w:t xml:space="preserve"> </w:t>
      </w:r>
      <w:r w:rsidR="0021455A">
        <w:t>Technology and Economic Assessment Panel</w:t>
      </w:r>
      <w:r w:rsidRPr="00DB6883">
        <w:t xml:space="preserve"> to elaborate on specific groups of elements in a supplementary report for </w:t>
      </w:r>
      <w:r w:rsidR="009575F6">
        <w:t>the Twenty-Ninth Meeting of the Parties</w:t>
      </w:r>
      <w:r w:rsidRPr="00DB6883">
        <w:t>.</w:t>
      </w:r>
    </w:p>
    <w:p w:rsidR="008B7091" w:rsidRPr="00DB6883" w:rsidRDefault="008B7091"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DB6883">
        <w:t xml:space="preserve">She noted that the requests from the </w:t>
      </w:r>
      <w:r w:rsidR="009575F6">
        <w:t xml:space="preserve">thirty-ninth meeting of the Open-ended Working Group </w:t>
      </w:r>
      <w:r w:rsidRPr="00DB6883">
        <w:t xml:space="preserve">had been grouped and then responded by the </w:t>
      </w:r>
      <w:r w:rsidR="009575F6" w:rsidRPr="00E861A7">
        <w:t xml:space="preserve">replenishment task force </w:t>
      </w:r>
      <w:r w:rsidRPr="00DB6883">
        <w:t xml:space="preserve">study, including the elaboration on paragraph 3 of the </w:t>
      </w:r>
      <w:r w:rsidR="00F15B6E">
        <w:t>t</w:t>
      </w:r>
      <w:r w:rsidRPr="00DB6883">
        <w:t xml:space="preserve">erms of </w:t>
      </w:r>
      <w:r w:rsidR="00F15B6E">
        <w:t>r</w:t>
      </w:r>
      <w:r w:rsidRPr="00DB6883">
        <w:t>eference as expressed in decision XXVIII/5 on indicative figures for any additional resources that would be needed to further encourage the use of low</w:t>
      </w:r>
      <w:r w:rsidR="004A4268">
        <w:noBreakHyphen/>
        <w:t>global</w:t>
      </w:r>
      <w:r w:rsidR="004A4268">
        <w:noBreakHyphen/>
        <w:t>warming</w:t>
      </w:r>
      <w:r w:rsidR="004A4268">
        <w:noBreakHyphen/>
        <w:t xml:space="preserve">potential </w:t>
      </w:r>
      <w:r w:rsidR="000B3A99">
        <w:t xml:space="preserve">(GWP) </w:t>
      </w:r>
      <w:r w:rsidRPr="00DB6883">
        <w:t>or zero-GWP alternatives; the cost effectiveness figures in tonnes, ODP-tonnes and CO</w:t>
      </w:r>
      <w:r w:rsidRPr="00CD35BB">
        <w:rPr>
          <w:vertAlign w:val="subscript"/>
        </w:rPr>
        <w:t xml:space="preserve">2 </w:t>
      </w:r>
      <w:r w:rsidRPr="00DB6883">
        <w:t xml:space="preserve">equivalent; </w:t>
      </w:r>
      <w:r w:rsidRPr="005E584E">
        <w:t xml:space="preserve">the distinction between costs associated with </w:t>
      </w:r>
      <w:r w:rsidR="005E584E" w:rsidRPr="00775440">
        <w:t>activities</w:t>
      </w:r>
      <w:r w:rsidR="005E584E" w:rsidRPr="005E584E">
        <w:t xml:space="preserve"> </w:t>
      </w:r>
      <w:r w:rsidR="005E584E">
        <w:t xml:space="preserve">related to </w:t>
      </w:r>
      <w:r w:rsidR="005E584E" w:rsidRPr="005E584E">
        <w:t>hydrochlorofluorocarbon</w:t>
      </w:r>
      <w:r w:rsidR="005E584E">
        <w:t>s</w:t>
      </w:r>
      <w:r w:rsidR="005E584E" w:rsidRPr="005E584E">
        <w:t xml:space="preserve"> (</w:t>
      </w:r>
      <w:r w:rsidRPr="005E584E">
        <w:t>HCFC</w:t>
      </w:r>
      <w:r w:rsidR="005E584E" w:rsidRPr="004E7D79">
        <w:t xml:space="preserve">) </w:t>
      </w:r>
      <w:r w:rsidRPr="005E584E">
        <w:t xml:space="preserve">and </w:t>
      </w:r>
      <w:r w:rsidR="005E584E" w:rsidRPr="005E584E">
        <w:t>hydrofluorocarbon</w:t>
      </w:r>
      <w:r w:rsidR="005E584E">
        <w:t>s</w:t>
      </w:r>
      <w:r w:rsidR="005E584E" w:rsidRPr="005E584E">
        <w:t xml:space="preserve"> (</w:t>
      </w:r>
      <w:r w:rsidRPr="005E584E">
        <w:t>HFC</w:t>
      </w:r>
      <w:r w:rsidR="005E584E" w:rsidRPr="004E7D79">
        <w:t>)</w:t>
      </w:r>
      <w:r w:rsidRPr="005E584E">
        <w:t>; the scenario comparing previously approved projects with business</w:t>
      </w:r>
      <w:r w:rsidRPr="00DB6883">
        <w:t xml:space="preserve"> plan estimates on an annual basis in relation to determining uncertainty for planned activities; </w:t>
      </w:r>
      <w:r w:rsidR="004A4268">
        <w:t>and</w:t>
      </w:r>
      <w:r w:rsidRPr="00DB6883">
        <w:t xml:space="preserve"> the recent Ex</w:t>
      </w:r>
      <w:r w:rsidR="004A4268">
        <w:t xml:space="preserve">ecutive </w:t>
      </w:r>
      <w:r w:rsidRPr="00DB6883">
        <w:t>Com</w:t>
      </w:r>
      <w:r w:rsidR="004A4268">
        <w:t>mittee</w:t>
      </w:r>
      <w:r w:rsidRPr="00DB6883">
        <w:t xml:space="preserve"> decisions. </w:t>
      </w:r>
    </w:p>
    <w:p w:rsidR="008B7091" w:rsidRPr="00DB6883" w:rsidRDefault="008B7091"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DB6883">
        <w:t xml:space="preserve">Mr. Kuijpers then continued with the presentation. Regarding the </w:t>
      </w:r>
      <w:r w:rsidR="004A4268" w:rsidRPr="00DB6883">
        <w:t>adjust</w:t>
      </w:r>
      <w:r w:rsidR="004A4268">
        <w:t xml:space="preserve">ment </w:t>
      </w:r>
      <w:r w:rsidRPr="00DB6883">
        <w:t>of the plan to approve funding, Mr. Kuijpers noted that for the period 2005</w:t>
      </w:r>
      <w:r w:rsidR="00526730">
        <w:t>–</w:t>
      </w:r>
      <w:r w:rsidRPr="00DB6883">
        <w:t xml:space="preserve">2016, the average percentage of funding for the total of approvals </w:t>
      </w:r>
      <w:r w:rsidR="00F576B7">
        <w:t>was</w:t>
      </w:r>
      <w:r w:rsidRPr="00DB6883">
        <w:t xml:space="preserve"> 83.2</w:t>
      </w:r>
      <w:r w:rsidR="00526730">
        <w:t xml:space="preserve"> per cent</w:t>
      </w:r>
      <w:r w:rsidR="00526730" w:rsidRPr="00DB6883">
        <w:t xml:space="preserve"> </w:t>
      </w:r>
      <w:r w:rsidRPr="00DB6883">
        <w:t xml:space="preserve">of the funding for the total of the planned activities from the </w:t>
      </w:r>
      <w:r w:rsidR="00526730">
        <w:t>b</w:t>
      </w:r>
      <w:r w:rsidRPr="00DB6883">
        <w:t xml:space="preserve">usiness </w:t>
      </w:r>
      <w:r w:rsidR="00526730">
        <w:t>p</w:t>
      </w:r>
      <w:r w:rsidRPr="00DB6883">
        <w:t xml:space="preserve">lan. The average funding agreed by the </w:t>
      </w:r>
      <w:r w:rsidR="00526730" w:rsidRPr="00DB6883">
        <w:t>Ex</w:t>
      </w:r>
      <w:r w:rsidR="00526730">
        <w:t xml:space="preserve">ecutive </w:t>
      </w:r>
      <w:r w:rsidR="00526730" w:rsidRPr="00DB6883">
        <w:t>Com</w:t>
      </w:r>
      <w:r w:rsidR="00526730">
        <w:t>mittee</w:t>
      </w:r>
      <w:r w:rsidR="00526730" w:rsidRPr="00DB6883">
        <w:t xml:space="preserve"> </w:t>
      </w:r>
      <w:r w:rsidRPr="00DB6883">
        <w:t>for each activity was therefore on average 16.8</w:t>
      </w:r>
      <w:r w:rsidR="00526730">
        <w:t xml:space="preserve"> per cent</w:t>
      </w:r>
      <w:r w:rsidR="00526730" w:rsidRPr="00DB6883">
        <w:t xml:space="preserve"> </w:t>
      </w:r>
      <w:r w:rsidRPr="00DB6883">
        <w:t xml:space="preserve">lower than funding estimated in the </w:t>
      </w:r>
      <w:r w:rsidR="00526730">
        <w:t>b</w:t>
      </w:r>
      <w:r w:rsidR="00526730" w:rsidRPr="00DB6883">
        <w:t xml:space="preserve">usiness </w:t>
      </w:r>
      <w:r w:rsidR="00526730">
        <w:t>p</w:t>
      </w:r>
      <w:r w:rsidRPr="00DB6883">
        <w:t xml:space="preserve">lan. By taking the differences between planned and approved funding for the years 2005 through 2016, the calculated uncertainty range </w:t>
      </w:r>
      <w:r w:rsidR="00F576B7">
        <w:t>was</w:t>
      </w:r>
      <w:r w:rsidRPr="00DB6883">
        <w:t xml:space="preserve"> on average +/- 13.5</w:t>
      </w:r>
      <w:r w:rsidR="00526730">
        <w:t xml:space="preserve"> per cent</w:t>
      </w:r>
      <w:r w:rsidR="00526730" w:rsidRPr="00DB6883">
        <w:t xml:space="preserve">. </w:t>
      </w:r>
      <w:r w:rsidRPr="00DB6883">
        <w:t xml:space="preserve">Using </w:t>
      </w:r>
      <w:r w:rsidR="00212D4B">
        <w:t>that</w:t>
      </w:r>
      <w:r w:rsidR="00212D4B" w:rsidRPr="00DB6883">
        <w:t xml:space="preserve"> </w:t>
      </w:r>
      <w:r w:rsidRPr="00DB6883">
        <w:t xml:space="preserve">uncertainty value, the total funding for </w:t>
      </w:r>
      <w:r w:rsidR="00212D4B">
        <w:t>HCFC phase-out management plan</w:t>
      </w:r>
      <w:r w:rsidR="00212D4B" w:rsidRPr="00DB6883">
        <w:t xml:space="preserve"> </w:t>
      </w:r>
      <w:r w:rsidR="00FE42B8">
        <w:t xml:space="preserve">(HPMP) </w:t>
      </w:r>
      <w:r w:rsidRPr="00DB6883">
        <w:t xml:space="preserve">activities </w:t>
      </w:r>
      <w:r w:rsidR="00F576B7">
        <w:t>was</w:t>
      </w:r>
      <w:r w:rsidRPr="00DB6883">
        <w:t>, in principle, approved at a value in the range of about 70</w:t>
      </w:r>
      <w:r w:rsidR="00FE42B8">
        <w:t xml:space="preserve"> to </w:t>
      </w:r>
      <w:r w:rsidRPr="00DB6883">
        <w:t>97</w:t>
      </w:r>
      <w:r w:rsidR="00FE42B8">
        <w:t xml:space="preserve"> per cent</w:t>
      </w:r>
      <w:r w:rsidR="00FE42B8" w:rsidRPr="00DB6883">
        <w:t xml:space="preserve"> </w:t>
      </w:r>
      <w:r w:rsidRPr="00DB6883">
        <w:t xml:space="preserve">of the funding estimated for planned activities. When taking </w:t>
      </w:r>
      <w:r w:rsidR="00FE42B8">
        <w:t xml:space="preserve">into </w:t>
      </w:r>
      <w:r w:rsidRPr="00DB6883">
        <w:t xml:space="preserve">account the impact of approvals of </w:t>
      </w:r>
      <w:r w:rsidR="00FE42B8">
        <w:t xml:space="preserve">the seventy-ninth meeting of the Executive Committee </w:t>
      </w:r>
      <w:r w:rsidRPr="00DB6883">
        <w:t xml:space="preserve">on (the adjusted) planned HPMP activities, the funding </w:t>
      </w:r>
      <w:r w:rsidR="00F576B7">
        <w:t>was</w:t>
      </w:r>
      <w:r w:rsidRPr="00DB6883">
        <w:t xml:space="preserve"> reduced from $97.1 </w:t>
      </w:r>
      <w:r w:rsidR="00FE42B8">
        <w:t xml:space="preserve">million </w:t>
      </w:r>
      <w:r w:rsidRPr="00DB6883">
        <w:t>to $74.1 million for the triennium 2018</w:t>
      </w:r>
      <w:r w:rsidR="00FE42B8">
        <w:t>–</w:t>
      </w:r>
      <w:r w:rsidRPr="00DB6883">
        <w:t>2020 for non-</w:t>
      </w:r>
      <w:r w:rsidR="00FE42B8">
        <w:t xml:space="preserve">low-volume-consuming </w:t>
      </w:r>
      <w:r w:rsidRPr="00DB6883">
        <w:t xml:space="preserve">countries; and the funding </w:t>
      </w:r>
      <w:r w:rsidR="00F576B7">
        <w:t xml:space="preserve">was </w:t>
      </w:r>
      <w:r w:rsidRPr="00DB6883">
        <w:t xml:space="preserve">reduced by $0.23 million since </w:t>
      </w:r>
      <w:r w:rsidR="00FE42B8">
        <w:t>that</w:t>
      </w:r>
      <w:r w:rsidR="00FE42B8" w:rsidRPr="00DB6883">
        <w:t xml:space="preserve"> </w:t>
      </w:r>
      <w:r w:rsidRPr="00DB6883">
        <w:t xml:space="preserve">amount was moved to the approved funding amount for 2017 for </w:t>
      </w:r>
      <w:r w:rsidR="00FE42B8">
        <w:t xml:space="preserve">low-volume-consuming </w:t>
      </w:r>
      <w:r w:rsidRPr="00DB6883">
        <w:t>countries. The approved HPMP activities impl</w:t>
      </w:r>
      <w:r w:rsidR="003B0FEA">
        <w:t>ied</w:t>
      </w:r>
      <w:r w:rsidRPr="00DB6883">
        <w:t xml:space="preserve"> that the funding requirement increased from $289.4 </w:t>
      </w:r>
      <w:r w:rsidR="005E584E" w:rsidRPr="00DB6883">
        <w:t xml:space="preserve">million </w:t>
      </w:r>
      <w:r w:rsidRPr="00DB6883">
        <w:t>to $296.2</w:t>
      </w:r>
      <w:r w:rsidR="004E7D79">
        <w:t> </w:t>
      </w:r>
      <w:r w:rsidRPr="00DB6883">
        <w:t>million for non-</w:t>
      </w:r>
      <w:r w:rsidR="005E584E">
        <w:t xml:space="preserve">low-volume-consuming </w:t>
      </w:r>
      <w:r w:rsidRPr="00DB6883">
        <w:t xml:space="preserve">countries; there was no change for </w:t>
      </w:r>
      <w:r w:rsidR="005E584E">
        <w:t xml:space="preserve">low-volume-consuming </w:t>
      </w:r>
      <w:r w:rsidRPr="00DB6883">
        <w:t xml:space="preserve">countries because some planned funding became approved funding for 2017, which </w:t>
      </w:r>
      <w:r w:rsidR="00F576B7">
        <w:t>was</w:t>
      </w:r>
      <w:r w:rsidRPr="00DB6883">
        <w:t xml:space="preserve"> outside the </w:t>
      </w:r>
      <w:r w:rsidR="005E584E" w:rsidRPr="00DB6883">
        <w:t xml:space="preserve">triennium </w:t>
      </w:r>
      <w:r w:rsidRPr="00DB6883">
        <w:t>2018</w:t>
      </w:r>
      <w:bookmarkStart w:id="6" w:name="_Hlk501116711"/>
      <w:r w:rsidR="005E584E">
        <w:t>–</w:t>
      </w:r>
      <w:bookmarkEnd w:id="6"/>
      <w:r w:rsidRPr="00DB6883">
        <w:t xml:space="preserve">2020. Mr. Kuijpers concluded that as a result of the decisions from </w:t>
      </w:r>
      <w:r w:rsidR="005E584E">
        <w:t>the seventy-ninth meeting of the Executive Committee</w:t>
      </w:r>
      <w:r w:rsidRPr="00DB6883">
        <w:t>, based on the adjusted planned activities, the total funding requirement for HPMPs (excluding any HPMPs stage III) ha</w:t>
      </w:r>
      <w:r w:rsidR="003B0FEA">
        <w:t>d</w:t>
      </w:r>
      <w:r w:rsidRPr="00DB6883">
        <w:t xml:space="preserve"> decreased by $12.5 million, from $388.4 </w:t>
      </w:r>
      <w:r w:rsidR="005E584E" w:rsidRPr="00DB6883">
        <w:t xml:space="preserve">million </w:t>
      </w:r>
      <w:r w:rsidRPr="00DB6883">
        <w:t>to $375.9 million (for the triennium 2018</w:t>
      </w:r>
      <w:r w:rsidR="00FE42B8">
        <w:t>–</w:t>
      </w:r>
      <w:r w:rsidRPr="00DB6883">
        <w:t xml:space="preserve">2020). </w:t>
      </w:r>
    </w:p>
    <w:p w:rsidR="008B7091" w:rsidRPr="00DB6883" w:rsidRDefault="008B7091"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DB6883">
        <w:t>He noted an estimated $0</w:t>
      </w:r>
      <w:r w:rsidR="003B0FEA">
        <w:t>–$</w:t>
      </w:r>
      <w:r w:rsidRPr="00DB6883">
        <w:t>10 million for additional HPMP demo</w:t>
      </w:r>
      <w:r w:rsidR="003B0FEA">
        <w:t>nstration</w:t>
      </w:r>
      <w:r w:rsidRPr="00DB6883">
        <w:t xml:space="preserve"> projects and </w:t>
      </w:r>
      <w:r w:rsidR="00D13F71">
        <w:br/>
      </w:r>
      <w:r w:rsidRPr="00E861A7">
        <w:t>$13.</w:t>
      </w:r>
      <w:r w:rsidRPr="00DB6883">
        <w:t>5</w:t>
      </w:r>
      <w:r w:rsidR="005E584E">
        <w:t xml:space="preserve"> </w:t>
      </w:r>
      <w:r w:rsidR="005E584E" w:rsidRPr="00DB6883">
        <w:t xml:space="preserve">million </w:t>
      </w:r>
      <w:r w:rsidR="005E584E">
        <w:t>to $</w:t>
      </w:r>
      <w:r w:rsidRPr="00DB6883">
        <w:t>20.2 million for HFC enabling activities (incl</w:t>
      </w:r>
      <w:r w:rsidR="005E584E">
        <w:t>uding</w:t>
      </w:r>
      <w:r w:rsidR="005E584E" w:rsidRPr="00DB6883">
        <w:t xml:space="preserve"> </w:t>
      </w:r>
      <w:r w:rsidRPr="00DB6883">
        <w:t>demo</w:t>
      </w:r>
      <w:r w:rsidR="003B0FEA">
        <w:t>nstration</w:t>
      </w:r>
      <w:r w:rsidRPr="00DB6883">
        <w:t xml:space="preserve"> projects) may be needed for additional resources to further encourage </w:t>
      </w:r>
      <w:r w:rsidR="003B0FEA">
        <w:t xml:space="preserve">the </w:t>
      </w:r>
      <w:r w:rsidRPr="00DB6883">
        <w:t>use of low-</w:t>
      </w:r>
      <w:r w:rsidR="009353CE">
        <w:t>GWP</w:t>
      </w:r>
      <w:r w:rsidRPr="00DB6883">
        <w:t xml:space="preserve"> or zero-GWP alternatives. Deferring HPMP stage III activities to the triennium 2021</w:t>
      </w:r>
      <w:r w:rsidR="000B3A99">
        <w:t>–</w:t>
      </w:r>
      <w:r w:rsidRPr="00DB6883">
        <w:t>2023 would reduce the funding requirement presented in the May 2017 report ($0</w:t>
      </w:r>
      <w:r w:rsidR="000B3A99">
        <w:t>–</w:t>
      </w:r>
      <w:r w:rsidRPr="00DB6883">
        <w:t xml:space="preserve">70.95 million) to zero. </w:t>
      </w:r>
    </w:p>
    <w:p w:rsidR="008B7091" w:rsidRPr="00DB6883" w:rsidRDefault="008B7091"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DB6883">
        <w:t xml:space="preserve">Mr. Kuijpers noted that in the May 2017 report, the </w:t>
      </w:r>
      <w:r w:rsidR="009575F6" w:rsidRPr="00E861A7">
        <w:t xml:space="preserve">replenishment task force </w:t>
      </w:r>
      <w:r w:rsidRPr="00DB6883">
        <w:t xml:space="preserve">assumed equal funding tranches for the 14 years for the Chinese </w:t>
      </w:r>
      <w:r w:rsidR="000B3A99">
        <w:t>HCFC production phase-out management plan (</w:t>
      </w:r>
      <w:r w:rsidRPr="00DB6883">
        <w:t>HPPMP</w:t>
      </w:r>
      <w:r w:rsidR="000B3A99">
        <w:t>)</w:t>
      </w:r>
      <w:r w:rsidRPr="00DB6883">
        <w:t xml:space="preserve"> in the period 2017</w:t>
      </w:r>
      <w:r w:rsidR="000B3A99">
        <w:t>–</w:t>
      </w:r>
      <w:r w:rsidRPr="00DB6883">
        <w:t xml:space="preserve">2030, leading to a funding requirement of </w:t>
      </w:r>
      <w:r w:rsidR="000B3A99">
        <w:t>$</w:t>
      </w:r>
      <w:r w:rsidRPr="00DB6883">
        <w:t xml:space="preserve">65.62 million </w:t>
      </w:r>
      <w:r w:rsidRPr="00DB6883">
        <w:lastRenderedPageBreak/>
        <w:t>(</w:t>
      </w:r>
      <w:r w:rsidR="000B3A99">
        <w:t>$</w:t>
      </w:r>
      <w:r w:rsidRPr="00DB6883">
        <w:t>21.87</w:t>
      </w:r>
      <w:r w:rsidR="004E7D79">
        <w:t> </w:t>
      </w:r>
      <w:r w:rsidRPr="00DB6883">
        <w:t>million for each of the three years) for the triennium 2018</w:t>
      </w:r>
      <w:r w:rsidR="000B3A99">
        <w:t>–</w:t>
      </w:r>
      <w:r w:rsidRPr="00DB6883">
        <w:t>2020. This assume</w:t>
      </w:r>
      <w:r w:rsidR="00F576B7">
        <w:t>d</w:t>
      </w:r>
      <w:r w:rsidRPr="00DB6883">
        <w:t xml:space="preserve"> a first tranche of </w:t>
      </w:r>
      <w:r w:rsidR="000B3A99">
        <w:t>$</w:t>
      </w:r>
      <w:r w:rsidRPr="00DB6883">
        <w:t xml:space="preserve">21.87 </w:t>
      </w:r>
      <w:r w:rsidR="000B3A99">
        <w:t xml:space="preserve">million </w:t>
      </w:r>
      <w:r w:rsidRPr="00DB6883">
        <w:t>in the year 2017. In considering two funding tranches for the Chinese HPPMP in the triennium 2018</w:t>
      </w:r>
      <w:r w:rsidR="000B3A99">
        <w:t>–</w:t>
      </w:r>
      <w:r w:rsidRPr="00DB6883">
        <w:t xml:space="preserve">2020, the total funding for the next triennium </w:t>
      </w:r>
      <w:r w:rsidR="00F576B7">
        <w:t>was</w:t>
      </w:r>
      <w:r w:rsidRPr="00DB6883">
        <w:t xml:space="preserve"> estimated at </w:t>
      </w:r>
      <w:r w:rsidR="000B3A99">
        <w:t>$</w:t>
      </w:r>
      <w:r w:rsidRPr="00DB6883">
        <w:t xml:space="preserve">47.15 </w:t>
      </w:r>
      <w:r w:rsidR="000B3A99" w:rsidRPr="00DB6883">
        <w:t xml:space="preserve">million </w:t>
      </w:r>
      <w:r w:rsidRPr="00DB6883">
        <w:t xml:space="preserve">or </w:t>
      </w:r>
      <w:r w:rsidR="000B3A99">
        <w:t>$</w:t>
      </w:r>
      <w:r w:rsidRPr="00DB6883">
        <w:t>51.04</w:t>
      </w:r>
      <w:r w:rsidR="004E7D79">
        <w:t> </w:t>
      </w:r>
      <w:r w:rsidRPr="00DB6883">
        <w:t>million, depending on when the approval decision would be taken and on how the funding tranches would be specified.</w:t>
      </w:r>
    </w:p>
    <w:p w:rsidR="008B7091" w:rsidRPr="00DB6883" w:rsidRDefault="008B7091"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DB6883">
        <w:t>Mr. Kuijpers further elaborated on the financial implications of a number of changes for the total funding requirement range, starting with the total funding requirement determined in the May 2017 report, the certain activities are subtracted, resulting in a different total funding requirement range, and this</w:t>
      </w:r>
      <w:r w:rsidR="00F576B7">
        <w:t xml:space="preserve"> was</w:t>
      </w:r>
      <w:r w:rsidRPr="00DB6883">
        <w:t xml:space="preserve"> followed by a number of steps or scenarios for HPMP stage II activities, with the average value for HPMP funding and the decrease in comparison to the May 2017 HPMP funding.</w:t>
      </w:r>
    </w:p>
    <w:p w:rsidR="008B7091" w:rsidRPr="00E861A7" w:rsidRDefault="008B7091"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DB6883">
        <w:t>Ms. Bella Maranion then continued the presentation and presented the cost</w:t>
      </w:r>
      <w:r w:rsidR="002D56C9">
        <w:t>-</w:t>
      </w:r>
      <w:r w:rsidRPr="00DB6883">
        <w:t>effectiveness values of HPMPs (including agency support costs). She mentioned that an average (country</w:t>
      </w:r>
      <w:r w:rsidR="003B0FEA">
        <w:t>-</w:t>
      </w:r>
      <w:r w:rsidRPr="00DB6883">
        <w:t>weighted) cost</w:t>
      </w:r>
      <w:r w:rsidR="003B0FEA">
        <w:t>-</w:t>
      </w:r>
      <w:r w:rsidRPr="00DB6883">
        <w:t>effectiveness value had been calculated based on the ODP-tonnes approvals for a representative number of non-</w:t>
      </w:r>
      <w:r w:rsidR="000B3A99">
        <w:t xml:space="preserve">low-volume-consuming </w:t>
      </w:r>
      <w:r w:rsidRPr="00DB6883">
        <w:t>countries (where the approvals usually concern</w:t>
      </w:r>
      <w:r w:rsidR="003B0FEA">
        <w:t>ed</w:t>
      </w:r>
      <w:r w:rsidRPr="00DB6883">
        <w:t xml:space="preserve"> </w:t>
      </w:r>
      <w:proofErr w:type="gramStart"/>
      <w:r w:rsidRPr="00DB6883">
        <w:t>one,</w:t>
      </w:r>
      <w:proofErr w:type="gramEnd"/>
      <w:r w:rsidRPr="00DB6883">
        <w:t xml:space="preserve"> or a mix of two or three HCFCs). This value </w:t>
      </w:r>
      <w:r w:rsidR="00F576B7">
        <w:t>was</w:t>
      </w:r>
      <w:r w:rsidRPr="00DB6883">
        <w:t xml:space="preserve"> </w:t>
      </w:r>
      <w:r w:rsidR="000B3A99">
        <w:t>$</w:t>
      </w:r>
      <w:r w:rsidRPr="00DB6883">
        <w:t xml:space="preserve">5.18 per kg </w:t>
      </w:r>
      <w:r w:rsidR="00647C53">
        <w:t>of ozone-depleting substances (</w:t>
      </w:r>
      <w:r w:rsidRPr="00DB6883">
        <w:t>ODS</w:t>
      </w:r>
      <w:r w:rsidR="00647C53">
        <w:t>)</w:t>
      </w:r>
      <w:r w:rsidRPr="00DB6883">
        <w:t xml:space="preserve"> for non</w:t>
      </w:r>
      <w:r w:rsidR="00647C53">
        <w:noBreakHyphen/>
      </w:r>
      <w:r w:rsidR="000B3A99">
        <w:t>low</w:t>
      </w:r>
      <w:r w:rsidR="00647C53">
        <w:noBreakHyphen/>
      </w:r>
      <w:r w:rsidR="000B3A99">
        <w:t xml:space="preserve">volume-consuming </w:t>
      </w:r>
      <w:r w:rsidRPr="00DB6883">
        <w:t xml:space="preserve">countries when including </w:t>
      </w:r>
      <w:proofErr w:type="gramStart"/>
      <w:r w:rsidRPr="00DB6883">
        <w:t>China,</w:t>
      </w:r>
      <w:proofErr w:type="gramEnd"/>
      <w:r w:rsidRPr="00DB6883">
        <w:t xml:space="preserve"> and </w:t>
      </w:r>
      <w:r w:rsidR="000B3A99">
        <w:t>$</w:t>
      </w:r>
      <w:r w:rsidRPr="00E861A7">
        <w:t>5.79 per kg ODS when excluding China. The calculated cost</w:t>
      </w:r>
      <w:r w:rsidR="003B0FEA">
        <w:t>-</w:t>
      </w:r>
      <w:r w:rsidRPr="00E861A7">
        <w:t xml:space="preserve">effectiveness value of a representative sample of </w:t>
      </w:r>
      <w:r w:rsidR="000B3A99">
        <w:t xml:space="preserve">low-volume-consuming </w:t>
      </w:r>
      <w:r w:rsidRPr="00E861A7">
        <w:t xml:space="preserve">countries </w:t>
      </w:r>
      <w:r w:rsidR="00F576B7">
        <w:t>was</w:t>
      </w:r>
      <w:r w:rsidRPr="00E861A7">
        <w:t xml:space="preserve"> </w:t>
      </w:r>
      <w:r w:rsidR="000B3A99">
        <w:t>$</w:t>
      </w:r>
      <w:r w:rsidRPr="00E861A7">
        <w:t>9.2</w:t>
      </w:r>
      <w:r w:rsidRPr="00DB6883">
        <w:t>3 per kg ODS. In climate terms, the cost</w:t>
      </w:r>
      <w:r w:rsidR="003B0FEA">
        <w:t>-</w:t>
      </w:r>
      <w:r w:rsidRPr="00DB6883">
        <w:t xml:space="preserve">effectiveness value </w:t>
      </w:r>
      <w:r w:rsidR="00F576B7">
        <w:t>was</w:t>
      </w:r>
      <w:r w:rsidRPr="00DB6883">
        <w:t xml:space="preserve"> </w:t>
      </w:r>
      <w:r w:rsidR="000B3A99">
        <w:t>$</w:t>
      </w:r>
      <w:r w:rsidRPr="00DB6883">
        <w:t>3.75 t CO</w:t>
      </w:r>
      <w:r w:rsidRPr="00CD35BB">
        <w:rPr>
          <w:vertAlign w:val="subscript"/>
        </w:rPr>
        <w:t>2</w:t>
      </w:r>
      <w:r w:rsidRPr="00DB6883">
        <w:t>-eq. for non-</w:t>
      </w:r>
      <w:r w:rsidR="000B3A99">
        <w:t xml:space="preserve">low-volume-consuming </w:t>
      </w:r>
      <w:r w:rsidRPr="00DB6883">
        <w:t xml:space="preserve">countries when including China, and </w:t>
      </w:r>
      <w:r w:rsidR="000B3A99">
        <w:t>$</w:t>
      </w:r>
      <w:r w:rsidRPr="00E861A7">
        <w:t>5.05</w:t>
      </w:r>
      <w:r w:rsidR="00D13F71">
        <w:t> </w:t>
      </w:r>
      <w:r w:rsidRPr="00E861A7">
        <w:t>t CO</w:t>
      </w:r>
      <w:r w:rsidRPr="00CD35BB">
        <w:rPr>
          <w:vertAlign w:val="subscript"/>
        </w:rPr>
        <w:t>2</w:t>
      </w:r>
      <w:r w:rsidRPr="00E861A7">
        <w:t xml:space="preserve">-eq. when excluding China. For a representative sample of </w:t>
      </w:r>
      <w:r w:rsidR="000B3A99">
        <w:t xml:space="preserve">low-volume-consuming </w:t>
      </w:r>
      <w:r w:rsidRPr="00E861A7">
        <w:t>countries</w:t>
      </w:r>
      <w:r w:rsidR="00647C53">
        <w:t>,</w:t>
      </w:r>
      <w:r w:rsidRPr="00E861A7">
        <w:t xml:space="preserve"> it </w:t>
      </w:r>
      <w:r w:rsidR="00F576B7">
        <w:t>was</w:t>
      </w:r>
      <w:r w:rsidRPr="00E861A7">
        <w:t xml:space="preserve"> </w:t>
      </w:r>
      <w:r w:rsidR="000B3A99">
        <w:t>$</w:t>
      </w:r>
      <w:r w:rsidRPr="00E861A7">
        <w:t>7.08 t CO</w:t>
      </w:r>
      <w:r w:rsidRPr="00CD35BB">
        <w:rPr>
          <w:vertAlign w:val="subscript"/>
        </w:rPr>
        <w:t>2</w:t>
      </w:r>
      <w:r w:rsidRPr="00E861A7">
        <w:t>-eq.</w:t>
      </w:r>
    </w:p>
    <w:p w:rsidR="008B7091" w:rsidRPr="007022CB" w:rsidRDefault="008B7091"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4219FE">
        <w:t xml:space="preserve">Ms. Maranion discussed that the </w:t>
      </w:r>
      <w:r w:rsidR="00647C53" w:rsidRPr="007022CB">
        <w:t xml:space="preserve">Compliance Assistance Programme </w:t>
      </w:r>
      <w:r w:rsidRPr="007022CB">
        <w:t xml:space="preserve">funding (including support costs) in the May 2017 report was estimated at </w:t>
      </w:r>
      <w:r w:rsidR="000B3A99" w:rsidRPr="007022CB">
        <w:t>$</w:t>
      </w:r>
      <w:r w:rsidRPr="007022CB">
        <w:t>34.8 million for the triennium 2018</w:t>
      </w:r>
      <w:r w:rsidR="00647C53" w:rsidRPr="007022CB">
        <w:t>–</w:t>
      </w:r>
      <w:r w:rsidRPr="007022CB">
        <w:t>2020, based on an annual 3</w:t>
      </w:r>
      <w:r w:rsidR="00647C53" w:rsidRPr="007022CB">
        <w:t xml:space="preserve"> per cent </w:t>
      </w:r>
      <w:r w:rsidRPr="007022CB">
        <w:t>increase. CAP funding for the triennium 2018</w:t>
      </w:r>
      <w:r w:rsidR="00647C53" w:rsidRPr="007022CB">
        <w:t>–</w:t>
      </w:r>
      <w:r w:rsidRPr="007022CB">
        <w:t xml:space="preserve">2020 would be </w:t>
      </w:r>
      <w:r w:rsidR="000B3A99" w:rsidRPr="007022CB">
        <w:t>$</w:t>
      </w:r>
      <w:r w:rsidRPr="007022CB">
        <w:t>32.8</w:t>
      </w:r>
      <w:r w:rsidR="00435E3D">
        <w:t> </w:t>
      </w:r>
      <w:r w:rsidRPr="007022CB">
        <w:t>million with</w:t>
      </w:r>
      <w:r w:rsidR="00980061" w:rsidRPr="007022CB">
        <w:t xml:space="preserve"> a</w:t>
      </w:r>
      <w:r w:rsidRPr="007022CB">
        <w:t xml:space="preserve"> zero per</w:t>
      </w:r>
      <w:r w:rsidR="00D13F71" w:rsidRPr="007022CB">
        <w:t xml:space="preserve"> </w:t>
      </w:r>
      <w:r w:rsidRPr="007022CB">
        <w:t xml:space="preserve">cent increase per annum, and </w:t>
      </w:r>
      <w:r w:rsidR="000B3A99" w:rsidRPr="007022CB">
        <w:t>$</w:t>
      </w:r>
      <w:r w:rsidRPr="007022CB">
        <w:t xml:space="preserve">36.9 million with </w:t>
      </w:r>
      <w:r w:rsidR="00980061" w:rsidRPr="007022CB">
        <w:t xml:space="preserve">a </w:t>
      </w:r>
      <w:r w:rsidRPr="007022CB">
        <w:t>6</w:t>
      </w:r>
      <w:r w:rsidR="00980061" w:rsidRPr="007022CB">
        <w:t xml:space="preserve"> per cent</w:t>
      </w:r>
      <w:r w:rsidRPr="007022CB">
        <w:t xml:space="preserve"> increase per annum, i.e., each 3</w:t>
      </w:r>
      <w:r w:rsidR="00980061" w:rsidRPr="007022CB">
        <w:t xml:space="preserve"> per cent </w:t>
      </w:r>
      <w:r w:rsidRPr="007022CB">
        <w:t xml:space="preserve">increase in CAP funding would add about </w:t>
      </w:r>
      <w:r w:rsidR="000B3A99" w:rsidRPr="007022CB">
        <w:t>$</w:t>
      </w:r>
      <w:r w:rsidRPr="007022CB">
        <w:t>2 million to the total funding requirement.</w:t>
      </w:r>
    </w:p>
    <w:p w:rsidR="008B7091" w:rsidRPr="00DB6883" w:rsidRDefault="008B7091"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DB6883">
        <w:t>She further noted that</w:t>
      </w:r>
      <w:r w:rsidR="00980061">
        <w:t xml:space="preserve"> the</w:t>
      </w:r>
      <w:r w:rsidRPr="00DB6883">
        <w:t xml:space="preserve"> </w:t>
      </w:r>
      <w:r w:rsidR="009575F6" w:rsidRPr="00E861A7">
        <w:t xml:space="preserve">replenishment task force </w:t>
      </w:r>
      <w:r w:rsidRPr="00DB6883">
        <w:t>took the approach of considering two categories of funding for HFC phase-down enabling activities, i.e., both non-investment activities and investment projects. In the period 2018</w:t>
      </w:r>
      <w:r w:rsidR="00980061">
        <w:t>–</w:t>
      </w:r>
      <w:r w:rsidRPr="00DB6883">
        <w:t>2020, the primary funding for enabling activities for non</w:t>
      </w:r>
      <w:r w:rsidR="00980061">
        <w:noBreakHyphen/>
      </w:r>
      <w:r w:rsidRPr="00DB6883">
        <w:t xml:space="preserve">investment projects would be project preparation, including preparation of proposals for potential demonstration projects, at an amount of $13.5 </w:t>
      </w:r>
      <w:r w:rsidR="00980061">
        <w:t>million to $</w:t>
      </w:r>
      <w:r w:rsidRPr="00DB6883">
        <w:t xml:space="preserve">20.2 million for non-investment activities, and at </w:t>
      </w:r>
      <w:r w:rsidR="000B3A99">
        <w:t>$</w:t>
      </w:r>
      <w:r w:rsidRPr="00DB6883">
        <w:t>8.0</w:t>
      </w:r>
      <w:r w:rsidR="00980061">
        <w:t xml:space="preserve"> </w:t>
      </w:r>
      <w:r w:rsidR="00980061" w:rsidRPr="00DB6883">
        <w:t xml:space="preserve">million </w:t>
      </w:r>
      <w:r w:rsidR="00980061">
        <w:t xml:space="preserve">to </w:t>
      </w:r>
      <w:r w:rsidRPr="00DB6883">
        <w:t xml:space="preserve">24.0 million for investment projects. </w:t>
      </w:r>
    </w:p>
    <w:p w:rsidR="008B7091" w:rsidRPr="00DB6883" w:rsidRDefault="008B7091"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DB6883">
        <w:t xml:space="preserve">Regarding the HFC-23 mitigation, Ms. Maranion said that </w:t>
      </w:r>
      <w:r w:rsidR="00980061">
        <w:t xml:space="preserve">the Open-ended Working Group at its thirty-ninth meeting </w:t>
      </w:r>
      <w:r w:rsidRPr="00DB6883">
        <w:t xml:space="preserve">had requested the </w:t>
      </w:r>
      <w:r w:rsidR="0021455A">
        <w:t>Technology and Economic Assessment Panel</w:t>
      </w:r>
      <w:r w:rsidRPr="00DB6883">
        <w:t xml:space="preserve"> </w:t>
      </w:r>
      <w:r w:rsidR="009575F6" w:rsidRPr="00E861A7">
        <w:t xml:space="preserve">replenishment task force </w:t>
      </w:r>
      <w:r w:rsidRPr="00DB6883">
        <w:t xml:space="preserve">to develop a scenario involving the closure of HCFC-22 production plants, with or without existing incineration facilities for mitigating HFC-23 emissions. Funding for the closure of HCFC-22 swing plants </w:t>
      </w:r>
      <w:r w:rsidR="00F576B7">
        <w:t>was</w:t>
      </w:r>
      <w:r w:rsidRPr="00DB6883">
        <w:t xml:space="preserve"> currently not eligible under the HCFC guidelines. Because of lack of guidance and of a decision for compensation by</w:t>
      </w:r>
      <w:r w:rsidR="00980061">
        <w:t xml:space="preserve"> the</w:t>
      </w:r>
      <w:r w:rsidRPr="00DB6883">
        <w:t xml:space="preserve"> </w:t>
      </w:r>
      <w:r w:rsidR="00980061">
        <w:t>Executive Committee</w:t>
      </w:r>
      <w:r w:rsidRPr="00DB6883">
        <w:t xml:space="preserve">, the </w:t>
      </w:r>
      <w:r w:rsidR="009575F6" w:rsidRPr="00E861A7">
        <w:t xml:space="preserve">replenishment task force </w:t>
      </w:r>
      <w:r w:rsidRPr="00DB6883">
        <w:t>had been unable to develop a scenario</w:t>
      </w:r>
      <w:r w:rsidR="00980061">
        <w:t>.</w:t>
      </w:r>
    </w:p>
    <w:p w:rsidR="004B04D7" w:rsidRDefault="008B7091"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DB6883">
        <w:t xml:space="preserve">Since the </w:t>
      </w:r>
      <w:r w:rsidR="00980061">
        <w:t>Executive Committee</w:t>
      </w:r>
      <w:r w:rsidR="00980061" w:rsidRPr="00DB6883">
        <w:t xml:space="preserve"> </w:t>
      </w:r>
      <w:r w:rsidR="00980061">
        <w:t xml:space="preserve">at its eightieth meeting </w:t>
      </w:r>
      <w:r w:rsidRPr="00DB6883">
        <w:t xml:space="preserve">had taken a number of decisions </w:t>
      </w:r>
      <w:r w:rsidR="00980061">
        <w:t>that</w:t>
      </w:r>
      <w:r w:rsidR="00980061" w:rsidRPr="00DB6883">
        <w:t xml:space="preserve"> </w:t>
      </w:r>
      <w:r w:rsidR="00980061">
        <w:t>had</w:t>
      </w:r>
      <w:r w:rsidR="00980061" w:rsidRPr="00DB6883">
        <w:t xml:space="preserve"> </w:t>
      </w:r>
      <w:r w:rsidRPr="00DB6883">
        <w:t xml:space="preserve">consequences for the </w:t>
      </w:r>
      <w:r w:rsidRPr="00E861A7">
        <w:t>2018</w:t>
      </w:r>
      <w:r w:rsidR="00980061">
        <w:t>–20</w:t>
      </w:r>
      <w:r w:rsidRPr="00E861A7">
        <w:t xml:space="preserve">20 funding requirement, Ms. Maranion </w:t>
      </w:r>
      <w:r w:rsidRPr="004219FE">
        <w:t>sa</w:t>
      </w:r>
      <w:r w:rsidRPr="007022CB">
        <w:t xml:space="preserve">id that the </w:t>
      </w:r>
      <w:r w:rsidR="009575F6" w:rsidRPr="007022CB">
        <w:t xml:space="preserve">replenishment task force </w:t>
      </w:r>
      <w:r w:rsidRPr="007022CB">
        <w:t>had assessed the various issues involved. Th</w:t>
      </w:r>
      <w:r w:rsidR="00980061" w:rsidRPr="007022CB">
        <w:t xml:space="preserve">ose </w:t>
      </w:r>
      <w:r w:rsidRPr="007022CB">
        <w:t xml:space="preserve">decisions increased </w:t>
      </w:r>
      <w:r w:rsidR="009E3470" w:rsidRPr="007022CB">
        <w:t xml:space="preserve">all </w:t>
      </w:r>
      <w:r w:rsidRPr="007022CB">
        <w:t xml:space="preserve">total funding requirement values for the scenarios in the supplement report by </w:t>
      </w:r>
      <w:r w:rsidR="000B3A99" w:rsidRPr="007022CB">
        <w:t>$</w:t>
      </w:r>
      <w:r w:rsidRPr="007022CB">
        <w:t xml:space="preserve">53.48 million, </w:t>
      </w:r>
      <w:r w:rsidR="00980061" w:rsidRPr="007022CB">
        <w:t xml:space="preserve">owing </w:t>
      </w:r>
      <w:r w:rsidRPr="007022CB">
        <w:t xml:space="preserve">to (1) </w:t>
      </w:r>
      <w:r w:rsidR="00980061" w:rsidRPr="007022CB">
        <w:t xml:space="preserve">the </w:t>
      </w:r>
      <w:r w:rsidRPr="007022CB">
        <w:t>HPPMP</w:t>
      </w:r>
      <w:r w:rsidR="00980061" w:rsidRPr="007022CB">
        <w:t xml:space="preserve"> of China</w:t>
      </w:r>
      <w:r w:rsidRPr="007022CB">
        <w:t xml:space="preserve">, </w:t>
      </w:r>
      <w:r w:rsidR="00980061" w:rsidRPr="007022CB">
        <w:t xml:space="preserve">with three </w:t>
      </w:r>
      <w:r w:rsidRPr="007022CB">
        <w:t>tranches in 2018</w:t>
      </w:r>
      <w:r w:rsidR="00980061" w:rsidRPr="007022CB">
        <w:t>–20</w:t>
      </w:r>
      <w:r w:rsidRPr="007022CB">
        <w:t xml:space="preserve">20 implying an increase of </w:t>
      </w:r>
      <w:r w:rsidR="009E3470" w:rsidRPr="007022CB">
        <w:t>$</w:t>
      </w:r>
      <w:r w:rsidRPr="007022CB">
        <w:t xml:space="preserve">19.72 </w:t>
      </w:r>
      <w:r w:rsidR="009E3470" w:rsidRPr="007022CB">
        <w:t>million</w:t>
      </w:r>
      <w:r w:rsidRPr="007022CB">
        <w:t xml:space="preserve">; (2) approved funding tranches: an increase of </w:t>
      </w:r>
      <w:r w:rsidR="009E3470" w:rsidRPr="007022CB">
        <w:t>$</w:t>
      </w:r>
      <w:r w:rsidRPr="007022CB">
        <w:t xml:space="preserve">35.20 </w:t>
      </w:r>
      <w:r w:rsidR="009E3470" w:rsidRPr="007022CB">
        <w:t>million</w:t>
      </w:r>
      <w:r w:rsidRPr="007022CB">
        <w:t xml:space="preserve">; less planned funding (now approved): a decrease of </w:t>
      </w:r>
      <w:r w:rsidR="009E3470" w:rsidRPr="007022CB">
        <w:t>$</w:t>
      </w:r>
      <w:r w:rsidRPr="007022CB">
        <w:t xml:space="preserve">4.30 </w:t>
      </w:r>
      <w:r w:rsidR="009E3470" w:rsidRPr="007022CB">
        <w:t>million</w:t>
      </w:r>
      <w:r w:rsidRPr="007022CB">
        <w:t>; CAP funding 2018</w:t>
      </w:r>
      <w:r w:rsidR="009E3470" w:rsidRPr="007022CB">
        <w:t>–</w:t>
      </w:r>
      <w:r w:rsidRPr="007022CB">
        <w:t xml:space="preserve">2020: a decrease of </w:t>
      </w:r>
      <w:r w:rsidR="009E3470" w:rsidRPr="007022CB">
        <w:t>$</w:t>
      </w:r>
      <w:r w:rsidRPr="007022CB">
        <w:t xml:space="preserve">0.89 </w:t>
      </w:r>
      <w:r w:rsidR="009E3470" w:rsidRPr="007022CB">
        <w:t>million</w:t>
      </w:r>
      <w:r w:rsidRPr="007022CB">
        <w:t>; I</w:t>
      </w:r>
      <w:r w:rsidR="009E3470" w:rsidRPr="007022CB">
        <w:t xml:space="preserve">nstitutional Strengthening </w:t>
      </w:r>
      <w:r w:rsidRPr="007022CB">
        <w:t>funding planned for 2018</w:t>
      </w:r>
      <w:r w:rsidR="009E3470" w:rsidRPr="007022CB">
        <w:t>–</w:t>
      </w:r>
      <w:r w:rsidRPr="007022CB">
        <w:t>2020</w:t>
      </w:r>
      <w:r w:rsidR="009E3470" w:rsidRPr="007022CB">
        <w:t>,</w:t>
      </w:r>
      <w:r w:rsidRPr="007022CB">
        <w:t xml:space="preserve"> an increase of </w:t>
      </w:r>
      <w:r w:rsidR="009E3470" w:rsidRPr="007022CB">
        <w:t>$</w:t>
      </w:r>
      <w:r w:rsidRPr="007022CB">
        <w:t xml:space="preserve">3.75 </w:t>
      </w:r>
      <w:r w:rsidR="009E3470" w:rsidRPr="007022CB">
        <w:t>million</w:t>
      </w:r>
      <w:r w:rsidRPr="007022CB">
        <w:t>.</w:t>
      </w:r>
    </w:p>
    <w:p w:rsidR="000F6BE6" w:rsidRPr="00DB6883" w:rsidRDefault="00AA5120" w:rsidP="00AA5120">
      <w:pPr>
        <w:pStyle w:val="CH2"/>
      </w:pPr>
      <w:r>
        <w:tab/>
      </w:r>
      <w:r w:rsidR="000F6BE6">
        <w:t>C.</w:t>
      </w:r>
      <w:r w:rsidR="000F6BE6">
        <w:tab/>
      </w:r>
      <w:r w:rsidR="000F6BE6" w:rsidRPr="00DB6883">
        <w:t>Report by the Technology and Economic Assessment Panel on information submitted by parties on energy efficiency opportunities in the refrigeration and air-conditioning sector</w:t>
      </w:r>
    </w:p>
    <w:p w:rsidR="000F6BE6" w:rsidRPr="004C0FFB" w:rsidRDefault="000F6BE6"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t xml:space="preserve">At the preparatory level of the </w:t>
      </w:r>
      <w:r w:rsidR="009E3470">
        <w:t>Twenty-Ninth</w:t>
      </w:r>
      <w:r>
        <w:t xml:space="preserve"> Meeting of the Parties, </w:t>
      </w:r>
      <w:r w:rsidR="007B36A5">
        <w:t xml:space="preserve">Roberto Peixoto and Ashley Woodcock, </w:t>
      </w:r>
      <w:r w:rsidR="009E3470">
        <w:t xml:space="preserve">Co-Chairs of the </w:t>
      </w:r>
      <w:r w:rsidR="0021455A">
        <w:t>Technology and Economic Assessment Panel</w:t>
      </w:r>
      <w:r>
        <w:t xml:space="preserve"> Working Group presented the </w:t>
      </w:r>
      <w:r w:rsidR="007B36A5">
        <w:t xml:space="preserve">Technology and Economic Assessment Panel </w:t>
      </w:r>
      <w:r>
        <w:t xml:space="preserve">Decision XXVIII/3 Working Group Report </w:t>
      </w:r>
      <w:r w:rsidR="007B36A5">
        <w:t xml:space="preserve">on </w:t>
      </w:r>
      <w:r>
        <w:t xml:space="preserve">Energy Efficiency. Mr. Peixoto began the presentation by reviewing the decision </w:t>
      </w:r>
      <w:r w:rsidR="007B36A5">
        <w:t xml:space="preserve">that </w:t>
      </w:r>
      <w:r>
        <w:t xml:space="preserve">requested the </w:t>
      </w:r>
      <w:r w:rsidR="0021455A">
        <w:t>Technology and Economic Assessment Panel</w:t>
      </w:r>
      <w:r w:rsidRPr="002A3974">
        <w:t xml:space="preserve"> to review energy efficiency opportunities in the refrigeration</w:t>
      </w:r>
      <w:r>
        <w:t>,</w:t>
      </w:r>
      <w:r w:rsidRPr="002A3974">
        <w:t xml:space="preserve"> air-conditioning and heat-pump </w:t>
      </w:r>
      <w:r>
        <w:t xml:space="preserve">(RACHP) </w:t>
      </w:r>
      <w:r w:rsidRPr="002A3974">
        <w:t>sectors related to a transition to climate</w:t>
      </w:r>
      <w:r w:rsidR="007B36A5">
        <w:noBreakHyphen/>
      </w:r>
      <w:r w:rsidRPr="002A3974">
        <w:t>friendly alternatives, including not-in-kind options</w:t>
      </w:r>
      <w:r>
        <w:t>; i</w:t>
      </w:r>
      <w:r w:rsidRPr="002A3974">
        <w:t>nvite</w:t>
      </w:r>
      <w:r>
        <w:t>d</w:t>
      </w:r>
      <w:r w:rsidRPr="002A3974">
        <w:t xml:space="preserve"> parties to submit to the Ozone Secretariat by May 2017, on a voluntary basis, relevant information on energy efficiency innovations </w:t>
      </w:r>
      <w:r w:rsidRPr="002A3974">
        <w:lastRenderedPageBreak/>
        <w:t xml:space="preserve">in the </w:t>
      </w:r>
      <w:r>
        <w:t>RACHP s</w:t>
      </w:r>
      <w:r w:rsidRPr="002A3974">
        <w:t>ectors</w:t>
      </w:r>
      <w:r>
        <w:t>; and requested t</w:t>
      </w:r>
      <w:r w:rsidRPr="002A3974">
        <w:t xml:space="preserve">he </w:t>
      </w:r>
      <w:r w:rsidR="0021455A">
        <w:t>Technology and Economic Assessment Panel</w:t>
      </w:r>
      <w:r w:rsidRPr="002A3974">
        <w:t xml:space="preserve"> to assess the information submitted by parties and to report thereon to the Twenty-Ninth Meeting of the Parties</w:t>
      </w:r>
      <w:r>
        <w:t xml:space="preserve">. He noted that energy efficiency </w:t>
      </w:r>
      <w:r w:rsidR="00F576B7">
        <w:t>was</w:t>
      </w:r>
      <w:r w:rsidRPr="004C0FFB">
        <w:t xml:space="preserve"> a broad topic of major importance with an enormous amount of published literature and information</w:t>
      </w:r>
      <w:r>
        <w:t xml:space="preserve">. The working group </w:t>
      </w:r>
      <w:r w:rsidR="002D56C9">
        <w:t xml:space="preserve">had </w:t>
      </w:r>
      <w:r>
        <w:t>ident</w:t>
      </w:r>
      <w:r w:rsidRPr="004C0FFB">
        <w:t xml:space="preserve">ified many relevant, current publications from organizations working on </w:t>
      </w:r>
      <w:r w:rsidR="007B36A5">
        <w:t>energy efficiency</w:t>
      </w:r>
      <w:r w:rsidR="007B36A5" w:rsidRPr="004C0FFB">
        <w:t xml:space="preserve"> </w:t>
      </w:r>
      <w:r w:rsidRPr="004C0FFB">
        <w:t>improvements and related topics over many years</w:t>
      </w:r>
      <w:r>
        <w:t xml:space="preserve">. The working group </w:t>
      </w:r>
      <w:r w:rsidR="002D56C9">
        <w:t xml:space="preserve">had </w:t>
      </w:r>
      <w:r>
        <w:t xml:space="preserve">also </w:t>
      </w:r>
      <w:r w:rsidRPr="004C0FFB">
        <w:t>considered recent M</w:t>
      </w:r>
      <w:r>
        <w:t xml:space="preserve">ontreal Protocol </w:t>
      </w:r>
      <w:r w:rsidRPr="004C0FFB">
        <w:t>reports, presentations and submissions from parties</w:t>
      </w:r>
      <w:r>
        <w:t xml:space="preserve">. As requested in the decision, Mr. Peixoto explained that the </w:t>
      </w:r>
      <w:r w:rsidRPr="004C0FFB">
        <w:t>report focuse</w:t>
      </w:r>
      <w:r w:rsidR="002D56C9">
        <w:t>d</w:t>
      </w:r>
      <w:r w:rsidRPr="004C0FFB">
        <w:t xml:space="preserve"> on </w:t>
      </w:r>
      <w:r>
        <w:t xml:space="preserve">the specific request of the decision on </w:t>
      </w:r>
      <w:r w:rsidRPr="004C0FFB">
        <w:t>“energy efficiency opportunities in the RACHP sectors related to a transition to climate-friendly alternatives, including not-in-kind options”</w:t>
      </w:r>
      <w:r>
        <w:t xml:space="preserve"> and consider</w:t>
      </w:r>
      <w:r w:rsidR="002D56C9">
        <w:t>ed</w:t>
      </w:r>
      <w:r>
        <w:t xml:space="preserve"> the </w:t>
      </w:r>
      <w:r w:rsidRPr="004C0FFB">
        <w:t xml:space="preserve">following categories of </w:t>
      </w:r>
      <w:r w:rsidR="007B36A5" w:rsidRPr="004C0FFB">
        <w:t xml:space="preserve">energy efficiency </w:t>
      </w:r>
      <w:r w:rsidRPr="004C0FFB">
        <w:t>opportunities:</w:t>
      </w:r>
      <w:r>
        <w:t xml:space="preserve"> t</w:t>
      </w:r>
      <w:r w:rsidRPr="004C0FFB">
        <w:t>echnology opportunities;</w:t>
      </w:r>
      <w:r>
        <w:t xml:space="preserve"> p</w:t>
      </w:r>
      <w:r w:rsidRPr="004C0FFB">
        <w:t>olicy, regulatory and information opportunities; and</w:t>
      </w:r>
      <w:r>
        <w:t xml:space="preserve"> f</w:t>
      </w:r>
      <w:r w:rsidRPr="004C0FFB">
        <w:t>inancial and related incentives</w:t>
      </w:r>
      <w:r>
        <w:t>.</w:t>
      </w:r>
    </w:p>
    <w:p w:rsidR="000F6BE6" w:rsidRPr="004C0FFB" w:rsidRDefault="000F6BE6"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t xml:space="preserve">He noted that as </w:t>
      </w:r>
      <w:r w:rsidRPr="004C0FFB">
        <w:t xml:space="preserve">requested by </w:t>
      </w:r>
      <w:r>
        <w:t xml:space="preserve">the decision, </w:t>
      </w:r>
      <w:r w:rsidRPr="004C0FFB">
        <w:t xml:space="preserve">19 submissions (including </w:t>
      </w:r>
      <w:r w:rsidR="007B36A5">
        <w:t xml:space="preserve">from the </w:t>
      </w:r>
      <w:r w:rsidRPr="004C0FFB">
        <w:t>E</w:t>
      </w:r>
      <w:r w:rsidR="007B36A5">
        <w:t xml:space="preserve">uropean </w:t>
      </w:r>
      <w:r w:rsidRPr="004C0FFB">
        <w:t>U</w:t>
      </w:r>
      <w:r w:rsidR="007B36A5">
        <w:t>nion</w:t>
      </w:r>
      <w:r w:rsidRPr="004C0FFB">
        <w:t xml:space="preserve"> and </w:t>
      </w:r>
      <w:r w:rsidR="007B36A5">
        <w:t xml:space="preserve">the </w:t>
      </w:r>
      <w:r w:rsidRPr="004C0FFB">
        <w:t xml:space="preserve">African Group) </w:t>
      </w:r>
      <w:r w:rsidR="002D56C9">
        <w:t>had been</w:t>
      </w:r>
      <w:r w:rsidR="002D56C9" w:rsidRPr="004C0FFB">
        <w:t xml:space="preserve"> </w:t>
      </w:r>
      <w:r w:rsidRPr="004C0FFB">
        <w:t>received. They were of varied scope, and some provide</w:t>
      </w:r>
      <w:r w:rsidR="002D56C9">
        <w:t>d</w:t>
      </w:r>
      <w:r w:rsidRPr="004C0FFB">
        <w:t xml:space="preserve"> very comprehensive information</w:t>
      </w:r>
      <w:r w:rsidR="007B36A5">
        <w:t>,</w:t>
      </w:r>
      <w:r w:rsidRPr="004C0FFB">
        <w:t xml:space="preserve"> including</w:t>
      </w:r>
      <w:r>
        <w:t xml:space="preserve"> </w:t>
      </w:r>
      <w:r w:rsidR="002D56C9">
        <w:t xml:space="preserve">on the </w:t>
      </w:r>
      <w:r>
        <w:t>d</w:t>
      </w:r>
      <w:r w:rsidRPr="004C0FFB">
        <w:t>evelopment and implementation of national regulations and policies that encourage</w:t>
      </w:r>
      <w:r w:rsidR="002D56C9">
        <w:t>d</w:t>
      </w:r>
      <w:r w:rsidRPr="004C0FFB">
        <w:t xml:space="preserve"> or enforce</w:t>
      </w:r>
      <w:r w:rsidR="002D56C9">
        <w:t>d the</w:t>
      </w:r>
      <w:r w:rsidRPr="004C0FFB">
        <w:t xml:space="preserve"> use of </w:t>
      </w:r>
      <w:r>
        <w:t xml:space="preserve">energy efficient </w:t>
      </w:r>
      <w:r w:rsidRPr="004C0FFB">
        <w:t>equipment</w:t>
      </w:r>
      <w:r>
        <w:t>; u</w:t>
      </w:r>
      <w:r w:rsidRPr="004C0FFB">
        <w:t xml:space="preserve">se of utility incentives for promoting efficient energy use as well </w:t>
      </w:r>
      <w:r w:rsidR="002D56C9">
        <w:t xml:space="preserve">as the </w:t>
      </w:r>
      <w:r w:rsidRPr="004C0FFB">
        <w:t xml:space="preserve">use of </w:t>
      </w:r>
      <w:r>
        <w:t>energy efficient e</w:t>
      </w:r>
      <w:r w:rsidRPr="004C0FFB">
        <w:t>quipment; other financial incentives to support consumer appliance purchases</w:t>
      </w:r>
      <w:r>
        <w:t>; s</w:t>
      </w:r>
      <w:r w:rsidRPr="004C0FFB">
        <w:t xml:space="preserve">upport for </w:t>
      </w:r>
      <w:r>
        <w:t xml:space="preserve">research and development on </w:t>
      </w:r>
      <w:r w:rsidRPr="004C0FFB">
        <w:t>system and equipment design</w:t>
      </w:r>
      <w:r>
        <w:t xml:space="preserve">; and many </w:t>
      </w:r>
      <w:r w:rsidRPr="004C0FFB">
        <w:t xml:space="preserve">examples of projects and case studies </w:t>
      </w:r>
      <w:r w:rsidR="007B36A5">
        <w:t xml:space="preserve">on the installation of </w:t>
      </w:r>
      <w:r>
        <w:t xml:space="preserve">energy efficient </w:t>
      </w:r>
      <w:r w:rsidRPr="004C0FFB">
        <w:t>equipment</w:t>
      </w:r>
      <w:r>
        <w:t xml:space="preserve">. </w:t>
      </w:r>
      <w:r w:rsidR="007B36A5">
        <w:t xml:space="preserve">The </w:t>
      </w:r>
      <w:r w:rsidR="0021455A">
        <w:t>Technology and Economic Assessment Panel</w:t>
      </w:r>
      <w:r>
        <w:t xml:space="preserve"> </w:t>
      </w:r>
      <w:r w:rsidR="002D56C9">
        <w:t xml:space="preserve">had </w:t>
      </w:r>
      <w:r>
        <w:t xml:space="preserve">incorporated </w:t>
      </w:r>
      <w:r w:rsidR="007B36A5">
        <w:t xml:space="preserve">that </w:t>
      </w:r>
      <w:r>
        <w:t>information into the report.</w:t>
      </w:r>
    </w:p>
    <w:p w:rsidR="000F6BE6" w:rsidRPr="004C0FFB" w:rsidRDefault="000F6BE6"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t>Mr. Peixoto indicated that the g</w:t>
      </w:r>
      <w:r w:rsidRPr="004C0FFB">
        <w:t xml:space="preserve">lobal </w:t>
      </w:r>
      <w:r w:rsidR="007B36A5">
        <w:t xml:space="preserve">refrigeration and air-conditioning </w:t>
      </w:r>
      <w:r w:rsidRPr="004C0FFB">
        <w:t xml:space="preserve">equipment installed base </w:t>
      </w:r>
      <w:r>
        <w:t>included 1.5 billion domestic refrigerators (170 million produced annually), 600 million air conditioners (100 million produced annually) and 700 million mobile air</w:t>
      </w:r>
      <w:r w:rsidR="002D56C9">
        <w:t>-</w:t>
      </w:r>
      <w:r>
        <w:t>conditioning systems (70</w:t>
      </w:r>
      <w:r w:rsidR="004E7D79">
        <w:t> </w:t>
      </w:r>
      <w:r>
        <w:t xml:space="preserve">million produced annually). The demand for RACHP equipment </w:t>
      </w:r>
      <w:r w:rsidR="00F576B7">
        <w:t>was</w:t>
      </w:r>
      <w:r w:rsidRPr="004C0FFB">
        <w:t xml:space="preserve"> increasing worldwide</w:t>
      </w:r>
      <w:r w:rsidR="007B36A5">
        <w:t>,</w:t>
      </w:r>
      <w:r w:rsidRPr="004C0FFB">
        <w:t xml:space="preserve"> </w:t>
      </w:r>
      <w:r>
        <w:t xml:space="preserve">particularly </w:t>
      </w:r>
      <w:r w:rsidRPr="00537A9C">
        <w:t xml:space="preserve">in </w:t>
      </w:r>
      <w:r w:rsidR="007B36A5" w:rsidRPr="00537A9C">
        <w:t xml:space="preserve">parties operating under paragraph 1 of Article 5 </w:t>
      </w:r>
      <w:r w:rsidRPr="00537A9C">
        <w:t xml:space="preserve">parties </w:t>
      </w:r>
      <w:r w:rsidR="00AD2CC8">
        <w:t>owing</w:t>
      </w:r>
      <w:r w:rsidR="00AD2CC8" w:rsidRPr="00537A9C">
        <w:t xml:space="preserve"> </w:t>
      </w:r>
      <w:r w:rsidRPr="00537A9C">
        <w:t>to factors such as population growth,</w:t>
      </w:r>
      <w:r w:rsidRPr="004C0FFB">
        <w:t xml:space="preserve"> </w:t>
      </w:r>
      <w:r w:rsidR="00AD2CC8" w:rsidRPr="004C0FFB">
        <w:t>urbani</w:t>
      </w:r>
      <w:r w:rsidR="00AD2CC8">
        <w:t>z</w:t>
      </w:r>
      <w:r w:rsidR="00AD2CC8" w:rsidRPr="004C0FFB">
        <w:t>ation</w:t>
      </w:r>
      <w:r w:rsidRPr="004C0FFB">
        <w:t xml:space="preserve">, increasing domestic, commercial and automobile </w:t>
      </w:r>
      <w:r w:rsidR="00AD2CC8">
        <w:t xml:space="preserve">air-conditioning </w:t>
      </w:r>
      <w:r>
        <w:t>use</w:t>
      </w:r>
      <w:r w:rsidRPr="004C0FFB">
        <w:t xml:space="preserve">, </w:t>
      </w:r>
      <w:r>
        <w:t xml:space="preserve">and for the </w:t>
      </w:r>
      <w:r w:rsidRPr="004C0FFB">
        <w:t>“cold chain”</w:t>
      </w:r>
      <w:r>
        <w:t xml:space="preserve"> (bringing food from farm to market</w:t>
      </w:r>
      <w:r w:rsidRPr="004C0FFB">
        <w:t>)</w:t>
      </w:r>
      <w:r>
        <w:t xml:space="preserve">. </w:t>
      </w:r>
      <w:r w:rsidRPr="004C0FFB">
        <w:t xml:space="preserve">RACHP </w:t>
      </w:r>
      <w:r>
        <w:t xml:space="preserve">equipment </w:t>
      </w:r>
      <w:r w:rsidRPr="004C0FFB">
        <w:t>consume</w:t>
      </w:r>
      <w:r w:rsidR="002D56C9">
        <w:t>d</w:t>
      </w:r>
      <w:r w:rsidRPr="004C0FFB">
        <w:t xml:space="preserve"> 17</w:t>
      </w:r>
      <w:r w:rsidR="004E7D79">
        <w:t> </w:t>
      </w:r>
      <w:r w:rsidR="00AD2CC8">
        <w:t>per</w:t>
      </w:r>
      <w:r w:rsidR="004E7D79">
        <w:t> </w:t>
      </w:r>
      <w:r w:rsidR="00AD2CC8">
        <w:t>cent of</w:t>
      </w:r>
      <w:r w:rsidR="00AD2CC8" w:rsidRPr="004C0FFB">
        <w:t xml:space="preserve"> </w:t>
      </w:r>
      <w:r w:rsidRPr="004C0FFB">
        <w:t>electricity worldwide</w:t>
      </w:r>
      <w:r>
        <w:t>; c</w:t>
      </w:r>
      <w:r w:rsidRPr="004C0FFB">
        <w:t xml:space="preserve">ities in </w:t>
      </w:r>
      <w:r>
        <w:t xml:space="preserve">the </w:t>
      </w:r>
      <w:r w:rsidRPr="004C0FFB">
        <w:t>tropics</w:t>
      </w:r>
      <w:r>
        <w:t xml:space="preserve"> reach</w:t>
      </w:r>
      <w:r w:rsidR="002D56C9">
        <w:t>ed</w:t>
      </w:r>
      <w:r>
        <w:t xml:space="preserve"> more than </w:t>
      </w:r>
      <w:r w:rsidRPr="004C0FFB">
        <w:t>60</w:t>
      </w:r>
      <w:r w:rsidR="00AD2CC8">
        <w:t xml:space="preserve"> per cent</w:t>
      </w:r>
      <w:r w:rsidR="00AD2CC8" w:rsidRPr="004C0FFB">
        <w:t xml:space="preserve"> </w:t>
      </w:r>
      <w:r w:rsidRPr="004C0FFB">
        <w:t xml:space="preserve">of power generation </w:t>
      </w:r>
      <w:r>
        <w:t xml:space="preserve">in the </w:t>
      </w:r>
      <w:r w:rsidRPr="004C0FFB">
        <w:t>mid</w:t>
      </w:r>
      <w:r>
        <w:t>-</w:t>
      </w:r>
      <w:r w:rsidRPr="004C0FFB">
        <w:t>afternoon</w:t>
      </w:r>
      <w:r>
        <w:t>. The global warming impact of RACHP equipment include</w:t>
      </w:r>
      <w:r w:rsidR="002D56C9">
        <w:t>d</w:t>
      </w:r>
      <w:r>
        <w:t xml:space="preserve"> 80</w:t>
      </w:r>
      <w:r w:rsidR="004E7D79">
        <w:t> </w:t>
      </w:r>
      <w:r w:rsidR="00AD2CC8">
        <w:t>per</w:t>
      </w:r>
      <w:r w:rsidR="004E7D79">
        <w:t> </w:t>
      </w:r>
      <w:r w:rsidR="00AD2CC8">
        <w:t xml:space="preserve">cent </w:t>
      </w:r>
      <w:r>
        <w:t xml:space="preserve">indirect impact from electricity </w:t>
      </w:r>
      <w:r w:rsidRPr="00537A9C">
        <w:t>use and 20</w:t>
      </w:r>
      <w:r w:rsidR="00AD2CC8" w:rsidRPr="004E7D79">
        <w:t xml:space="preserve"> per cent</w:t>
      </w:r>
      <w:r w:rsidRPr="00537A9C">
        <w:t xml:space="preserve"> direct impact from the release of refrigerants (especially with old equipment with high</w:t>
      </w:r>
      <w:r w:rsidR="002D56C9">
        <w:t>-</w:t>
      </w:r>
      <w:r w:rsidRPr="00537A9C">
        <w:t>GWP refrigerants)</w:t>
      </w:r>
      <w:r w:rsidRPr="00AD2CC8">
        <w:t xml:space="preserve">. Options to reduce </w:t>
      </w:r>
      <w:r w:rsidR="00AD2CC8">
        <w:t xml:space="preserve">greenhouse gas </w:t>
      </w:r>
      <w:r w:rsidRPr="00537A9C">
        <w:t>emissions include</w:t>
      </w:r>
      <w:r w:rsidR="002D56C9">
        <w:t>d</w:t>
      </w:r>
      <w:r w:rsidRPr="00537A9C">
        <w:t xml:space="preserve"> transitioning</w:t>
      </w:r>
      <w:r w:rsidRPr="00AD2CC8">
        <w:t xml:space="preserve"> to </w:t>
      </w:r>
      <w:r w:rsidR="00AD2CC8" w:rsidRPr="00AD2CC8">
        <w:t>low</w:t>
      </w:r>
      <w:r w:rsidR="00AD2CC8">
        <w:noBreakHyphen/>
      </w:r>
      <w:r w:rsidRPr="00537A9C">
        <w:t>GWP</w:t>
      </w:r>
      <w:r w:rsidRPr="004C0FFB">
        <w:t xml:space="preserve"> refrigerants</w:t>
      </w:r>
      <w:r>
        <w:t>; re</w:t>
      </w:r>
      <w:r w:rsidRPr="004C0FFB">
        <w:t>duc</w:t>
      </w:r>
      <w:r>
        <w:t>ing</w:t>
      </w:r>
      <w:r w:rsidRPr="004C0FFB">
        <w:t xml:space="preserve"> energy consumption</w:t>
      </w:r>
      <w:r>
        <w:t>; increasing e</w:t>
      </w:r>
      <w:r w:rsidRPr="004C0FFB">
        <w:t xml:space="preserve">nergy </w:t>
      </w:r>
      <w:r>
        <w:t>e</w:t>
      </w:r>
      <w:r w:rsidRPr="004C0FFB">
        <w:t>fficiency</w:t>
      </w:r>
      <w:r>
        <w:t>; r</w:t>
      </w:r>
      <w:r w:rsidRPr="004C0FFB">
        <w:t>educ</w:t>
      </w:r>
      <w:r>
        <w:t>ing</w:t>
      </w:r>
      <w:r w:rsidRPr="004C0FFB">
        <w:t xml:space="preserve"> cooling load</w:t>
      </w:r>
      <w:r>
        <w:t>; and im</w:t>
      </w:r>
      <w:r w:rsidRPr="004C0FFB">
        <w:t>prov</w:t>
      </w:r>
      <w:r>
        <w:t>ing</w:t>
      </w:r>
      <w:r w:rsidRPr="004C0FFB">
        <w:t xml:space="preserve"> maintenance</w:t>
      </w:r>
      <w:r>
        <w:t>.</w:t>
      </w:r>
    </w:p>
    <w:p w:rsidR="000F6BE6" w:rsidRPr="00FA5A74" w:rsidRDefault="000F6BE6"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t xml:space="preserve">Mr. Peixoto discussed some common terms used including </w:t>
      </w:r>
      <w:r w:rsidR="002D56C9">
        <w:t>“</w:t>
      </w:r>
      <w:r w:rsidR="00537A9C">
        <w:t>e</w:t>
      </w:r>
      <w:r w:rsidRPr="004C0FFB">
        <w:t xml:space="preserve">nergy </w:t>
      </w:r>
      <w:r w:rsidR="00537A9C">
        <w:t>e</w:t>
      </w:r>
      <w:r w:rsidRPr="004C0FFB">
        <w:t xml:space="preserve">fficiency </w:t>
      </w:r>
      <w:r w:rsidR="00537A9C">
        <w:t>r</w:t>
      </w:r>
      <w:r w:rsidRPr="004C0FFB">
        <w:t>atio</w:t>
      </w:r>
      <w:r w:rsidR="002D56C9">
        <w:t>”</w:t>
      </w:r>
      <w:r w:rsidRPr="004C0FFB">
        <w:t xml:space="preserve"> </w:t>
      </w:r>
      <w:r>
        <w:t>and</w:t>
      </w:r>
      <w:r w:rsidRPr="004C0FFB">
        <w:t xml:space="preserve"> </w:t>
      </w:r>
      <w:r w:rsidR="002D56C9">
        <w:t>“</w:t>
      </w:r>
      <w:r w:rsidR="00537A9C">
        <w:t>c</w:t>
      </w:r>
      <w:r w:rsidRPr="004C0FFB">
        <w:t xml:space="preserve">oefficient of </w:t>
      </w:r>
      <w:r w:rsidR="00537A9C">
        <w:t>p</w:t>
      </w:r>
      <w:r w:rsidRPr="004C0FFB">
        <w:t>erformance</w:t>
      </w:r>
      <w:r w:rsidR="002D56C9">
        <w:t>”</w:t>
      </w:r>
      <w:r w:rsidR="00537A9C">
        <w:t xml:space="preserve">, </w:t>
      </w:r>
      <w:r>
        <w:t xml:space="preserve">which </w:t>
      </w:r>
      <w:r w:rsidR="002D56C9">
        <w:t>were</w:t>
      </w:r>
      <w:r w:rsidR="002D56C9" w:rsidRPr="004C0FFB">
        <w:t xml:space="preserve"> </w:t>
      </w:r>
      <w:r w:rsidRPr="004C0FFB">
        <w:t>used interchangeably</w:t>
      </w:r>
      <w:r>
        <w:t xml:space="preserve">; </w:t>
      </w:r>
      <w:r w:rsidR="002D56C9">
        <w:t>“</w:t>
      </w:r>
      <w:r w:rsidR="00537A9C">
        <w:t>s</w:t>
      </w:r>
      <w:r w:rsidRPr="004C0FFB">
        <w:t xml:space="preserve">easonal </w:t>
      </w:r>
      <w:r w:rsidR="00537A9C">
        <w:t>e</w:t>
      </w:r>
      <w:r w:rsidRPr="004C0FFB">
        <w:t xml:space="preserve">nergy </w:t>
      </w:r>
      <w:r w:rsidR="00537A9C">
        <w:t>e</w:t>
      </w:r>
      <w:r w:rsidRPr="004C0FFB">
        <w:t xml:space="preserve">fficiency </w:t>
      </w:r>
      <w:r w:rsidR="00537A9C">
        <w:t>r</w:t>
      </w:r>
      <w:r w:rsidRPr="004C0FFB">
        <w:t>atio</w:t>
      </w:r>
      <w:r w:rsidR="002D56C9">
        <w:t>”</w:t>
      </w:r>
      <w:r>
        <w:t xml:space="preserve">; and </w:t>
      </w:r>
      <w:r w:rsidR="002D56C9">
        <w:t>“s</w:t>
      </w:r>
      <w:r w:rsidRPr="004C0FFB">
        <w:t xml:space="preserve">tar </w:t>
      </w:r>
      <w:r w:rsidR="002D56C9">
        <w:t>r</w:t>
      </w:r>
      <w:r w:rsidRPr="004C0FFB">
        <w:t>atings</w:t>
      </w:r>
      <w:r w:rsidR="002D56C9">
        <w:t>”</w:t>
      </w:r>
      <w:r>
        <w:t xml:space="preserve">. </w:t>
      </w:r>
      <w:r w:rsidRPr="004C0FFB">
        <w:t>Compared to theoretical maximum efficiency</w:t>
      </w:r>
      <w:r>
        <w:t>, c</w:t>
      </w:r>
      <w:r w:rsidRPr="004C0FFB">
        <w:t xml:space="preserve">urrent RACHP </w:t>
      </w:r>
      <w:r>
        <w:t xml:space="preserve">equipment </w:t>
      </w:r>
      <w:r w:rsidR="002D56C9">
        <w:t xml:space="preserve">were </w:t>
      </w:r>
      <w:r>
        <w:t xml:space="preserve">at </w:t>
      </w:r>
      <w:r w:rsidRPr="004C0FFB">
        <w:t>30</w:t>
      </w:r>
      <w:r w:rsidR="00AD2CC8">
        <w:t xml:space="preserve"> </w:t>
      </w:r>
      <w:r w:rsidR="00537A9C">
        <w:t>to</w:t>
      </w:r>
      <w:r w:rsidR="00537A9C" w:rsidRPr="004C0FFB">
        <w:t xml:space="preserve"> </w:t>
      </w:r>
      <w:r w:rsidRPr="004C0FFB">
        <w:t>60</w:t>
      </w:r>
      <w:r w:rsidR="004E7D79">
        <w:t> </w:t>
      </w:r>
      <w:r w:rsidR="00AD2CC8">
        <w:t>per</w:t>
      </w:r>
      <w:r w:rsidR="004E7D79">
        <w:t> </w:t>
      </w:r>
      <w:r w:rsidR="00AD2CC8">
        <w:t>cent</w:t>
      </w:r>
      <w:r>
        <w:t xml:space="preserve"> and f</w:t>
      </w:r>
      <w:r w:rsidRPr="004C0FFB">
        <w:t>uture technology developments could achieve 70</w:t>
      </w:r>
      <w:r w:rsidR="00537A9C">
        <w:t xml:space="preserve"> to </w:t>
      </w:r>
      <w:r w:rsidRPr="004C0FFB">
        <w:t>80</w:t>
      </w:r>
      <w:r w:rsidR="00AD2CC8">
        <w:t xml:space="preserve"> per cent</w:t>
      </w:r>
      <w:r w:rsidR="00537A9C">
        <w:t>;</w:t>
      </w:r>
      <w:r>
        <w:t xml:space="preserve"> however, g</w:t>
      </w:r>
      <w:r w:rsidRPr="004C0FFB">
        <w:t>oing further ha</w:t>
      </w:r>
      <w:r w:rsidR="002D56C9">
        <w:t>d</w:t>
      </w:r>
      <w:r w:rsidRPr="004C0FFB">
        <w:t xml:space="preserve"> proved to be prohibitively expensive</w:t>
      </w:r>
      <w:r>
        <w:t>. The e</w:t>
      </w:r>
      <w:r w:rsidRPr="009D0655">
        <w:t xml:space="preserve">nergy efficiency opportunities in the RACHP sectors </w:t>
      </w:r>
      <w:r>
        <w:t>include</w:t>
      </w:r>
      <w:r w:rsidR="002D56C9">
        <w:t>d</w:t>
      </w:r>
      <w:r>
        <w:t xml:space="preserve"> technology opportunities </w:t>
      </w:r>
      <w:r w:rsidR="00537A9C">
        <w:t xml:space="preserve">that </w:t>
      </w:r>
      <w:r>
        <w:t>Mr. Peixoto outlined. He discussed that with regard to refrigerants, sm</w:t>
      </w:r>
      <w:r w:rsidRPr="004C0FFB">
        <w:t xml:space="preserve">all improvements in </w:t>
      </w:r>
      <w:r>
        <w:t xml:space="preserve">energy efficiency </w:t>
      </w:r>
      <w:r w:rsidR="002D56C9">
        <w:t>we</w:t>
      </w:r>
      <w:r>
        <w:t xml:space="preserve">re possible where there are no </w:t>
      </w:r>
      <w:r w:rsidRPr="004C0FFB">
        <w:t>changes in design</w:t>
      </w:r>
      <w:r>
        <w:t xml:space="preserve"> and the options for alternative refrigerants </w:t>
      </w:r>
      <w:r w:rsidR="002D56C9">
        <w:t>we</w:t>
      </w:r>
      <w:r>
        <w:t xml:space="preserve">re limited to </w:t>
      </w:r>
      <w:r w:rsidRPr="004C0FFB">
        <w:t>current classes of chemicals</w:t>
      </w:r>
      <w:r>
        <w:t xml:space="preserve"> or n</w:t>
      </w:r>
      <w:r w:rsidRPr="004C0FFB">
        <w:t>ew blends</w:t>
      </w:r>
      <w:r>
        <w:t xml:space="preserve"> of </w:t>
      </w:r>
      <w:r w:rsidR="00537A9C">
        <w:t xml:space="preserve">those </w:t>
      </w:r>
      <w:r>
        <w:t xml:space="preserve">chemicals. Large </w:t>
      </w:r>
      <w:r w:rsidRPr="004C0FFB">
        <w:t xml:space="preserve">improvements in </w:t>
      </w:r>
      <w:r>
        <w:t>energy efficiency for n</w:t>
      </w:r>
      <w:r w:rsidRPr="004C0FFB">
        <w:t>ew equipment</w:t>
      </w:r>
      <w:r>
        <w:t xml:space="preserve"> </w:t>
      </w:r>
      <w:r w:rsidR="002D56C9">
        <w:t>we</w:t>
      </w:r>
      <w:r>
        <w:t xml:space="preserve">re possible </w:t>
      </w:r>
      <w:r w:rsidRPr="004C0FFB">
        <w:t>with better control systems and improved components</w:t>
      </w:r>
      <w:r>
        <w:t xml:space="preserve">, many of which </w:t>
      </w:r>
      <w:r w:rsidR="002D56C9">
        <w:t>we</w:t>
      </w:r>
      <w:r>
        <w:t>re already available and just require</w:t>
      </w:r>
      <w:r w:rsidR="002D56C9">
        <w:t>d</w:t>
      </w:r>
      <w:r>
        <w:t xml:space="preserve"> ap</w:t>
      </w:r>
      <w:r w:rsidRPr="004C0FFB">
        <w:t>plication</w:t>
      </w:r>
      <w:r>
        <w:t xml:space="preserve"> and could help r</w:t>
      </w:r>
      <w:r w:rsidRPr="004C0FFB">
        <w:t>educe leakage from new equipment</w:t>
      </w:r>
      <w:r>
        <w:t xml:space="preserve">. There </w:t>
      </w:r>
      <w:r w:rsidR="00F576B7">
        <w:t>was</w:t>
      </w:r>
      <w:r>
        <w:t xml:space="preserve"> an opportunity for energy efficiency improvements in</w:t>
      </w:r>
      <w:r w:rsidRPr="004C0FFB">
        <w:t xml:space="preserve"> new equipment designs concurrent with the transition to </w:t>
      </w:r>
      <w:r w:rsidR="00537A9C" w:rsidRPr="004C0FFB">
        <w:t>low</w:t>
      </w:r>
      <w:r w:rsidR="00537A9C">
        <w:t>-</w:t>
      </w:r>
      <w:r w:rsidRPr="004C0FFB">
        <w:t>GWP refrigerants</w:t>
      </w:r>
      <w:r>
        <w:t>. He noted some specific technology examples</w:t>
      </w:r>
      <w:r w:rsidR="00537A9C">
        <w:t xml:space="preserve">, </w:t>
      </w:r>
      <w:r>
        <w:t xml:space="preserve">the most likely for broad adoption </w:t>
      </w:r>
      <w:r w:rsidR="00537A9C">
        <w:t>being those with</w:t>
      </w:r>
      <w:r>
        <w:t xml:space="preserve"> i</w:t>
      </w:r>
      <w:r w:rsidRPr="00FA5A74">
        <w:t>mproved control and monitoring of systems</w:t>
      </w:r>
      <w:r>
        <w:t xml:space="preserve"> and v</w:t>
      </w:r>
      <w:r w:rsidRPr="00FA5A74">
        <w:t>ariable speed compressor</w:t>
      </w:r>
      <w:r>
        <w:t>s.</w:t>
      </w:r>
      <w:r w:rsidRPr="00FA5A74">
        <w:t xml:space="preserve"> </w:t>
      </w:r>
      <w:r w:rsidR="00FF5F3C">
        <w:t>M</w:t>
      </w:r>
      <w:r w:rsidRPr="00FA5A74">
        <w:t xml:space="preserve">ature </w:t>
      </w:r>
      <w:r w:rsidR="00FF5F3C">
        <w:t>not</w:t>
      </w:r>
      <w:r w:rsidR="00FF5F3C">
        <w:noBreakHyphen/>
        <w:t xml:space="preserve">in-kind cooling </w:t>
      </w:r>
      <w:r w:rsidRPr="00FA5A74">
        <w:t>technologies occupy small niches of the market (e.g. absorption technologies, thermoelectric refrigeration</w:t>
      </w:r>
      <w:r w:rsidR="00FF5F3C">
        <w:t xml:space="preserve"> and</w:t>
      </w:r>
      <w:r w:rsidRPr="00FA5A74">
        <w:t xml:space="preserve"> air cycle).</w:t>
      </w:r>
      <w:r>
        <w:t xml:space="preserve"> </w:t>
      </w:r>
      <w:r w:rsidRPr="00FA5A74">
        <w:t>Magnetic refrigeration for the domestic sector h</w:t>
      </w:r>
      <w:r w:rsidR="002D56C9">
        <w:t>e</w:t>
      </w:r>
      <w:r w:rsidRPr="00FA5A74">
        <w:t xml:space="preserve">ld promise, but the impact on </w:t>
      </w:r>
      <w:r>
        <w:t xml:space="preserve">energy efficiency </w:t>
      </w:r>
      <w:r w:rsidR="00F576B7">
        <w:t>was</w:t>
      </w:r>
      <w:r w:rsidRPr="00FA5A74">
        <w:t xml:space="preserve"> uncertain.</w:t>
      </w:r>
      <w:r>
        <w:t xml:space="preserve"> There </w:t>
      </w:r>
      <w:r w:rsidR="002D56C9">
        <w:t>we</w:t>
      </w:r>
      <w:r>
        <w:t xml:space="preserve">re examples of </w:t>
      </w:r>
      <w:r w:rsidR="00FF5F3C">
        <w:t>d</w:t>
      </w:r>
      <w:r w:rsidR="00FF5F3C" w:rsidRPr="00FA5A74">
        <w:t xml:space="preserve">istrict </w:t>
      </w:r>
      <w:r w:rsidR="00FF5F3C">
        <w:t>c</w:t>
      </w:r>
      <w:r w:rsidR="00FF5F3C" w:rsidRPr="00FA5A74">
        <w:t xml:space="preserve">ooling </w:t>
      </w:r>
      <w:r w:rsidRPr="00FA5A74">
        <w:t>using absorption chillers, cogeneration and trigeneration plants</w:t>
      </w:r>
      <w:r>
        <w:t>.</w:t>
      </w:r>
    </w:p>
    <w:p w:rsidR="000F6BE6" w:rsidRDefault="000F6BE6"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t>Mr. Ashley Woodcock then presented information on policy, regulation and information opportunities</w:t>
      </w:r>
      <w:r w:rsidR="00FF5F3C">
        <w:t>, including m</w:t>
      </w:r>
      <w:r w:rsidRPr="004C0FFB">
        <w:t xml:space="preserve">inimum </w:t>
      </w:r>
      <w:r w:rsidR="00FF5F3C">
        <w:t>e</w:t>
      </w:r>
      <w:r w:rsidRPr="004C0FFB">
        <w:t xml:space="preserve">nergy </w:t>
      </w:r>
      <w:r w:rsidR="00FF5F3C">
        <w:t>p</w:t>
      </w:r>
      <w:r w:rsidRPr="004C0FFB">
        <w:t xml:space="preserve">erformance </w:t>
      </w:r>
      <w:r w:rsidR="00FF5F3C">
        <w:t>s</w:t>
      </w:r>
      <w:r w:rsidRPr="004C0FFB">
        <w:t>tandards (MEPS)</w:t>
      </w:r>
      <w:r>
        <w:t>; l</w:t>
      </w:r>
      <w:r w:rsidRPr="004C0FFB">
        <w:t>abelling</w:t>
      </w:r>
      <w:r>
        <w:t xml:space="preserve"> to help</w:t>
      </w:r>
      <w:r w:rsidRPr="004C0FFB">
        <w:t xml:space="preserve"> raise consumer awareness</w:t>
      </w:r>
      <w:r>
        <w:t>; b</w:t>
      </w:r>
      <w:r w:rsidRPr="004C0FFB">
        <w:t xml:space="preserve">uilding codes for </w:t>
      </w:r>
      <w:r>
        <w:t>improved e</w:t>
      </w:r>
      <w:r w:rsidRPr="004C0FFB">
        <w:t xml:space="preserve">nergy </w:t>
      </w:r>
      <w:r>
        <w:t>e</w:t>
      </w:r>
      <w:r w:rsidRPr="004C0FFB">
        <w:t>fficiency</w:t>
      </w:r>
      <w:r>
        <w:t>; g</w:t>
      </w:r>
      <w:r w:rsidRPr="004C0FFB">
        <w:t xml:space="preserve">ood practice guidelines for training, maintenance and operation of RACHP to maintain high </w:t>
      </w:r>
      <w:r>
        <w:t xml:space="preserve">energy efficiency </w:t>
      </w:r>
      <w:r w:rsidRPr="004C0FFB">
        <w:t>performance and reduce refrigerant leakage</w:t>
      </w:r>
      <w:r>
        <w:t>; m</w:t>
      </w:r>
      <w:r w:rsidRPr="004C0FFB">
        <w:t>arket mechanisms (e.g.</w:t>
      </w:r>
      <w:r w:rsidR="002D56C9">
        <w:t>,</w:t>
      </w:r>
      <w:r w:rsidRPr="004C0FFB">
        <w:t xml:space="preserve"> </w:t>
      </w:r>
      <w:r w:rsidR="002D56C9">
        <w:t>b</w:t>
      </w:r>
      <w:r w:rsidRPr="004C0FFB">
        <w:t>uyers</w:t>
      </w:r>
      <w:r w:rsidR="002D56C9">
        <w:t>’</w:t>
      </w:r>
      <w:r w:rsidRPr="004C0FFB">
        <w:t xml:space="preserve"> </w:t>
      </w:r>
      <w:r w:rsidR="002D56C9">
        <w:t>c</w:t>
      </w:r>
      <w:r w:rsidRPr="004C0FFB">
        <w:t xml:space="preserve">lub, </w:t>
      </w:r>
      <w:r w:rsidR="002D56C9">
        <w:t>G</w:t>
      </w:r>
      <w:r w:rsidRPr="004C0FFB">
        <w:t>overnment bulk procurement)</w:t>
      </w:r>
      <w:r>
        <w:t>; and l</w:t>
      </w:r>
      <w:r w:rsidRPr="004C0FFB">
        <w:t>egislation for energy savings and energy efficiency by utilit</w:t>
      </w:r>
      <w:r w:rsidR="00FF5F3C">
        <w:t>y</w:t>
      </w:r>
      <w:r w:rsidRPr="004C0FFB">
        <w:t xml:space="preserve"> and energy distribution companies</w:t>
      </w:r>
      <w:r>
        <w:t xml:space="preserve">. With regard to MEPS, they </w:t>
      </w:r>
      <w:r w:rsidRPr="004C0FFB">
        <w:t>limit</w:t>
      </w:r>
      <w:r w:rsidR="00EF56F8">
        <w:t>ed</w:t>
      </w:r>
      <w:r w:rsidRPr="004C0FFB">
        <w:t xml:space="preserve"> the maximum energy consumption of equipment</w:t>
      </w:r>
      <w:r>
        <w:t xml:space="preserve"> and c</w:t>
      </w:r>
      <w:r w:rsidR="00EF56F8">
        <w:t>ould</w:t>
      </w:r>
      <w:r>
        <w:t xml:space="preserve"> be combined with l</w:t>
      </w:r>
      <w:r w:rsidRPr="004C0FFB">
        <w:t>abelling schemes</w:t>
      </w:r>
      <w:r>
        <w:t xml:space="preserve"> and work to r</w:t>
      </w:r>
      <w:r w:rsidRPr="004C0FFB">
        <w:t xml:space="preserve">emove </w:t>
      </w:r>
      <w:r>
        <w:t xml:space="preserve">products with </w:t>
      </w:r>
      <w:r w:rsidRPr="004C0FFB">
        <w:t xml:space="preserve">poor </w:t>
      </w:r>
      <w:r>
        <w:t xml:space="preserve">energy efficiency </w:t>
      </w:r>
      <w:r w:rsidRPr="004C0FFB">
        <w:t xml:space="preserve">from </w:t>
      </w:r>
      <w:r>
        <w:t xml:space="preserve">the </w:t>
      </w:r>
      <w:r w:rsidRPr="004C0FFB">
        <w:t>market</w:t>
      </w:r>
      <w:r>
        <w:t>. These b</w:t>
      </w:r>
      <w:r w:rsidRPr="004C0FFB">
        <w:t>enefi</w:t>
      </w:r>
      <w:r w:rsidR="00EF56F8">
        <w:t>t</w:t>
      </w:r>
      <w:r w:rsidRPr="004C0FFB">
        <w:t>t</w:t>
      </w:r>
      <w:r w:rsidR="00EF56F8">
        <w:t>ed</w:t>
      </w:r>
      <w:r w:rsidRPr="004C0FFB">
        <w:t xml:space="preserve"> from political and stakeholder commitment</w:t>
      </w:r>
      <w:r>
        <w:t xml:space="preserve"> and c</w:t>
      </w:r>
      <w:r w:rsidR="00EF56F8">
        <w:t>ould</w:t>
      </w:r>
      <w:r>
        <w:t xml:space="preserve"> evolve with innovation as energy efficiency improv</w:t>
      </w:r>
      <w:r w:rsidR="00EF56F8">
        <w:t>ed</w:t>
      </w:r>
      <w:r>
        <w:t xml:space="preserve">. There </w:t>
      </w:r>
      <w:r w:rsidR="00EF56F8">
        <w:t>we</w:t>
      </w:r>
      <w:r>
        <w:t xml:space="preserve">re opportunities to strengthen MEPS in </w:t>
      </w:r>
      <w:r w:rsidR="007B36A5" w:rsidRPr="00DB6883">
        <w:t xml:space="preserve">parties operating </w:t>
      </w:r>
      <w:r w:rsidR="007B36A5" w:rsidRPr="00DB6883">
        <w:lastRenderedPageBreak/>
        <w:t>under paragraph 1 of Article 5</w:t>
      </w:r>
      <w:r>
        <w:t>; many</w:t>
      </w:r>
      <w:r w:rsidRPr="004C0FFB">
        <w:t xml:space="preserve"> </w:t>
      </w:r>
      <w:r w:rsidR="007B36A5" w:rsidRPr="00DB6883">
        <w:t xml:space="preserve">parties operating under paragraph 1 of Article 5 </w:t>
      </w:r>
      <w:r w:rsidR="00FF5F3C">
        <w:t>d</w:t>
      </w:r>
      <w:r w:rsidR="00EF56F8">
        <w:t>id</w:t>
      </w:r>
      <w:r w:rsidR="00FF5F3C">
        <w:t xml:space="preserve"> not</w:t>
      </w:r>
      <w:r w:rsidRPr="004C0FFB">
        <w:t xml:space="preserve"> have MEPS for RACHP in place, or </w:t>
      </w:r>
      <w:r>
        <w:t xml:space="preserve">where </w:t>
      </w:r>
      <w:r w:rsidRPr="004C0FFB">
        <w:t xml:space="preserve">MEPS </w:t>
      </w:r>
      <w:r w:rsidR="00EF56F8">
        <w:t>we</w:t>
      </w:r>
      <w:r>
        <w:t xml:space="preserve">re in place </w:t>
      </w:r>
      <w:r w:rsidR="00FF5F3C">
        <w:t xml:space="preserve">they </w:t>
      </w:r>
      <w:r>
        <w:t>m</w:t>
      </w:r>
      <w:r w:rsidR="00EF56F8">
        <w:t>ay</w:t>
      </w:r>
      <w:r>
        <w:t xml:space="preserve"> be</w:t>
      </w:r>
      <w:r w:rsidRPr="004C0FFB">
        <w:t xml:space="preserve"> set at a lower standard</w:t>
      </w:r>
      <w:r>
        <w:t xml:space="preserve">. </w:t>
      </w:r>
      <w:r w:rsidRPr="004C0FFB">
        <w:t>RACHP equipment ha</w:t>
      </w:r>
      <w:r w:rsidR="00EF56F8">
        <w:t>d</w:t>
      </w:r>
      <w:r w:rsidRPr="004C0FFB">
        <w:t xml:space="preserve"> lower </w:t>
      </w:r>
      <w:r>
        <w:t xml:space="preserve">energy efficiency </w:t>
      </w:r>
      <w:r w:rsidRPr="004C0FFB">
        <w:t xml:space="preserve">in </w:t>
      </w:r>
      <w:r w:rsidR="007B36A5" w:rsidRPr="00DB6883">
        <w:t>parties operating under paragraph 1 of Article 5</w:t>
      </w:r>
      <w:r>
        <w:t xml:space="preserve">, so </w:t>
      </w:r>
      <w:r w:rsidR="00EF56F8">
        <w:t xml:space="preserve">the </w:t>
      </w:r>
      <w:r>
        <w:t>a</w:t>
      </w:r>
      <w:r w:rsidRPr="004C0FFB">
        <w:t xml:space="preserve">doption of strengthened MEPS could drive improved </w:t>
      </w:r>
      <w:r>
        <w:t xml:space="preserve">energy efficiency </w:t>
      </w:r>
      <w:r w:rsidRPr="004C0FFB">
        <w:t>of equipment</w:t>
      </w:r>
      <w:r w:rsidR="00FF5F3C">
        <w:t>,</w:t>
      </w:r>
      <w:r>
        <w:t xml:space="preserve"> which could in turn</w:t>
      </w:r>
      <w:r w:rsidRPr="004C0FFB">
        <w:t xml:space="preserve"> enable higher MEPS</w:t>
      </w:r>
      <w:r>
        <w:t xml:space="preserve">. </w:t>
      </w:r>
      <w:r w:rsidRPr="004C0FFB">
        <w:t xml:space="preserve">Access to accredited laboratories </w:t>
      </w:r>
      <w:r w:rsidR="00F576B7">
        <w:t>was</w:t>
      </w:r>
      <w:r w:rsidRPr="004C0FFB">
        <w:t xml:space="preserve"> important for effective enforcement of MEPS</w:t>
      </w:r>
      <w:r>
        <w:t>.</w:t>
      </w:r>
    </w:p>
    <w:p w:rsidR="000F6BE6" w:rsidRDefault="000F6BE6"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AD731C">
        <w:t xml:space="preserve">Mr. Woodcock noted the key messages conveyed by the report: that increased </w:t>
      </w:r>
      <w:r w:rsidRPr="003E1C3A">
        <w:t>energy</w:t>
      </w:r>
      <w:r w:rsidRPr="004C0FFB">
        <w:t xml:space="preserve"> </w:t>
      </w:r>
      <w:r>
        <w:t>e</w:t>
      </w:r>
      <w:r w:rsidRPr="004C0FFB">
        <w:t>fficiency ha</w:t>
      </w:r>
      <w:r w:rsidR="00EF56F8">
        <w:t>d</w:t>
      </w:r>
      <w:r w:rsidRPr="004C0FFB">
        <w:t xml:space="preserve"> been an important side benefit of the Montreal Protocol through two previous transitions of refrigerants over 30 years</w:t>
      </w:r>
      <w:r>
        <w:t>; d</w:t>
      </w:r>
      <w:r w:rsidRPr="004C0FFB">
        <w:t xml:space="preserve">emand for RACHP equipment </w:t>
      </w:r>
      <w:r w:rsidR="00F576B7">
        <w:t>was</w:t>
      </w:r>
      <w:r w:rsidRPr="004C0FFB">
        <w:t xml:space="preserve"> increasing rapidly especially in </w:t>
      </w:r>
      <w:r w:rsidR="007B36A5" w:rsidRPr="00DB6883">
        <w:t xml:space="preserve">parties operating under paragraph 1 of Article 5 </w:t>
      </w:r>
      <w:r>
        <w:t xml:space="preserve">where </w:t>
      </w:r>
      <w:r w:rsidRPr="004C0FFB">
        <w:t>RACHP already consume</w:t>
      </w:r>
      <w:r w:rsidR="00EF56F8">
        <w:t>d</w:t>
      </w:r>
      <w:r w:rsidRPr="004C0FFB">
        <w:t xml:space="preserve"> ~1/6th of the world’s electricity</w:t>
      </w:r>
      <w:r>
        <w:t>; t</w:t>
      </w:r>
      <w:r w:rsidRPr="004C0FFB">
        <w:t xml:space="preserve">here </w:t>
      </w:r>
      <w:r w:rsidR="00EF56F8">
        <w:t>we</w:t>
      </w:r>
      <w:r w:rsidRPr="004C0FFB">
        <w:t xml:space="preserve">re many opportunities to achieve improvements in </w:t>
      </w:r>
      <w:r>
        <w:t xml:space="preserve">energy efficiency </w:t>
      </w:r>
      <w:r w:rsidRPr="004C0FFB">
        <w:t xml:space="preserve">during the transition to </w:t>
      </w:r>
      <w:r w:rsidR="00FF5F3C" w:rsidRPr="004C0FFB">
        <w:t>low</w:t>
      </w:r>
      <w:r w:rsidR="00FF5F3C">
        <w:t>-</w:t>
      </w:r>
      <w:r w:rsidRPr="004C0FFB">
        <w:t>GWP refrigerants</w:t>
      </w:r>
      <w:r>
        <w:t xml:space="preserve">. </w:t>
      </w:r>
      <w:r w:rsidRPr="004C0FFB">
        <w:t xml:space="preserve">A coordinated domestic transition to </w:t>
      </w:r>
      <w:r w:rsidR="00FF5F3C" w:rsidRPr="004C0FFB">
        <w:t>low</w:t>
      </w:r>
      <w:r w:rsidR="00FF5F3C">
        <w:t>-</w:t>
      </w:r>
      <w:r w:rsidRPr="004C0FFB">
        <w:t xml:space="preserve">GWP refrigerants could include a parallel effort on improving </w:t>
      </w:r>
      <w:r>
        <w:t>e</w:t>
      </w:r>
      <w:r w:rsidRPr="004C0FFB">
        <w:t xml:space="preserve">nergy </w:t>
      </w:r>
      <w:r>
        <w:t>e</w:t>
      </w:r>
      <w:r w:rsidRPr="004C0FFB">
        <w:t>fficiency of RACHP equipment</w:t>
      </w:r>
      <w:r>
        <w:t>.</w:t>
      </w:r>
    </w:p>
    <w:p w:rsidR="007071AF" w:rsidRPr="00DB6883" w:rsidRDefault="00D13F71" w:rsidP="00D13F71">
      <w:pPr>
        <w:pStyle w:val="CH2"/>
      </w:pPr>
      <w:r>
        <w:tab/>
      </w:r>
      <w:r w:rsidR="00CA5FA1">
        <w:t>D</w:t>
      </w:r>
      <w:r w:rsidRPr="00A73384">
        <w:t>.</w:t>
      </w:r>
      <w:r w:rsidRPr="00A73384">
        <w:tab/>
      </w:r>
      <w:r w:rsidR="007071AF" w:rsidRPr="00A73384">
        <w:t xml:space="preserve">Presentations during the high-level segment by members of the assessment panels on progress in the </w:t>
      </w:r>
      <w:r w:rsidR="00A73384" w:rsidRPr="00FC5832">
        <w:t>work</w:t>
      </w:r>
      <w:r w:rsidR="00A73384" w:rsidRPr="00A73384">
        <w:t xml:space="preserve"> </w:t>
      </w:r>
      <w:r w:rsidR="00A73384">
        <w:t xml:space="preserve">of the </w:t>
      </w:r>
      <w:r w:rsidR="007071AF" w:rsidRPr="00A73384">
        <w:t xml:space="preserve">panels </w:t>
      </w:r>
    </w:p>
    <w:p w:rsidR="000876D1" w:rsidRDefault="00D13F71" w:rsidP="00214BFD">
      <w:pPr>
        <w:pStyle w:val="CH3"/>
      </w:pPr>
      <w:r>
        <w:tab/>
      </w:r>
      <w:r w:rsidR="008222A6" w:rsidRPr="00E861A7">
        <w:t>1.</w:t>
      </w:r>
      <w:r w:rsidR="008222A6" w:rsidRPr="00E861A7">
        <w:tab/>
      </w:r>
      <w:r w:rsidR="00214BFD">
        <w:t>Scientific Assessment Panel</w:t>
      </w:r>
    </w:p>
    <w:p w:rsidR="00316664" w:rsidRDefault="00316664"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AD731C">
        <w:t xml:space="preserve">John Pyle, </w:t>
      </w:r>
      <w:r w:rsidRPr="003E1C3A">
        <w:t xml:space="preserve">Paul A. Newman, </w:t>
      </w:r>
      <w:r w:rsidRPr="007022CB">
        <w:t>David W. Fahey</w:t>
      </w:r>
      <w:r w:rsidRPr="004219FE">
        <w:t xml:space="preserve"> and </w:t>
      </w:r>
      <w:r w:rsidRPr="00AD731C">
        <w:t>Bonfils Safari</w:t>
      </w:r>
      <w:r w:rsidR="00DE4F50" w:rsidRPr="00AD731C">
        <w:t>,</w:t>
      </w:r>
      <w:r w:rsidRPr="00AD731C">
        <w:t xml:space="preserve"> </w:t>
      </w:r>
      <w:r w:rsidR="00DE4F50" w:rsidRPr="00AD731C">
        <w:t>Co-Chairs</w:t>
      </w:r>
      <w:r w:rsidR="00DE4F50">
        <w:t xml:space="preserve"> of the </w:t>
      </w:r>
      <w:r>
        <w:t>Scientific Assessment Panel</w:t>
      </w:r>
      <w:r w:rsidR="00DE4F50">
        <w:t xml:space="preserve">, </w:t>
      </w:r>
      <w:r>
        <w:t>gave a presentation on the 2018 W</w:t>
      </w:r>
      <w:r w:rsidR="00DE4F50">
        <w:t>orld Met</w:t>
      </w:r>
      <w:r w:rsidR="007029AC">
        <w:t>eorological Organization</w:t>
      </w:r>
      <w:r>
        <w:t>/U</w:t>
      </w:r>
      <w:r w:rsidR="007029AC">
        <w:t xml:space="preserve">nited </w:t>
      </w:r>
      <w:r>
        <w:t>N</w:t>
      </w:r>
      <w:r w:rsidR="007029AC">
        <w:t xml:space="preserve">ations </w:t>
      </w:r>
      <w:r>
        <w:t>E</w:t>
      </w:r>
      <w:r w:rsidR="007029AC">
        <w:t xml:space="preserve">nvironment </w:t>
      </w:r>
      <w:r>
        <w:t>P</w:t>
      </w:r>
      <w:r w:rsidR="007029AC">
        <w:t>rogramme</w:t>
      </w:r>
      <w:r>
        <w:t xml:space="preserve"> Scientific Assessment of Ozone Depletion. The Montreal Protocol require</w:t>
      </w:r>
      <w:r w:rsidR="00EF56F8">
        <w:t>d</w:t>
      </w:r>
      <w:r>
        <w:t xml:space="preserve"> that the </w:t>
      </w:r>
      <w:r w:rsidR="00006052">
        <w:t xml:space="preserve">Scientific Assessment Panel </w:t>
      </w:r>
      <w:r>
        <w:t xml:space="preserve">provide the latest information on the state of the ozone layer, the stratosphere and ODS such as chlorofluorocarbons at least every </w:t>
      </w:r>
      <w:r w:rsidR="00C365E3">
        <w:t xml:space="preserve">four </w:t>
      </w:r>
      <w:r>
        <w:t>years. The presentation included a basic update on the progress of the 2018 assessment with a few scientific highlights.</w:t>
      </w:r>
    </w:p>
    <w:p w:rsidR="00316664" w:rsidRDefault="00316664"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t xml:space="preserve">The </w:t>
      </w:r>
      <w:r w:rsidR="00006052">
        <w:t xml:space="preserve">Scientific Assessment Panel </w:t>
      </w:r>
      <w:r>
        <w:t xml:space="preserve">presented basic information on the structure of the 2018 assessment. First, the assessment </w:t>
      </w:r>
      <w:r w:rsidR="00F576B7">
        <w:t>was</w:t>
      </w:r>
      <w:r>
        <w:t xml:space="preserve"> composed of </w:t>
      </w:r>
      <w:r w:rsidR="00CA29B7">
        <w:t xml:space="preserve">six </w:t>
      </w:r>
      <w:r>
        <w:t>chapters</w:t>
      </w:r>
      <w:r w:rsidR="00AD731C">
        <w:t xml:space="preserve"> on</w:t>
      </w:r>
      <w:r w:rsidR="00006052">
        <w:t xml:space="preserve"> o</w:t>
      </w:r>
      <w:r>
        <w:t>zone-depleting substances</w:t>
      </w:r>
      <w:r w:rsidR="00006052">
        <w:t>; h</w:t>
      </w:r>
      <w:r>
        <w:t>ydrofluorocarbons</w:t>
      </w:r>
      <w:r w:rsidR="00006052">
        <w:t>; g</w:t>
      </w:r>
      <w:r>
        <w:t xml:space="preserve">lobal stratospheric ozone: </w:t>
      </w:r>
      <w:r w:rsidR="00AD731C">
        <w:t>p</w:t>
      </w:r>
      <w:r>
        <w:t xml:space="preserve">ast, present </w:t>
      </w:r>
      <w:r w:rsidR="000B3A99">
        <w:t xml:space="preserve">and </w:t>
      </w:r>
      <w:r>
        <w:t>future</w:t>
      </w:r>
      <w:r w:rsidR="00006052">
        <w:t>; p</w:t>
      </w:r>
      <w:r>
        <w:t xml:space="preserve">olar stratospheric ozone: </w:t>
      </w:r>
      <w:r w:rsidR="00006052">
        <w:t>p</w:t>
      </w:r>
      <w:r>
        <w:t xml:space="preserve">ast, present </w:t>
      </w:r>
      <w:r w:rsidR="000B3A99">
        <w:t xml:space="preserve">and </w:t>
      </w:r>
      <w:r>
        <w:t>future</w:t>
      </w:r>
      <w:r w:rsidR="00006052">
        <w:t>; s</w:t>
      </w:r>
      <w:r>
        <w:t>tratospheric ozone changes and climate</w:t>
      </w:r>
      <w:r w:rsidR="00006052">
        <w:t>; and s</w:t>
      </w:r>
      <w:r>
        <w:t>cenarios and information for policymakers</w:t>
      </w:r>
      <w:r w:rsidR="00006052">
        <w:t>.</w:t>
      </w:r>
    </w:p>
    <w:p w:rsidR="00316664" w:rsidRDefault="003E1C3A"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t>A</w:t>
      </w:r>
      <w:r w:rsidR="00316664">
        <w:t>s of Nov</w:t>
      </w:r>
      <w:r>
        <w:t>ember</w:t>
      </w:r>
      <w:r w:rsidR="00316664">
        <w:t xml:space="preserve"> 2017, the </w:t>
      </w:r>
      <w:r>
        <w:t xml:space="preserve">first </w:t>
      </w:r>
      <w:r w:rsidR="00316664">
        <w:t xml:space="preserve">draft of the assessment </w:t>
      </w:r>
      <w:r w:rsidR="00F576B7">
        <w:t>was</w:t>
      </w:r>
      <w:r w:rsidR="00316664">
        <w:t xml:space="preserve"> complete</w:t>
      </w:r>
      <w:r>
        <w:t xml:space="preserve">, </w:t>
      </w:r>
      <w:r w:rsidR="00316664">
        <w:t>ha</w:t>
      </w:r>
      <w:r w:rsidR="00F576B7">
        <w:t>d</w:t>
      </w:r>
      <w:r w:rsidR="00316664">
        <w:t xml:space="preserve"> undergone a first peer review with over 5,000 individual comments</w:t>
      </w:r>
      <w:r>
        <w:t xml:space="preserve"> and </w:t>
      </w:r>
      <w:r w:rsidR="00F576B7">
        <w:t>was</w:t>
      </w:r>
      <w:r w:rsidR="00316664">
        <w:t xml:space="preserve"> under revision. The completed assessment will be delivered in December 2018 along with an </w:t>
      </w:r>
      <w:r>
        <w:t>e</w:t>
      </w:r>
      <w:r w:rsidR="00316664">
        <w:t xml:space="preserve">xecutive </w:t>
      </w:r>
      <w:r>
        <w:t>s</w:t>
      </w:r>
      <w:r w:rsidR="00316664">
        <w:t xml:space="preserve">ummary and an updated “Twenty Questions and Answers </w:t>
      </w:r>
      <w:proofErr w:type="gramStart"/>
      <w:r>
        <w:t>About</w:t>
      </w:r>
      <w:proofErr w:type="gramEnd"/>
      <w:r>
        <w:t xml:space="preserve"> </w:t>
      </w:r>
      <w:r w:rsidR="00316664">
        <w:t>the Ozone Layer</w:t>
      </w:r>
      <w:r>
        <w:t>”</w:t>
      </w:r>
      <w:r w:rsidR="00316664">
        <w:t>.</w:t>
      </w:r>
    </w:p>
    <w:p w:rsidR="00316664" w:rsidRDefault="00316664"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t xml:space="preserve">The assessment </w:t>
      </w:r>
      <w:r w:rsidR="00EF56F8">
        <w:t xml:space="preserve">would </w:t>
      </w:r>
      <w:r>
        <w:t>include updated information that ha</w:t>
      </w:r>
      <w:r w:rsidR="00EF56F8">
        <w:t>d</w:t>
      </w:r>
      <w:r>
        <w:t xml:space="preserve"> been requested by the </w:t>
      </w:r>
      <w:r w:rsidR="003E1C3A">
        <w:t>parties</w:t>
      </w:r>
      <w:r>
        <w:t xml:space="preserve">. In particular, updated HCFC GWP </w:t>
      </w:r>
      <w:proofErr w:type="gramStart"/>
      <w:r>
        <w:t>were</w:t>
      </w:r>
      <w:proofErr w:type="gramEnd"/>
      <w:r>
        <w:t xml:space="preserve"> requested under the Kigali Amendment. </w:t>
      </w:r>
      <w:r w:rsidR="003E1C3A">
        <w:t xml:space="preserve">The </w:t>
      </w:r>
      <w:r>
        <w:t>GWP for the HCFCs with missing values in Annex C ha</w:t>
      </w:r>
      <w:r w:rsidR="00EF56F8">
        <w:t>d</w:t>
      </w:r>
      <w:r>
        <w:t xml:space="preserve"> been calculated by Dimitrios Papanastasiou, P</w:t>
      </w:r>
      <w:r w:rsidR="003E1C3A">
        <w:t>aul</w:t>
      </w:r>
      <w:r>
        <w:t xml:space="preserve"> Marshall and J</w:t>
      </w:r>
      <w:r w:rsidR="003E1C3A">
        <w:t>ames</w:t>
      </w:r>
      <w:r>
        <w:t xml:space="preserve"> Burkholder of the National Oceanic and Atmospheric Administration </w:t>
      </w:r>
      <w:r w:rsidR="003E1C3A">
        <w:t xml:space="preserve">of the United States of America </w:t>
      </w:r>
      <w:r>
        <w:t xml:space="preserve">and </w:t>
      </w:r>
      <w:r w:rsidR="00EF56F8">
        <w:t>we</w:t>
      </w:r>
      <w:r>
        <w:t xml:space="preserve">re included in a manuscript being peer reviewed for publication. </w:t>
      </w:r>
      <w:r w:rsidR="003E1C3A">
        <w:t xml:space="preserve">The </w:t>
      </w:r>
      <w:r>
        <w:t xml:space="preserve">comprehensive evaluation of HCFCs, including 274 isomers and stable conformers, </w:t>
      </w:r>
      <w:r w:rsidR="00EF56F8">
        <w:t>would</w:t>
      </w:r>
      <w:r>
        <w:t xml:space="preserve"> be included in the 2018 assessment. </w:t>
      </w:r>
    </w:p>
    <w:p w:rsidR="00316664" w:rsidRDefault="00316664"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t xml:space="preserve">The </w:t>
      </w:r>
      <w:r w:rsidR="003E1C3A">
        <w:t>Scientific Assessment Panel</w:t>
      </w:r>
      <w:r>
        <w:t xml:space="preserve"> </w:t>
      </w:r>
      <w:r w:rsidR="00EF56F8">
        <w:t xml:space="preserve">had </w:t>
      </w:r>
      <w:r>
        <w:t xml:space="preserve">also discussed halogenated very short-lived substances (VSLS) that are ozone-depleting substances. Previous assessments </w:t>
      </w:r>
      <w:r w:rsidR="00EF56F8">
        <w:t xml:space="preserve">had </w:t>
      </w:r>
      <w:r>
        <w:t xml:space="preserve">discussed natural and anthropogenic VSLS - ODS with lifetimes </w:t>
      </w:r>
      <w:r w:rsidR="00572CDD">
        <w:t xml:space="preserve">of </w:t>
      </w:r>
      <w:r>
        <w:t>less than about 6 months. Recent studies ha</w:t>
      </w:r>
      <w:r w:rsidR="00EF56F8">
        <w:t>d</w:t>
      </w:r>
      <w:r>
        <w:t xml:space="preserve"> focused on chlorinated VSLS, including CH2Cl2 (dichloromethane, DCM) with a lifetime of about 140 days, and CH2ClCH2Cl (1</w:t>
      </w:r>
      <w:proofErr w:type="gramStart"/>
      <w:r>
        <w:t>,2</w:t>
      </w:r>
      <w:proofErr w:type="gramEnd"/>
      <w:r>
        <w:t xml:space="preserve">-dichloroethane, DCE) with a lifetime of about 65 days. </w:t>
      </w:r>
      <w:r w:rsidR="00EF56F8">
        <w:t xml:space="preserve">The Panel had </w:t>
      </w:r>
      <w:r>
        <w:t>estimate</w:t>
      </w:r>
      <w:r w:rsidR="00EF56F8">
        <w:t>d that</w:t>
      </w:r>
      <w:r>
        <w:t xml:space="preserve"> VSLS comprise</w:t>
      </w:r>
      <w:r w:rsidR="00EF56F8">
        <w:t>d</w:t>
      </w:r>
      <w:r>
        <w:t xml:space="preserve"> up to ~ 3.3</w:t>
      </w:r>
      <w:r w:rsidR="00AD2CC8">
        <w:t xml:space="preserve"> per cent</w:t>
      </w:r>
      <w:r>
        <w:t xml:space="preserve"> of lower stratospheric chlorine, with up to 1.8</w:t>
      </w:r>
      <w:r w:rsidR="00AD2CC8">
        <w:t xml:space="preserve"> per cent</w:t>
      </w:r>
      <w:r>
        <w:t xml:space="preserve"> from DCM and up to 0.6</w:t>
      </w:r>
      <w:r w:rsidR="00AD2CC8">
        <w:t xml:space="preserve"> per cent</w:t>
      </w:r>
      <w:r>
        <w:t xml:space="preserve"> from DCE. </w:t>
      </w:r>
      <w:r w:rsidR="00572CDD">
        <w:t xml:space="preserve">Those </w:t>
      </w:r>
      <w:r>
        <w:t>estimates ha</w:t>
      </w:r>
      <w:r w:rsidR="00EF56F8">
        <w:t>d</w:t>
      </w:r>
      <w:r>
        <w:t xml:space="preserve"> high uncertainty because of sparse stratospheric observations and variability in VSLS sources. Tropospheric VSLS chlorine concentrations ha</w:t>
      </w:r>
      <w:r w:rsidR="00EF56F8">
        <w:t>d</w:t>
      </w:r>
      <w:r>
        <w:t xml:space="preserve"> increased from ~85ppt in 2008 to ~110ppt in 2016. The largest VSLS increases ha</w:t>
      </w:r>
      <w:r w:rsidR="00B50841">
        <w:t>d</w:t>
      </w:r>
      <w:r>
        <w:t xml:space="preserve"> occurred for DCM, but as noted above, the contribution to total stratospheric chlorine </w:t>
      </w:r>
      <w:r w:rsidR="00F576B7">
        <w:t>was</w:t>
      </w:r>
      <w:r>
        <w:t xml:space="preserve"> small. Understanding the role of VSLS emissions in long-term future stratospheric ozone changes remain</w:t>
      </w:r>
      <w:r w:rsidR="00B50841">
        <w:t>ed</w:t>
      </w:r>
      <w:r>
        <w:t xml:space="preserve"> an open science question.</w:t>
      </w:r>
    </w:p>
    <w:p w:rsidR="00316664" w:rsidRDefault="00316664"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t xml:space="preserve">Total ozone in both </w:t>
      </w:r>
      <w:proofErr w:type="gramStart"/>
      <w:r>
        <w:t>polar regions</w:t>
      </w:r>
      <w:proofErr w:type="gramEnd"/>
      <w:r>
        <w:t xml:space="preserve"> continue</w:t>
      </w:r>
      <w:r w:rsidR="00B50841">
        <w:t>d</w:t>
      </w:r>
      <w:r>
        <w:t xml:space="preserve"> to remain below levels observed in the 1970s. Spring Arctic ozone remain</w:t>
      </w:r>
      <w:r w:rsidR="00B50841">
        <w:t>ed</w:t>
      </w:r>
      <w:r>
        <w:t xml:space="preserve"> below the long-term average</w:t>
      </w:r>
      <w:r w:rsidR="00572CDD">
        <w:t>,</w:t>
      </w:r>
      <w:r>
        <w:t xml:space="preserve"> with large depletions occurring every few years (e.g., 2011). Antarctic ozone in October also remain</w:t>
      </w:r>
      <w:r w:rsidR="00B50841">
        <w:t>ed</w:t>
      </w:r>
      <w:r>
        <w:t xml:space="preserve"> well below the long-term average, but there </w:t>
      </w:r>
      <w:r w:rsidR="00F576B7">
        <w:t>was</w:t>
      </w:r>
      <w:r>
        <w:t xml:space="preserve"> recent evidence that ozone levels </w:t>
      </w:r>
      <w:r w:rsidR="00B50841">
        <w:t>we</w:t>
      </w:r>
      <w:r>
        <w:t>re increasing. The 2017 Antarctic ozone hole was much weaker than average. However, this small 2017 hole was mainly due to unusual meteorological conditions observed in September 2017.</w:t>
      </w:r>
    </w:p>
    <w:p w:rsidR="00316664" w:rsidRPr="00F65FC9" w:rsidRDefault="00316664"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lastRenderedPageBreak/>
        <w:t xml:space="preserve">Finally, the </w:t>
      </w:r>
      <w:r w:rsidR="003E1C3A">
        <w:t>Scientific Assessment Panel</w:t>
      </w:r>
      <w:r>
        <w:t xml:space="preserve"> showed information on projected levels of hydrofluorocarbons (HFCs) through the 21st century. The Kigali </w:t>
      </w:r>
      <w:r w:rsidR="00B50841">
        <w:t>A</w:t>
      </w:r>
      <w:r>
        <w:t xml:space="preserve">mendment control of HFC production and consumption </w:t>
      </w:r>
      <w:r w:rsidR="00F576B7">
        <w:t>was</w:t>
      </w:r>
      <w:r>
        <w:t xml:space="preserve"> projected to limit future surface warming from HFCs to less than 0.1C in 2100</w:t>
      </w:r>
      <w:r w:rsidR="00572CDD">
        <w:t>.</w:t>
      </w:r>
    </w:p>
    <w:p w:rsidR="000876D1" w:rsidRPr="00E861A7" w:rsidRDefault="00D13F71" w:rsidP="00D13F71">
      <w:pPr>
        <w:pStyle w:val="CH3"/>
      </w:pPr>
      <w:r>
        <w:tab/>
      </w:r>
      <w:r w:rsidR="000876D1" w:rsidRPr="00E861A7">
        <w:t>2.</w:t>
      </w:r>
      <w:r w:rsidR="000876D1" w:rsidRPr="00E861A7">
        <w:tab/>
        <w:t>Environmental Effects Panel</w:t>
      </w:r>
    </w:p>
    <w:p w:rsidR="000876D1" w:rsidRPr="00E861A7" w:rsidRDefault="000876D1"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4E7D79">
        <w:t>Janet Bornman and Nigel Paul</w:t>
      </w:r>
      <w:r w:rsidR="00572CDD">
        <w:t>,</w:t>
      </w:r>
      <w:r w:rsidRPr="004E7D79">
        <w:t xml:space="preserve"> </w:t>
      </w:r>
      <w:r w:rsidR="00572CDD" w:rsidRPr="0006550F">
        <w:t>Co-</w:t>
      </w:r>
      <w:r w:rsidR="00572CDD">
        <w:t>C</w:t>
      </w:r>
      <w:r w:rsidR="00572CDD" w:rsidRPr="0006550F">
        <w:t>hairs</w:t>
      </w:r>
      <w:r w:rsidR="00572CDD" w:rsidRPr="003939E6">
        <w:t xml:space="preserve"> </w:t>
      </w:r>
      <w:r w:rsidRPr="004E7D79">
        <w:t xml:space="preserve">of the </w:t>
      </w:r>
      <w:r w:rsidRPr="00D13F71">
        <w:t>Environmental Effects Assessment Panel</w:t>
      </w:r>
      <w:r w:rsidR="004219FE">
        <w:t>,</w:t>
      </w:r>
      <w:r w:rsidRPr="00D13F71">
        <w:t xml:space="preserve"> presented the annual </w:t>
      </w:r>
      <w:r w:rsidR="00572CDD">
        <w:t>u</w:t>
      </w:r>
      <w:r w:rsidR="00572CDD" w:rsidRPr="00D13F71">
        <w:t>pdat</w:t>
      </w:r>
      <w:r w:rsidR="00572CDD" w:rsidRPr="00E861A7">
        <w:t xml:space="preserve">e </w:t>
      </w:r>
      <w:r w:rsidRPr="00E861A7">
        <w:t xml:space="preserve">and progress towards the </w:t>
      </w:r>
      <w:r w:rsidR="00572CDD">
        <w:t>q</w:t>
      </w:r>
      <w:r w:rsidRPr="00E861A7">
        <w:t xml:space="preserve">uadrennial </w:t>
      </w:r>
      <w:r w:rsidR="00572CDD">
        <w:t>a</w:t>
      </w:r>
      <w:r w:rsidRPr="00E861A7">
        <w:t xml:space="preserve">ssessment for 2018. They stressed the importance and complexity of interactions between the effects of changes in stratospheric ozone and </w:t>
      </w:r>
      <w:r w:rsidR="00572CDD">
        <w:t>ultraviolet (</w:t>
      </w:r>
      <w:r w:rsidRPr="00E861A7">
        <w:t>UV</w:t>
      </w:r>
      <w:r w:rsidR="00572CDD">
        <w:t>)</w:t>
      </w:r>
      <w:r w:rsidRPr="00E861A7">
        <w:t xml:space="preserve"> radiation, and the effects of climate change.</w:t>
      </w:r>
    </w:p>
    <w:p w:rsidR="000876D1" w:rsidRPr="004E7D79" w:rsidRDefault="00572CDD"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t>Ms.</w:t>
      </w:r>
      <w:r w:rsidR="000876D1" w:rsidRPr="004E7D79">
        <w:t xml:space="preserve"> Bornman highlighted the important role of the Montreal Protocol in preventing large increases in skin cancers and cataract by UV radiation. However, several types of skin cancers </w:t>
      </w:r>
      <w:r w:rsidR="00B50841">
        <w:t>we</w:t>
      </w:r>
      <w:r w:rsidR="000876D1" w:rsidRPr="004E7D79">
        <w:t>re continuing to increase globally, with a substantial health burden and cost. These increases var</w:t>
      </w:r>
      <w:r w:rsidR="00B50841">
        <w:t>ied</w:t>
      </w:r>
      <w:r w:rsidR="000876D1" w:rsidRPr="004E7D79">
        <w:t xml:space="preserve"> widely with skin type, ethnicity and behavioural response to sun exposure. </w:t>
      </w:r>
      <w:r w:rsidRPr="004E7D79">
        <w:t>Th</w:t>
      </w:r>
      <w:r>
        <w:t>o</w:t>
      </w:r>
      <w:r w:rsidRPr="004E7D79">
        <w:t xml:space="preserve">se </w:t>
      </w:r>
      <w:r w:rsidR="000876D1" w:rsidRPr="004E7D79">
        <w:t xml:space="preserve">behavioural choices may be influenced by climate change. </w:t>
      </w:r>
    </w:p>
    <w:p w:rsidR="000876D1" w:rsidRPr="004E7D79" w:rsidRDefault="000876D1"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4E7D79">
        <w:t>Apart from the adverse effects of UV-B radiation (280</w:t>
      </w:r>
      <w:r w:rsidR="00572CDD">
        <w:t>–</w:t>
      </w:r>
      <w:r w:rsidRPr="004E7D79">
        <w:t>315 nm), the beneficial effects of the radiation on human health also need</w:t>
      </w:r>
      <w:r w:rsidR="00B50841">
        <w:t>ed</w:t>
      </w:r>
      <w:r w:rsidRPr="004E7D79">
        <w:t xml:space="preserve"> to be considered because of expected changes from recovery of the stratospheric ozone as well as from climate, which w</w:t>
      </w:r>
      <w:r w:rsidR="00B50841">
        <w:t>ould</w:t>
      </w:r>
      <w:r w:rsidRPr="004E7D79">
        <w:t xml:space="preserve"> likely result in variations in UV radiation. Recent evidence </w:t>
      </w:r>
      <w:r w:rsidR="00572CDD">
        <w:t>suggest</w:t>
      </w:r>
      <w:r w:rsidR="00B50841">
        <w:t>ed</w:t>
      </w:r>
      <w:r w:rsidRPr="004E7D79">
        <w:t xml:space="preserve"> that low doses of solar UV radiation increases vitamin D without accumulating DNA damage, which would be a useful behavioural pattern to improve vitamin D status while </w:t>
      </w:r>
      <w:r w:rsidR="00572CDD" w:rsidRPr="004E7D79">
        <w:t>minimi</w:t>
      </w:r>
      <w:r w:rsidR="00572CDD">
        <w:t>z</w:t>
      </w:r>
      <w:r w:rsidR="00572CDD" w:rsidRPr="004E7D79">
        <w:t xml:space="preserve">ing </w:t>
      </w:r>
      <w:r w:rsidRPr="004E7D79">
        <w:t>the damaging effects of UV-B radiation on health.</w:t>
      </w:r>
    </w:p>
    <w:p w:rsidR="000876D1" w:rsidRPr="004E7D79" w:rsidRDefault="000876D1"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4E7D79">
        <w:t xml:space="preserve">Apart from the focus on the effects from exposure to UV-B radiation, recent studies on ecosystems in the </w:t>
      </w:r>
      <w:r w:rsidR="00572CDD">
        <w:t>s</w:t>
      </w:r>
      <w:r w:rsidRPr="004E7D79">
        <w:t xml:space="preserve">outhern </w:t>
      </w:r>
      <w:r w:rsidR="00572CDD">
        <w:t>h</w:t>
      </w:r>
      <w:r w:rsidRPr="004E7D79">
        <w:t xml:space="preserve">emisphere </w:t>
      </w:r>
      <w:r w:rsidR="00B50841">
        <w:t>we</w:t>
      </w:r>
      <w:r w:rsidRPr="004E7D79">
        <w:t xml:space="preserve">re showing that the large ozone-driven changes in climate </w:t>
      </w:r>
      <w:r w:rsidR="00B50841">
        <w:t>we</w:t>
      </w:r>
      <w:r w:rsidRPr="004E7D79">
        <w:t xml:space="preserve">re increasing precipitation in some areas while causing drought and high temperatures in other areas. These changes have both positive </w:t>
      </w:r>
      <w:r w:rsidR="00572CDD">
        <w:t xml:space="preserve">consequences, such as </w:t>
      </w:r>
      <w:r w:rsidRPr="004E7D79">
        <w:t>increased plant growth, improved animal survival</w:t>
      </w:r>
      <w:r w:rsidR="00572CDD">
        <w:t>,</w:t>
      </w:r>
      <w:r w:rsidRPr="004E7D79">
        <w:t xml:space="preserve"> and negative consequences</w:t>
      </w:r>
      <w:r w:rsidR="00572CDD">
        <w:t xml:space="preserve">, such as </w:t>
      </w:r>
      <w:r w:rsidRPr="004E7D79">
        <w:t>fires.</w:t>
      </w:r>
    </w:p>
    <w:p w:rsidR="000876D1" w:rsidRPr="004E7D79" w:rsidRDefault="000876D1"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4E7D79">
        <w:t>Co-</w:t>
      </w:r>
      <w:r w:rsidR="00572CDD">
        <w:t>C</w:t>
      </w:r>
      <w:r w:rsidR="00572CDD" w:rsidRPr="004E7D79">
        <w:t xml:space="preserve">hair </w:t>
      </w:r>
      <w:r w:rsidRPr="004E7D79">
        <w:t xml:space="preserve">Nigel Paul went on to further highlight and assess some of the modifying influences of UV radiation and the interactive effects of climate change on ecosystems and materials. For example, stress tolerance and the timing of crop ripening </w:t>
      </w:r>
      <w:r w:rsidR="00B50841">
        <w:t>we</w:t>
      </w:r>
      <w:r w:rsidRPr="004E7D79">
        <w:t>re altered by warmer temperatures and droughts that coincide</w:t>
      </w:r>
      <w:r w:rsidR="00B50841">
        <w:t>d</w:t>
      </w:r>
      <w:r w:rsidRPr="004E7D79">
        <w:t xml:space="preserve"> with seasonal maxima in UV-B radiation. Increased exposure to UV radiation c</w:t>
      </w:r>
      <w:r w:rsidR="00B50841">
        <w:t>ould</w:t>
      </w:r>
      <w:r w:rsidRPr="004E7D79">
        <w:t xml:space="preserve"> also change food crop quality, with positive or adverse outcomes for nutrition.</w:t>
      </w:r>
    </w:p>
    <w:p w:rsidR="000876D1" w:rsidRPr="004E7D79" w:rsidRDefault="000876D1"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4E7D79">
        <w:t>UV radiation cause</w:t>
      </w:r>
      <w:r w:rsidR="00B50841">
        <w:t>d</w:t>
      </w:r>
      <w:r w:rsidRPr="004E7D79">
        <w:t xml:space="preserve"> degradation of breakdown of dead plant material in dryland ecosystems, contributing to carbon dioxide emissions. At high latitudes, permafrost soils bec</w:t>
      </w:r>
      <w:r w:rsidR="00B50841">
        <w:t>a</w:t>
      </w:r>
      <w:r w:rsidRPr="004E7D79">
        <w:t>me exposed to solar radiation, which enhance</w:t>
      </w:r>
      <w:r w:rsidR="00B50841">
        <w:t>d</w:t>
      </w:r>
      <w:r w:rsidRPr="004E7D79">
        <w:t xml:space="preserve"> emissions of methane and carbon dioxide. Also at high latitudes, increased run-off from the land increase</w:t>
      </w:r>
      <w:r w:rsidR="00B50841">
        <w:t>d</w:t>
      </w:r>
      <w:r w:rsidRPr="004E7D79">
        <w:t xml:space="preserve"> the amount of coloured organic matter entering aquatic ecosystems. This may protect aquatic organisms from UV radiation damage, but since the radiation also br</w:t>
      </w:r>
      <w:r w:rsidR="00B50841">
        <w:t>oke</w:t>
      </w:r>
      <w:r w:rsidRPr="004E7D79">
        <w:t xml:space="preserve"> down these materials, carbon dioxide emissions</w:t>
      </w:r>
      <w:r w:rsidR="00B50841">
        <w:t xml:space="preserve"> we</w:t>
      </w:r>
      <w:r w:rsidRPr="004E7D79">
        <w:t>re enhanced.</w:t>
      </w:r>
    </w:p>
    <w:p w:rsidR="000876D1" w:rsidRPr="004E7D79" w:rsidRDefault="000876D1"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4E7D79">
        <w:t xml:space="preserve">It was noted that concentrations of trifluoroacetic acid (TFA), a breakdown product of some HFCs, and </w:t>
      </w:r>
      <w:r w:rsidR="00572CDD" w:rsidRPr="004219FE">
        <w:t>heavy fuel oils</w:t>
      </w:r>
      <w:r w:rsidRPr="004E7D79">
        <w:t xml:space="preserve"> continue</w:t>
      </w:r>
      <w:r w:rsidR="00B50841">
        <w:t>d</w:t>
      </w:r>
      <w:r w:rsidRPr="004E7D79">
        <w:t xml:space="preserve"> to be substantially below those that </w:t>
      </w:r>
      <w:r w:rsidR="00B50841">
        <w:t>we</w:t>
      </w:r>
      <w:r w:rsidRPr="004E7D79">
        <w:t>re considered a health or environmental risk. However, a wide range of commercially manufactured chemicals, such as some pharmaceuticals and pesticides, degrade</w:t>
      </w:r>
      <w:r w:rsidR="00B50841">
        <w:t>d</w:t>
      </w:r>
      <w:r w:rsidRPr="004E7D79">
        <w:t xml:space="preserve"> to produce TFA, making continued monitoring of TFA advisable. </w:t>
      </w:r>
    </w:p>
    <w:p w:rsidR="000876D1" w:rsidRPr="004E7D79" w:rsidRDefault="000876D1"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4E7D79">
        <w:t>Research stimulated by the Montreal Protocol ha</w:t>
      </w:r>
      <w:r w:rsidR="00F576B7">
        <w:t>d</w:t>
      </w:r>
      <w:r w:rsidRPr="004E7D79">
        <w:t xml:space="preserve"> greatly advanced understanding of the diverse effects of UV radiation in the environment. An example </w:t>
      </w:r>
      <w:r w:rsidR="00B50841">
        <w:t>was</w:t>
      </w:r>
      <w:r w:rsidRPr="004E7D79">
        <w:t xml:space="preserve"> the degrading effect of UV radiation on plastics. On exposure to solar UV radiation</w:t>
      </w:r>
      <w:r w:rsidR="003939E6">
        <w:t>,</w:t>
      </w:r>
      <w:r w:rsidRPr="004E7D79">
        <w:t xml:space="preserve"> the surface layer of many plastics br</w:t>
      </w:r>
      <w:r w:rsidR="00B50841">
        <w:t>oke</w:t>
      </w:r>
      <w:r w:rsidRPr="004E7D79">
        <w:t xml:space="preserve"> down to release plastic fragments (microplastics) into the environment</w:t>
      </w:r>
      <w:r w:rsidR="003939E6">
        <w:t xml:space="preserve">, which </w:t>
      </w:r>
      <w:r w:rsidRPr="004E7D79">
        <w:t>ha</w:t>
      </w:r>
      <w:r w:rsidR="00F576B7">
        <w:t>d</w:t>
      </w:r>
      <w:r w:rsidRPr="004E7D79">
        <w:t xml:space="preserve"> resulted in contamination of microplastics in fish and seafood and the foodweb in general.</w:t>
      </w:r>
    </w:p>
    <w:p w:rsidR="000876D1" w:rsidRPr="004E7D79" w:rsidRDefault="000876D1"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4E7D79">
        <w:t xml:space="preserve">Co-Chair Nigel Paul wrapped up the </w:t>
      </w:r>
      <w:r w:rsidR="00572CDD" w:rsidRPr="00D13F71">
        <w:t xml:space="preserve">Environmental Effects Assessment Panel </w:t>
      </w:r>
      <w:r w:rsidRPr="004E7D79">
        <w:t>update by presenting the work schedule leading up to the completion of the Quadrennial Report by the end of November 2018.</w:t>
      </w:r>
    </w:p>
    <w:p w:rsidR="007071AF" w:rsidRPr="00DB6883" w:rsidRDefault="00D13F71" w:rsidP="00D13F71">
      <w:pPr>
        <w:pStyle w:val="CH3"/>
      </w:pPr>
      <w:r>
        <w:tab/>
      </w:r>
      <w:r w:rsidR="000876D1" w:rsidRPr="00E861A7">
        <w:t>3.</w:t>
      </w:r>
      <w:r w:rsidR="000876D1" w:rsidRPr="00E861A7">
        <w:tab/>
      </w:r>
      <w:r w:rsidR="008222A6" w:rsidRPr="00DB6883">
        <w:t>Technology and Economic Assessment Panel</w:t>
      </w:r>
    </w:p>
    <w:p w:rsidR="007071AF" w:rsidRPr="00DB6883" w:rsidRDefault="007071AF"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DF6D5C">
        <w:t xml:space="preserve">At the </w:t>
      </w:r>
      <w:r w:rsidR="003939E6">
        <w:t>h</w:t>
      </w:r>
      <w:r w:rsidR="003939E6" w:rsidRPr="00DF6D5C">
        <w:t>igh</w:t>
      </w:r>
      <w:r w:rsidRPr="00DF6D5C">
        <w:t xml:space="preserve">-level </w:t>
      </w:r>
      <w:r w:rsidR="003939E6">
        <w:t>s</w:t>
      </w:r>
      <w:r w:rsidR="003939E6" w:rsidRPr="00DF6D5C">
        <w:t xml:space="preserve">egment </w:t>
      </w:r>
      <w:r w:rsidRPr="00DF6D5C">
        <w:t xml:space="preserve">of the </w:t>
      </w:r>
      <w:r w:rsidR="003939E6">
        <w:t xml:space="preserve">Twenty-Ninth </w:t>
      </w:r>
      <w:r w:rsidRPr="00DF6D5C">
        <w:t xml:space="preserve">Meeting of the Parties, </w:t>
      </w:r>
      <w:r w:rsidR="008F5C73">
        <w:t>C</w:t>
      </w:r>
      <w:r w:rsidRPr="00DF6D5C">
        <w:t>o-</w:t>
      </w:r>
      <w:r w:rsidR="008F5C73">
        <w:t>C</w:t>
      </w:r>
      <w:r w:rsidRPr="00DF6D5C">
        <w:t>hairs Marta Pizano and Bella Maranion made a presentation on behalf of th</w:t>
      </w:r>
      <w:r w:rsidRPr="00E861A7">
        <w:t xml:space="preserve">e Technology and Economic Assessment Panel. Ms. Pizano noted </w:t>
      </w:r>
      <w:r w:rsidR="003939E6">
        <w:t xml:space="preserve">that </w:t>
      </w:r>
      <w:r w:rsidRPr="00E861A7">
        <w:t xml:space="preserve">the role of </w:t>
      </w:r>
      <w:r w:rsidR="003939E6">
        <w:t xml:space="preserve">the </w:t>
      </w:r>
      <w:r w:rsidR="0021455A">
        <w:t>Panel</w:t>
      </w:r>
      <w:r w:rsidRPr="00E861A7">
        <w:t xml:space="preserve"> as defined in Article 6 of the Montreal Protocol </w:t>
      </w:r>
      <w:r w:rsidR="00B50841">
        <w:t>was</w:t>
      </w:r>
      <w:r w:rsidRPr="00E861A7">
        <w:t xml:space="preserve"> to assess every four years the control measures on the basis of available scientific, environmental, technical and econ</w:t>
      </w:r>
      <w:r w:rsidRPr="00DB6883">
        <w:t xml:space="preserve">omic information. Under the </w:t>
      </w:r>
      <w:r w:rsidR="003939E6">
        <w:t>t</w:t>
      </w:r>
      <w:r w:rsidR="003939E6" w:rsidRPr="00DB6883">
        <w:t xml:space="preserve">erms of </w:t>
      </w:r>
      <w:r w:rsidR="003939E6">
        <w:t>r</w:t>
      </w:r>
      <w:r w:rsidR="003939E6" w:rsidRPr="00DB6883">
        <w:t xml:space="preserve">eference </w:t>
      </w:r>
      <w:r w:rsidR="003939E6">
        <w:t>of the</w:t>
      </w:r>
      <w:r w:rsidR="0021455A">
        <w:t xml:space="preserve"> </w:t>
      </w:r>
      <w:r w:rsidR="00DC1AF9">
        <w:t xml:space="preserve">Technology and Economic </w:t>
      </w:r>
      <w:r w:rsidR="0021455A">
        <w:t>Assessment Panel</w:t>
      </w:r>
      <w:r w:rsidRPr="00DB6883">
        <w:t xml:space="preserve"> regarding its scope of work, the Panel analy</w:t>
      </w:r>
      <w:r w:rsidR="00B50841">
        <w:t>s</w:t>
      </w:r>
      <w:r w:rsidRPr="00DB6883">
        <w:t>e</w:t>
      </w:r>
      <w:r w:rsidR="00B50841">
        <w:t>d</w:t>
      </w:r>
      <w:r w:rsidRPr="00DB6883">
        <w:t xml:space="preserve"> and present</w:t>
      </w:r>
      <w:r w:rsidR="00B50841">
        <w:t>ed</w:t>
      </w:r>
      <w:r w:rsidRPr="00DB6883">
        <w:t xml:space="preserve"> </w:t>
      </w:r>
      <w:r w:rsidRPr="00DB6883">
        <w:lastRenderedPageBreak/>
        <w:t xml:space="preserve">technical information and recommendations when specifically requested; </w:t>
      </w:r>
      <w:r w:rsidR="003939E6">
        <w:t>it</w:t>
      </w:r>
      <w:r w:rsidRPr="00DB6883">
        <w:t xml:space="preserve"> d</w:t>
      </w:r>
      <w:r w:rsidR="00B50841">
        <w:t>id</w:t>
      </w:r>
      <w:r w:rsidRPr="00DB6883">
        <w:t xml:space="preserve"> not evaluate policy issues and d</w:t>
      </w:r>
      <w:r w:rsidR="00B50841">
        <w:t>id</w:t>
      </w:r>
      <w:r w:rsidRPr="00DB6883">
        <w:t xml:space="preserve"> not recommend policy; </w:t>
      </w:r>
      <w:r w:rsidR="003939E6">
        <w:t xml:space="preserve">it </w:t>
      </w:r>
      <w:r w:rsidRPr="00DB6883">
        <w:t>present</w:t>
      </w:r>
      <w:r w:rsidR="00B50841">
        <w:t>ed</w:t>
      </w:r>
      <w:r w:rsidRPr="00DB6883">
        <w:t xml:space="preserve"> technical and economic information relevant to policy; </w:t>
      </w:r>
      <w:r w:rsidR="003939E6">
        <w:t xml:space="preserve">it </w:t>
      </w:r>
      <w:r w:rsidRPr="00DB6883">
        <w:t>d</w:t>
      </w:r>
      <w:r w:rsidR="00B50841">
        <w:t>id</w:t>
      </w:r>
      <w:r w:rsidRPr="00DB6883">
        <w:t xml:space="preserve"> not judge the merit or success of national plans, strategies or regulations; and </w:t>
      </w:r>
      <w:r w:rsidR="003939E6">
        <w:t xml:space="preserve">its </w:t>
      </w:r>
      <w:r w:rsidRPr="00DB6883">
        <w:t>members function</w:t>
      </w:r>
      <w:r w:rsidR="00B50841">
        <w:t>ed</w:t>
      </w:r>
      <w:r w:rsidRPr="00DB6883">
        <w:t xml:space="preserve"> on a personal basis as experts and d</w:t>
      </w:r>
      <w:r w:rsidR="00B50841">
        <w:t>id</w:t>
      </w:r>
      <w:r w:rsidRPr="00DB6883">
        <w:t xml:space="preserve"> not accept any instruction from </w:t>
      </w:r>
      <w:r w:rsidR="003939E6">
        <w:t>G</w:t>
      </w:r>
      <w:r w:rsidRPr="00DB6883">
        <w:t xml:space="preserve">overnments or other organizations. Over the past 30 years, </w:t>
      </w:r>
      <w:r w:rsidR="003939E6">
        <w:t xml:space="preserve">the </w:t>
      </w:r>
      <w:r w:rsidR="0021455A">
        <w:t>Panel</w:t>
      </w:r>
      <w:r w:rsidRPr="00DB6883">
        <w:t xml:space="preserve"> ha</w:t>
      </w:r>
      <w:r w:rsidR="00F576B7">
        <w:t>d</w:t>
      </w:r>
      <w:r w:rsidRPr="00DB6883">
        <w:t xml:space="preserve"> produced over 300 </w:t>
      </w:r>
      <w:proofErr w:type="gramStart"/>
      <w:r w:rsidRPr="00DB6883">
        <w:t>progress</w:t>
      </w:r>
      <w:proofErr w:type="gramEnd"/>
      <w:r w:rsidRPr="00DB6883">
        <w:t xml:space="preserve">, assessment, task force and other reports. </w:t>
      </w:r>
      <w:r w:rsidR="003939E6">
        <w:t>The</w:t>
      </w:r>
      <w:r w:rsidR="0021455A">
        <w:t xml:space="preserve"> Panel</w:t>
      </w:r>
      <w:r w:rsidRPr="00DB6883">
        <w:t xml:space="preserve"> and its </w:t>
      </w:r>
      <w:r w:rsidR="00B50841" w:rsidRPr="00DB6883">
        <w:t>t</w:t>
      </w:r>
      <w:r w:rsidR="00B50841">
        <w:t xml:space="preserve">echnical </w:t>
      </w:r>
      <w:r w:rsidR="00B50841" w:rsidRPr="00DB6883">
        <w:t>o</w:t>
      </w:r>
      <w:r w:rsidR="00B50841">
        <w:t xml:space="preserve">ptions </w:t>
      </w:r>
      <w:r w:rsidR="00B50841" w:rsidRPr="00DB6883">
        <w:t>c</w:t>
      </w:r>
      <w:r w:rsidR="00B50841">
        <w:t>ommittee</w:t>
      </w:r>
      <w:r w:rsidR="00B50841" w:rsidRPr="00DB6883">
        <w:t xml:space="preserve">s </w:t>
      </w:r>
      <w:r w:rsidRPr="00DB6883">
        <w:t>currently br</w:t>
      </w:r>
      <w:r w:rsidR="00B50841">
        <w:t>ought</w:t>
      </w:r>
      <w:r w:rsidRPr="00DB6883">
        <w:t xml:space="preserve"> together nearly 150 experts from over 30 countries. Since its creation in 1989, more than 900 experts from about 65</w:t>
      </w:r>
      <w:r w:rsidR="004E7D79">
        <w:t> </w:t>
      </w:r>
      <w:r w:rsidRPr="00DB6883">
        <w:t>countries ha</w:t>
      </w:r>
      <w:r w:rsidR="00B50841">
        <w:t>d</w:t>
      </w:r>
      <w:r w:rsidRPr="00DB6883">
        <w:t xml:space="preserve"> participated in the assessment process.</w:t>
      </w:r>
    </w:p>
    <w:p w:rsidR="007071AF" w:rsidRPr="00DB6883" w:rsidRDefault="007071AF"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DB6883">
        <w:t>Ms. Pizano moved to the next part of the presentation on sector achievements and issues of interest to parties, starting with the foams sector</w:t>
      </w:r>
      <w:r w:rsidR="003939E6">
        <w:t>, which produce</w:t>
      </w:r>
      <w:r w:rsidR="00B50841">
        <w:t>d</w:t>
      </w:r>
      <w:r w:rsidR="003939E6">
        <w:t xml:space="preserve"> </w:t>
      </w:r>
      <w:r w:rsidRPr="00DB6883">
        <w:t>approximately 30 million tonnes of foams per year, critical for insulation. Over one-third of HCFC blowing agents ha</w:t>
      </w:r>
      <w:r w:rsidR="00B50841">
        <w:t>d</w:t>
      </w:r>
      <w:r w:rsidRPr="00DB6883">
        <w:t xml:space="preserve"> converted to alternatives. Hydrocarbons ha</w:t>
      </w:r>
      <w:r w:rsidR="00B50841">
        <w:t>d</w:t>
      </w:r>
      <w:r w:rsidRPr="00DB6883">
        <w:t xml:space="preserve"> been widely implemented globally with substantial co-benefits in terms of climate change. Foams made with zero</w:t>
      </w:r>
      <w:r w:rsidR="003939E6">
        <w:t>-</w:t>
      </w:r>
      <w:r w:rsidRPr="00DB6883">
        <w:t>ODP alternatives ha</w:t>
      </w:r>
      <w:r w:rsidR="00B50841">
        <w:t>d</w:t>
      </w:r>
      <w:r w:rsidRPr="00DB6883">
        <w:t xml:space="preserve"> improved insulation performance by 5</w:t>
      </w:r>
      <w:r w:rsidR="003939E6">
        <w:t xml:space="preserve"> to </w:t>
      </w:r>
      <w:r w:rsidRPr="00DB6883">
        <w:t>10</w:t>
      </w:r>
      <w:r w:rsidR="00AD2CC8">
        <w:t xml:space="preserve"> per cent</w:t>
      </w:r>
      <w:r w:rsidRPr="00DB6883">
        <w:t>; additional gains in insulation performance of 5</w:t>
      </w:r>
      <w:r w:rsidR="003939E6">
        <w:t xml:space="preserve"> to </w:t>
      </w:r>
      <w:r w:rsidRPr="00DB6883">
        <w:t>10</w:t>
      </w:r>
      <w:r w:rsidR="00AD2CC8">
        <w:t xml:space="preserve"> per cent</w:t>
      </w:r>
      <w:r w:rsidRPr="00DB6883">
        <w:t xml:space="preserve"> </w:t>
      </w:r>
      <w:r w:rsidR="00B50841">
        <w:t>we</w:t>
      </w:r>
      <w:r w:rsidRPr="00DB6883">
        <w:t xml:space="preserve">re expected with </w:t>
      </w:r>
      <w:r w:rsidR="003939E6">
        <w:t>heavy fuel oil</w:t>
      </w:r>
      <w:r w:rsidR="003939E6" w:rsidRPr="00DB6883">
        <w:t>s</w:t>
      </w:r>
      <w:r w:rsidRPr="00DB6883">
        <w:t xml:space="preserve">/blends. HFO blends with water, hydrocarbons and oxygenated hydrocarbons (e.g., methyl formate and methylal) </w:t>
      </w:r>
      <w:r w:rsidR="00B50841">
        <w:t>we</w:t>
      </w:r>
      <w:r w:rsidRPr="00DB6883">
        <w:t>re increasing</w:t>
      </w:r>
      <w:r w:rsidR="006B4F9C">
        <w:t>ly</w:t>
      </w:r>
      <w:r w:rsidRPr="00DB6883">
        <w:t xml:space="preserve"> available.</w:t>
      </w:r>
    </w:p>
    <w:p w:rsidR="007071AF" w:rsidRPr="00DB6883" w:rsidRDefault="007071AF"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DB6883">
        <w:t xml:space="preserve">She noted the success of the halon sector. </w:t>
      </w:r>
      <w:r w:rsidR="006B4F9C">
        <w:t>Thirty</w:t>
      </w:r>
      <w:r w:rsidR="006B4F9C" w:rsidRPr="00DB6883">
        <w:t xml:space="preserve"> </w:t>
      </w:r>
      <w:r w:rsidRPr="00DB6883">
        <w:t xml:space="preserve">years ago, annual worldwide halon production was </w:t>
      </w:r>
      <w:r w:rsidRPr="000A4B70">
        <w:t>approximately 40,000 t (approximately 225,000 ODP t) and growing. Since 2010, worldwide production ha</w:t>
      </w:r>
      <w:r w:rsidR="00F576B7" w:rsidRPr="000A4B70">
        <w:t>d</w:t>
      </w:r>
      <w:r w:rsidRPr="000A4B70">
        <w:t xml:space="preserve"> ceased, and this ha</w:t>
      </w:r>
      <w:r w:rsidR="00F576B7" w:rsidRPr="000A4B70">
        <w:t>d</w:t>
      </w:r>
      <w:r w:rsidRPr="000A4B70">
        <w:t xml:space="preserve"> avoided in excess of 1,000,000 t halon </w:t>
      </w:r>
      <w:proofErr w:type="gramStart"/>
      <w:r w:rsidRPr="000A4B70">
        <w:t>production</w:t>
      </w:r>
      <w:proofErr w:type="gramEnd"/>
      <w:r w:rsidRPr="000A4B70">
        <w:t xml:space="preserve"> or 6,700,000 ODP t or 3,500,000,000 t CO</w:t>
      </w:r>
      <w:r w:rsidRPr="000A4B70">
        <w:rPr>
          <w:vertAlign w:val="subscript"/>
        </w:rPr>
        <w:t>2</w:t>
      </w:r>
      <w:r w:rsidRPr="000A4B70">
        <w:t xml:space="preserve">-eq. Halons alternatives </w:t>
      </w:r>
      <w:r w:rsidR="00B50841" w:rsidRPr="000A4B70">
        <w:t>we</w:t>
      </w:r>
      <w:r w:rsidRPr="000A4B70">
        <w:t xml:space="preserve">re available for all new fire protection designs, except for aircraft cargo bays. The International Civil Aviation </w:t>
      </w:r>
      <w:r w:rsidR="006B4F9C" w:rsidRPr="000A4B70">
        <w:t xml:space="preserve">Organization </w:t>
      </w:r>
      <w:r w:rsidRPr="000A4B70">
        <w:t>(ICAO) ha</w:t>
      </w:r>
      <w:r w:rsidR="00F576B7" w:rsidRPr="000A4B70">
        <w:t>d</w:t>
      </w:r>
      <w:r w:rsidRPr="000A4B70">
        <w:t xml:space="preserve"> recently</w:t>
      </w:r>
      <w:r w:rsidRPr="00DB6883">
        <w:t xml:space="preserve"> mandated 2024 as the date by which new designs c</w:t>
      </w:r>
      <w:r w:rsidR="00B50841">
        <w:t>ould</w:t>
      </w:r>
      <w:r w:rsidRPr="00DB6883">
        <w:t xml:space="preserve"> no longer use halons. All civil aviation applications now ha</w:t>
      </w:r>
      <w:r w:rsidR="00B50841">
        <w:t>d</w:t>
      </w:r>
      <w:r w:rsidRPr="00DB6883">
        <w:t xml:space="preserve"> dates for which new designs c</w:t>
      </w:r>
      <w:r w:rsidR="00B50841">
        <w:t>ould</w:t>
      </w:r>
      <w:r w:rsidRPr="00DB6883">
        <w:t xml:space="preserve"> no longer use halons. These achievements </w:t>
      </w:r>
      <w:r w:rsidR="00B50841">
        <w:t>had been</w:t>
      </w:r>
      <w:r w:rsidR="00B50841" w:rsidRPr="00DB6883">
        <w:t xml:space="preserve"> </w:t>
      </w:r>
      <w:r w:rsidRPr="00DB6883">
        <w:t>made possible only through more than a decade of personal engagement between the Montreal Protocol and ICAO. She noted with appreciation and hono</w:t>
      </w:r>
      <w:r w:rsidR="006B4F9C">
        <w:t>u</w:t>
      </w:r>
      <w:r w:rsidRPr="00DB6883">
        <w:t xml:space="preserve">r the attendance of </w:t>
      </w:r>
      <w:r w:rsidR="006B4F9C">
        <w:t xml:space="preserve">the </w:t>
      </w:r>
      <w:r w:rsidRPr="00DB6883">
        <w:t xml:space="preserve">Acting </w:t>
      </w:r>
      <w:r w:rsidR="006B4F9C" w:rsidRPr="00DB6883">
        <w:t>Secretary</w:t>
      </w:r>
      <w:r w:rsidR="006B4F9C">
        <w:t>-</w:t>
      </w:r>
      <w:r w:rsidRPr="00DB6883">
        <w:t xml:space="preserve">General </w:t>
      </w:r>
      <w:r w:rsidR="006B4F9C">
        <w:t xml:space="preserve">of </w:t>
      </w:r>
      <w:r w:rsidR="006B4F9C" w:rsidRPr="00DB6883">
        <w:t>ICAO</w:t>
      </w:r>
      <w:r w:rsidR="00B50841">
        <w:t>,</w:t>
      </w:r>
      <w:r w:rsidR="006B4F9C" w:rsidRPr="00DB6883">
        <w:t xml:space="preserve"> </w:t>
      </w:r>
      <w:r w:rsidRPr="00DB6883">
        <w:t>Ivan Galan</w:t>
      </w:r>
      <w:r w:rsidR="00B50841">
        <w:t>,</w:t>
      </w:r>
      <w:r w:rsidRPr="00DB6883">
        <w:t xml:space="preserve"> at the Montreal Protocol 30th Anniversary Awards Ceremony and </w:t>
      </w:r>
      <w:r w:rsidR="00B50841">
        <w:t xml:space="preserve">his </w:t>
      </w:r>
      <w:r w:rsidRPr="00DB6883">
        <w:t xml:space="preserve">acceptance </w:t>
      </w:r>
      <w:r w:rsidR="006B4F9C">
        <w:t>on behalf of</w:t>
      </w:r>
      <w:r w:rsidR="006B4F9C" w:rsidRPr="00DB6883">
        <w:t xml:space="preserve"> ICAO </w:t>
      </w:r>
      <w:r w:rsidRPr="00DB6883">
        <w:t xml:space="preserve">of the </w:t>
      </w:r>
      <w:r w:rsidR="006B4F9C">
        <w:t>P</w:t>
      </w:r>
      <w:r w:rsidR="006B4F9C" w:rsidRPr="00DB6883">
        <w:t xml:space="preserve">olicy </w:t>
      </w:r>
      <w:r w:rsidRPr="00DB6883">
        <w:t xml:space="preserve">and </w:t>
      </w:r>
      <w:r w:rsidR="006B4F9C">
        <w:t>I</w:t>
      </w:r>
      <w:r w:rsidR="006B4F9C" w:rsidRPr="00DB6883">
        <w:t xml:space="preserve">mplementation </w:t>
      </w:r>
      <w:r w:rsidR="006B4F9C">
        <w:t>L</w:t>
      </w:r>
      <w:r w:rsidR="006B4F9C" w:rsidRPr="00DB6883">
        <w:t>eadership</w:t>
      </w:r>
      <w:r w:rsidR="006B4F9C">
        <w:t xml:space="preserve"> Award</w:t>
      </w:r>
      <w:r w:rsidRPr="00DB6883">
        <w:t>.</w:t>
      </w:r>
    </w:p>
    <w:p w:rsidR="007071AF" w:rsidRPr="00DB6883" w:rsidRDefault="007071AF"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DB6883">
        <w:t>Ms. Pizano stated that as the halon sector transition move</w:t>
      </w:r>
      <w:r w:rsidR="00B50841">
        <w:t>d</w:t>
      </w:r>
      <w:r w:rsidRPr="00DB6883">
        <w:t xml:space="preserve"> forward, many designs continue</w:t>
      </w:r>
      <w:r w:rsidR="00B50841">
        <w:t>d</w:t>
      </w:r>
      <w:r w:rsidRPr="00DB6883">
        <w:t xml:space="preserve"> to need </w:t>
      </w:r>
      <w:r w:rsidR="006B4F9C" w:rsidRPr="00DB6883">
        <w:t>high</w:t>
      </w:r>
      <w:r w:rsidR="006B4F9C">
        <w:t>-</w:t>
      </w:r>
      <w:r w:rsidRPr="00DB6883">
        <w:t>GWP HFCs and some limited applications still require</w:t>
      </w:r>
      <w:r w:rsidR="00B50841">
        <w:t>d</w:t>
      </w:r>
      <w:r w:rsidRPr="00DB6883">
        <w:t xml:space="preserve"> HCFCs. New </w:t>
      </w:r>
      <w:r w:rsidR="006B4F9C" w:rsidRPr="00DB6883">
        <w:t>low</w:t>
      </w:r>
      <w:r w:rsidR="006B4F9C">
        <w:t>-</w:t>
      </w:r>
      <w:r w:rsidRPr="00DB6883">
        <w:t xml:space="preserve">GWP fire suppressants </w:t>
      </w:r>
      <w:r w:rsidR="00B50841">
        <w:t>we</w:t>
      </w:r>
      <w:r w:rsidRPr="00DB6883">
        <w:t xml:space="preserve">re only in the very early stages of development, and the outlook </w:t>
      </w:r>
      <w:r w:rsidR="00B50841">
        <w:t>wa</w:t>
      </w:r>
      <w:r w:rsidRPr="00DB6883">
        <w:t>s unclear. Halons w</w:t>
      </w:r>
      <w:r w:rsidR="00B50841">
        <w:t>ould</w:t>
      </w:r>
      <w:r w:rsidRPr="00DB6883">
        <w:t xml:space="preserve"> continue to be needed for the life of existing equipment and current aviation designs (excluding those with E</w:t>
      </w:r>
      <w:r w:rsidR="006B4F9C">
        <w:t xml:space="preserve">uropean </w:t>
      </w:r>
      <w:r w:rsidRPr="00DB6883">
        <w:t>U</w:t>
      </w:r>
      <w:r w:rsidR="006B4F9C">
        <w:t>nion</w:t>
      </w:r>
      <w:r w:rsidRPr="00DB6883">
        <w:t xml:space="preserve"> retrofit requirements). While banked halons continue</w:t>
      </w:r>
      <w:r w:rsidR="00B50841">
        <w:t>d</w:t>
      </w:r>
      <w:r w:rsidRPr="00DB6883">
        <w:t xml:space="preserve"> to supply needs for all current halon requirements, there </w:t>
      </w:r>
      <w:r w:rsidR="00B50841">
        <w:t>was</w:t>
      </w:r>
      <w:r w:rsidRPr="00DB6883">
        <w:t xml:space="preserve"> still concern that there w</w:t>
      </w:r>
      <w:r w:rsidR="00B50841">
        <w:t>ould</w:t>
      </w:r>
      <w:r w:rsidRPr="00DB6883">
        <w:t xml:space="preserve"> not be adequate long-term halon supplies. She noted that continued coordination with ICAO w</w:t>
      </w:r>
      <w:r w:rsidR="00B50841">
        <w:t>ould</w:t>
      </w:r>
      <w:r w:rsidRPr="00DB6883">
        <w:t xml:space="preserve"> be critical to the further success of </w:t>
      </w:r>
      <w:r w:rsidR="006B4F9C" w:rsidRPr="00DB6883">
        <w:t>th</w:t>
      </w:r>
      <w:r w:rsidR="006B4F9C">
        <w:t>e</w:t>
      </w:r>
      <w:r w:rsidR="006B4F9C" w:rsidRPr="00DB6883">
        <w:t xml:space="preserve"> </w:t>
      </w:r>
      <w:r w:rsidRPr="00DB6883">
        <w:t>sector.</w:t>
      </w:r>
    </w:p>
    <w:p w:rsidR="007071AF" w:rsidRPr="00DB6883" w:rsidRDefault="007071AF"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DB6883">
        <w:t xml:space="preserve">Ms. Maranion then continued the presentation with regard to the medical and aerosols sector, noting that the global transition away from CFC </w:t>
      </w:r>
      <w:r w:rsidR="006B4F9C">
        <w:t xml:space="preserve">metered-dose inhalers </w:t>
      </w:r>
      <w:r w:rsidR="00B50841">
        <w:t>was</w:t>
      </w:r>
      <w:r w:rsidRPr="00DB6883">
        <w:t xml:space="preserve"> almost complete, after 30</w:t>
      </w:r>
      <w:r w:rsidR="00B85E32">
        <w:t> </w:t>
      </w:r>
      <w:r w:rsidRPr="00DB6883">
        <w:t>years of global action, with more than 98</w:t>
      </w:r>
      <w:r w:rsidR="00AD2CC8">
        <w:t xml:space="preserve"> per cent</w:t>
      </w:r>
      <w:r w:rsidRPr="00DB6883">
        <w:t xml:space="preserve"> reduction in global CFC use. CFC-11 and </w:t>
      </w:r>
      <w:r w:rsidR="00B85E32">
        <w:br/>
      </w:r>
      <w:r w:rsidR="008E222D">
        <w:t>CFC</w:t>
      </w:r>
      <w:r w:rsidRPr="00DB6883">
        <w:t>-12 production ha</w:t>
      </w:r>
      <w:r w:rsidR="008E222D">
        <w:t>d</w:t>
      </w:r>
      <w:r w:rsidRPr="00DB6883">
        <w:t xml:space="preserve"> ceased. CFC </w:t>
      </w:r>
      <w:r w:rsidR="006B4F9C">
        <w:t xml:space="preserve">metered-dose inhalers </w:t>
      </w:r>
      <w:r w:rsidR="008E222D">
        <w:t>were</w:t>
      </w:r>
      <w:r w:rsidRPr="00DB6883">
        <w:t xml:space="preserve"> only being manufactured in China and </w:t>
      </w:r>
      <w:r w:rsidR="00B50841">
        <w:t xml:space="preserve">the </w:t>
      </w:r>
      <w:r w:rsidRPr="00DB6883">
        <w:t>Russia</w:t>
      </w:r>
      <w:r w:rsidR="00B50841">
        <w:t>n Federation</w:t>
      </w:r>
      <w:r w:rsidRPr="00DB6883">
        <w:t xml:space="preserve"> from CFC stockpiles while the transition to alternatives continue</w:t>
      </w:r>
      <w:r w:rsidR="00B50841">
        <w:t>d</w:t>
      </w:r>
      <w:r w:rsidRPr="00DB6883">
        <w:t xml:space="preserve">. Affordable CFC-free alternatives to </w:t>
      </w:r>
      <w:r w:rsidR="006B4F9C">
        <w:t xml:space="preserve">metered-dose inhalers </w:t>
      </w:r>
      <w:r w:rsidR="008E222D">
        <w:t>were</w:t>
      </w:r>
      <w:r w:rsidRPr="00DB6883">
        <w:t xml:space="preserve"> available worldwide. The global use of HCFCs in aerosols and sterilants </w:t>
      </w:r>
      <w:r w:rsidR="008E222D">
        <w:t>was</w:t>
      </w:r>
      <w:r w:rsidRPr="00DB6883">
        <w:t xml:space="preserve"> relatively very small (a few thousand tonnes), with alternatives available.</w:t>
      </w:r>
    </w:p>
    <w:p w:rsidR="007071AF" w:rsidRPr="00DB6883" w:rsidRDefault="007071AF"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DB6883">
        <w:t xml:space="preserve">With regard to chemical uses, she noted that the global phase-out of CFCs used as solvents in aerospace applications </w:t>
      </w:r>
      <w:r w:rsidR="008E222D">
        <w:t>was</w:t>
      </w:r>
      <w:r w:rsidRPr="00DB6883">
        <w:t xml:space="preserve"> almost complete. CFC-113 production for this use ha</w:t>
      </w:r>
      <w:r w:rsidR="00FF5938">
        <w:t>d</w:t>
      </w:r>
      <w:r w:rsidRPr="00DB6883">
        <w:t xml:space="preserve"> ceased; the Russian Federation continue</w:t>
      </w:r>
      <w:r w:rsidR="00B50841">
        <w:t>d</w:t>
      </w:r>
      <w:r w:rsidRPr="00DB6883">
        <w:t xml:space="preserve"> to use CFC-113 from a small remaining stockpile, </w:t>
      </w:r>
      <w:r w:rsidR="00B50841">
        <w:t>and</w:t>
      </w:r>
      <w:r w:rsidR="00B50841" w:rsidRPr="00DB6883">
        <w:t xml:space="preserve"> </w:t>
      </w:r>
      <w:r w:rsidRPr="00DB6883">
        <w:t xml:space="preserve">recovery and recycling. </w:t>
      </w:r>
      <w:proofErr w:type="gramStart"/>
      <w:r w:rsidRPr="00DB6883">
        <w:t>ODS</w:t>
      </w:r>
      <w:proofErr w:type="gramEnd"/>
      <w:r w:rsidRPr="00DB6883">
        <w:t xml:space="preserve"> quantities used for process agents ha</w:t>
      </w:r>
      <w:r w:rsidR="00FF5938">
        <w:t>d</w:t>
      </w:r>
      <w:r w:rsidRPr="00DB6883">
        <w:t xml:space="preserve"> decreased, with some applications phased out entirely, such as production of chlorinated polypropene, chlorinated ethylene vinyl acetate and methyl isocyanate derivatives. Laboratory and analytical uses of ODS continue</w:t>
      </w:r>
      <w:r w:rsidR="00B50841">
        <w:t>d</w:t>
      </w:r>
      <w:r w:rsidRPr="00DB6883">
        <w:t xml:space="preserve"> under the global exemption, and with one essential</w:t>
      </w:r>
      <w:r w:rsidR="00B50841">
        <w:t>-</w:t>
      </w:r>
      <w:r w:rsidRPr="00DB6883">
        <w:t xml:space="preserve">use exemption. There </w:t>
      </w:r>
      <w:r w:rsidR="00B50841">
        <w:t>was</w:t>
      </w:r>
      <w:r w:rsidRPr="00DB6883">
        <w:t xml:space="preserve"> an overall upward trend in global ODS production for feedstock uses for the last decade. </w:t>
      </w:r>
      <w:r w:rsidR="006B4F9C">
        <w:t xml:space="preserve">The </w:t>
      </w:r>
      <w:r w:rsidR="0021455A">
        <w:t>Technology and Economic Assessment Panel</w:t>
      </w:r>
      <w:r w:rsidRPr="00DB6883">
        <w:t xml:space="preserve"> </w:t>
      </w:r>
      <w:r w:rsidR="00B50841">
        <w:t>was</w:t>
      </w:r>
      <w:r w:rsidRPr="00DB6883">
        <w:t xml:space="preserve"> collaborating with </w:t>
      </w:r>
      <w:r w:rsidR="006B4F9C">
        <w:t xml:space="preserve">the </w:t>
      </w:r>
      <w:r w:rsidR="003E1C3A">
        <w:t>Scientific Assessment Panel</w:t>
      </w:r>
      <w:r w:rsidRPr="00DB6883">
        <w:t xml:space="preserve"> and other experts to share information on global </w:t>
      </w:r>
      <w:r w:rsidR="001E3210" w:rsidRPr="001E3210">
        <w:t xml:space="preserve">carbon tetrachloride </w:t>
      </w:r>
      <w:r w:rsidRPr="001E3210">
        <w:t>emissions</w:t>
      </w:r>
      <w:r w:rsidRPr="00DB6883">
        <w:t xml:space="preserve"> estimations, and </w:t>
      </w:r>
      <w:r w:rsidR="001E3210">
        <w:t xml:space="preserve">the </w:t>
      </w:r>
      <w:r w:rsidR="0021455A">
        <w:t>Technology and Economic Assessment Panel</w:t>
      </w:r>
      <w:r w:rsidRPr="00DB6883">
        <w:t xml:space="preserve"> w</w:t>
      </w:r>
      <w:r w:rsidR="00B50841">
        <w:t>ould</w:t>
      </w:r>
      <w:r w:rsidRPr="00DB6883">
        <w:t xml:space="preserve"> report on dichloromethane and dichloroethane in its 2018 </w:t>
      </w:r>
      <w:r w:rsidR="001E3210">
        <w:t>a</w:t>
      </w:r>
      <w:r w:rsidR="001E3210" w:rsidRPr="00DB6883">
        <w:t xml:space="preserve">ssessment </w:t>
      </w:r>
      <w:r w:rsidRPr="00DB6883">
        <w:t>report.</w:t>
      </w:r>
    </w:p>
    <w:p w:rsidR="007071AF" w:rsidRPr="00DB6883" w:rsidRDefault="007071AF"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DB6883">
        <w:t>Ms. Maranion then noted the successes and continuing challenges in the methyl bromide sector. Article 7 data reporting indicate</w:t>
      </w:r>
      <w:r w:rsidR="00A0587C">
        <w:t>d</w:t>
      </w:r>
      <w:r w:rsidRPr="00DB6883">
        <w:t xml:space="preserve"> that 99</w:t>
      </w:r>
      <w:r w:rsidR="00AD2CC8">
        <w:t xml:space="preserve"> per cent</w:t>
      </w:r>
      <w:r w:rsidRPr="00DB6883">
        <w:t xml:space="preserve"> (approximately 65,000 t) of </w:t>
      </w:r>
      <w:r w:rsidR="00030AF7">
        <w:t>methyl bromide</w:t>
      </w:r>
      <w:r w:rsidRPr="00DB6883">
        <w:t xml:space="preserve"> ha</w:t>
      </w:r>
      <w:r w:rsidR="00FF5938">
        <w:t>d</w:t>
      </w:r>
      <w:r w:rsidRPr="00DB6883">
        <w:t xml:space="preserve"> been phased out globally. This ha</w:t>
      </w:r>
      <w:r w:rsidR="00FF5938">
        <w:t>d</w:t>
      </w:r>
      <w:r w:rsidRPr="00DB6883">
        <w:t xml:space="preserve"> broadly contributed to an increased adoption of sustainable production practices in agriculture. </w:t>
      </w:r>
      <w:r w:rsidR="001E3210">
        <w:t xml:space="preserve">A total of </w:t>
      </w:r>
      <w:r w:rsidRPr="00DB6883">
        <w:t>28 countries ha</w:t>
      </w:r>
      <w:r w:rsidR="003A53F6">
        <w:t>d</w:t>
      </w:r>
      <w:r w:rsidRPr="00DB6883">
        <w:t xml:space="preserve"> phased out </w:t>
      </w:r>
      <w:r w:rsidR="00030AF7">
        <w:t>methyl bromide</w:t>
      </w:r>
      <w:r w:rsidRPr="00DB6883">
        <w:t xml:space="preserve"> for all uses including </w:t>
      </w:r>
      <w:r w:rsidR="001E3210">
        <w:t>quarantine and pre-shipment (</w:t>
      </w:r>
      <w:r w:rsidRPr="00DB6883">
        <w:t>QPS</w:t>
      </w:r>
      <w:r w:rsidR="001E3210">
        <w:t>)</w:t>
      </w:r>
      <w:r w:rsidRPr="00DB6883">
        <w:t xml:space="preserve">. Approximately 18,000 t of </w:t>
      </w:r>
      <w:r w:rsidR="00030AF7">
        <w:t>methyl bromid</w:t>
      </w:r>
      <w:r w:rsidR="003A53F6">
        <w:t>e wa</w:t>
      </w:r>
      <w:r w:rsidRPr="00DB6883">
        <w:t xml:space="preserve">s </w:t>
      </w:r>
      <w:r w:rsidRPr="00DB6883">
        <w:lastRenderedPageBreak/>
        <w:t xml:space="preserve">produced and used for other uses (QPS, feedstock, critical uses, unreported use). QPS uses </w:t>
      </w:r>
      <w:r w:rsidR="003A53F6">
        <w:t>we</w:t>
      </w:r>
      <w:r w:rsidRPr="00DB6883">
        <w:t xml:space="preserve">re currently reported by 68 Parties. Reduction of remaining QPS use would benefit ozone layer protection and still facilitate international trade. On other continuing challenges, she noted that some </w:t>
      </w:r>
      <w:r w:rsidR="001E3210">
        <w:t>p</w:t>
      </w:r>
      <w:r w:rsidRPr="00DB6883">
        <w:t>arties continue to report difficulties distinguishing between controlled and exempted uses; concerns exist</w:t>
      </w:r>
      <w:r w:rsidR="003A53F6">
        <w:t>ed</w:t>
      </w:r>
      <w:r w:rsidRPr="00DB6883">
        <w:t xml:space="preserve"> about non-compliant and unreported uses; better tracking systems </w:t>
      </w:r>
      <w:r w:rsidR="003A53F6">
        <w:t>we</w:t>
      </w:r>
      <w:r w:rsidRPr="00DB6883">
        <w:t xml:space="preserve">re needed to avoid QPS </w:t>
      </w:r>
      <w:r w:rsidR="00030AF7">
        <w:t>methyl bromide</w:t>
      </w:r>
      <w:r w:rsidRPr="00DB6883">
        <w:t xml:space="preserve"> being used in controlled applications; and some </w:t>
      </w:r>
      <w:r w:rsidR="001E3210">
        <w:t>p</w:t>
      </w:r>
      <w:r w:rsidR="001E3210" w:rsidRPr="00DB6883">
        <w:t xml:space="preserve">arties </w:t>
      </w:r>
      <w:r w:rsidRPr="00DB6883">
        <w:t>ha</w:t>
      </w:r>
      <w:r w:rsidR="003A53F6">
        <w:t>d</w:t>
      </w:r>
      <w:r w:rsidRPr="00DB6883">
        <w:t xml:space="preserve"> improved their reporting under Article 7, but concerns on accurate reporting still remain</w:t>
      </w:r>
      <w:r w:rsidR="003A53F6">
        <w:t>ed</w:t>
      </w:r>
      <w:r w:rsidRPr="00DB6883">
        <w:t xml:space="preserve">. </w:t>
      </w:r>
      <w:r w:rsidR="001E3210">
        <w:t xml:space="preserve">The </w:t>
      </w:r>
      <w:r w:rsidR="003E1C3A">
        <w:t>Scientific Assessment Panel</w:t>
      </w:r>
      <w:r w:rsidRPr="00DB6883">
        <w:t xml:space="preserve"> and </w:t>
      </w:r>
      <w:r w:rsidR="001E3210">
        <w:t xml:space="preserve">the </w:t>
      </w:r>
      <w:r w:rsidR="00A537AA">
        <w:t>Methyl Bromide Technical Options Committee</w:t>
      </w:r>
      <w:r w:rsidRPr="00DB6883">
        <w:t xml:space="preserve"> </w:t>
      </w:r>
      <w:r w:rsidR="003A53F6">
        <w:t>we</w:t>
      </w:r>
      <w:r w:rsidRPr="00DB6883">
        <w:t xml:space="preserve">re working together to further clarify the relationship between </w:t>
      </w:r>
      <w:r w:rsidR="00030AF7">
        <w:t>methyl bromide</w:t>
      </w:r>
      <w:r w:rsidRPr="00DB6883">
        <w:t xml:space="preserve"> consumption and its atmospheric concentration.</w:t>
      </w:r>
    </w:p>
    <w:p w:rsidR="007071AF" w:rsidRPr="00DB6883" w:rsidRDefault="007071AF"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DB6883">
        <w:t>Ms. Maranion then presented on the refrigeration, air</w:t>
      </w:r>
      <w:r w:rsidR="003A53F6">
        <w:t>-</w:t>
      </w:r>
      <w:r w:rsidRPr="00DB6883">
        <w:t>conditioning and heat pumps (RACHP) sector</w:t>
      </w:r>
      <w:r w:rsidR="001E3210">
        <w:t>,</w:t>
      </w:r>
      <w:r w:rsidRPr="00DB6883">
        <w:t xml:space="preserve"> noting that </w:t>
      </w:r>
      <w:r w:rsidR="001E3210">
        <w:t xml:space="preserve">the </w:t>
      </w:r>
      <w:r w:rsidRPr="00DB6883">
        <w:t>use of CFCs in new RACHP equipment ha</w:t>
      </w:r>
      <w:r w:rsidR="00FF5938">
        <w:t>d</w:t>
      </w:r>
      <w:r w:rsidRPr="00DB6883">
        <w:t xml:space="preserve"> ceased. In </w:t>
      </w:r>
      <w:r w:rsidR="00AD2CC8" w:rsidRPr="00DB6883">
        <w:t xml:space="preserve">parties </w:t>
      </w:r>
      <w:r w:rsidR="00AD2CC8">
        <w:t xml:space="preserve">not </w:t>
      </w:r>
      <w:r w:rsidR="00AD2CC8" w:rsidRPr="00DB6883">
        <w:t>operating under paragraph 1 of Article 5</w:t>
      </w:r>
      <w:r w:rsidRPr="00DB6883">
        <w:t xml:space="preserve">, the HCFC phase-out </w:t>
      </w:r>
      <w:r w:rsidR="00FF5938">
        <w:t>was</w:t>
      </w:r>
      <w:r w:rsidRPr="00DB6883">
        <w:t xml:space="preserve"> almost complete; in </w:t>
      </w:r>
      <w:r w:rsidR="007B36A5" w:rsidRPr="00DB6883">
        <w:t>parties operating under paragraph 1 of Article 5</w:t>
      </w:r>
      <w:r w:rsidRPr="00DB6883">
        <w:t xml:space="preserve">, HCFC-22 consumption in RACHP </w:t>
      </w:r>
      <w:r w:rsidR="00FF5938">
        <w:t>was</w:t>
      </w:r>
      <w:r w:rsidRPr="00DB6883">
        <w:t xml:space="preserve"> decreasing and HCFCs w</w:t>
      </w:r>
      <w:r w:rsidR="003A53F6">
        <w:t>ould</w:t>
      </w:r>
      <w:r w:rsidRPr="00DB6883">
        <w:t xml:space="preserve"> soon be used in RACHP servicing only. Low</w:t>
      </w:r>
      <w:r w:rsidR="003A53F6">
        <w:t>-</w:t>
      </w:r>
      <w:r w:rsidRPr="00DB6883">
        <w:t xml:space="preserve">GWP solutions </w:t>
      </w:r>
      <w:r w:rsidR="003A53F6">
        <w:t>we</w:t>
      </w:r>
      <w:r w:rsidRPr="00DB6883">
        <w:t xml:space="preserve">re becoming increasingly available for many RACHP applications. Results of many tests of HCFC and </w:t>
      </w:r>
      <w:r w:rsidR="001E3210" w:rsidRPr="00DB6883">
        <w:t>high</w:t>
      </w:r>
      <w:r w:rsidR="001E3210">
        <w:t>-</w:t>
      </w:r>
      <w:r w:rsidRPr="00DB6883">
        <w:t xml:space="preserve">GWP HFC alternatives under high ambient temperature conditions </w:t>
      </w:r>
      <w:r w:rsidR="003A53F6">
        <w:t>we</w:t>
      </w:r>
      <w:r w:rsidRPr="00DB6883">
        <w:t xml:space="preserve">re available. She noted that RACHP technology </w:t>
      </w:r>
      <w:r w:rsidR="00FF5938">
        <w:t>was</w:t>
      </w:r>
      <w:r w:rsidRPr="00DB6883">
        <w:t xml:space="preserve"> rapidly evolving and that an integrated approach </w:t>
      </w:r>
      <w:r w:rsidR="003A53F6">
        <w:t>was</w:t>
      </w:r>
      <w:r w:rsidRPr="00DB6883">
        <w:t xml:space="preserve"> needed for </w:t>
      </w:r>
      <w:r w:rsidR="001E3210" w:rsidRPr="00DB6883">
        <w:t>low</w:t>
      </w:r>
      <w:r w:rsidR="001E3210">
        <w:t>-</w:t>
      </w:r>
      <w:r w:rsidRPr="00DB6883">
        <w:t>GWP solutions that also t</w:t>
      </w:r>
      <w:r w:rsidR="003A53F6">
        <w:t>ook</w:t>
      </w:r>
      <w:r w:rsidRPr="00DB6883">
        <w:t xml:space="preserve"> into account energy efficiency, flammability</w:t>
      </w:r>
      <w:r w:rsidR="001E3210">
        <w:t xml:space="preserve"> and</w:t>
      </w:r>
      <w:r w:rsidRPr="00DB6883">
        <w:t xml:space="preserve"> toxicity.</w:t>
      </w:r>
    </w:p>
    <w:p w:rsidR="007071AF" w:rsidRPr="00DB6883" w:rsidRDefault="007071AF"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DB6883">
        <w:t xml:space="preserve">Continuing the 2018 </w:t>
      </w:r>
      <w:r w:rsidR="001E3210">
        <w:t>a</w:t>
      </w:r>
      <w:r w:rsidR="001E3210" w:rsidRPr="00DB6883">
        <w:t xml:space="preserve">ssessment </w:t>
      </w:r>
      <w:r w:rsidR="001E3210">
        <w:t>r</w:t>
      </w:r>
      <w:r w:rsidRPr="00DB6883">
        <w:t xml:space="preserve">eports, she referred to the terms of reference established by </w:t>
      </w:r>
      <w:r w:rsidR="001E3210">
        <w:t>p</w:t>
      </w:r>
      <w:r w:rsidR="001E3210" w:rsidRPr="00DB6883">
        <w:t xml:space="preserve">arties </w:t>
      </w:r>
      <w:r w:rsidRPr="00DB6883">
        <w:t xml:space="preserve">in </w:t>
      </w:r>
      <w:r w:rsidR="001E3210">
        <w:t>d</w:t>
      </w:r>
      <w:r w:rsidRPr="00DB6883">
        <w:t xml:space="preserve">ecision XXVII/6. Based on the </w:t>
      </w:r>
      <w:r w:rsidR="001E3210" w:rsidRPr="00DB6883">
        <w:t>terms of reference</w:t>
      </w:r>
      <w:r w:rsidRPr="00DB6883">
        <w:t xml:space="preserve">, </w:t>
      </w:r>
      <w:r w:rsidR="001E3210">
        <w:t xml:space="preserve">the </w:t>
      </w:r>
      <w:r w:rsidR="0021455A">
        <w:t>Technology and Economic Assessment Panel</w:t>
      </w:r>
      <w:r w:rsidRPr="00DB6883">
        <w:t xml:space="preserve"> through its </w:t>
      </w:r>
      <w:r w:rsidR="00B12C21">
        <w:t>technical options committee</w:t>
      </w:r>
      <w:r w:rsidRPr="00DB6883">
        <w:t>s ha</w:t>
      </w:r>
      <w:r w:rsidR="00FF5938">
        <w:t>d</w:t>
      </w:r>
      <w:r w:rsidRPr="00DB6883">
        <w:t xml:space="preserve"> initiated work on the assessment report</w:t>
      </w:r>
      <w:r w:rsidR="00B12C21">
        <w:t>,</w:t>
      </w:r>
      <w:r w:rsidRPr="00DB6883">
        <w:t xml:space="preserve"> including planning for peer review for certain reports. The 2018 meetings of the </w:t>
      </w:r>
      <w:r w:rsidR="00B12C21">
        <w:t>technical options committee</w:t>
      </w:r>
      <w:r w:rsidR="00B12C21" w:rsidRPr="00DB6883">
        <w:t>s</w:t>
      </w:r>
      <w:r w:rsidRPr="00DB6883">
        <w:t xml:space="preserve">, most of which </w:t>
      </w:r>
      <w:r w:rsidR="003A53F6">
        <w:t>would</w:t>
      </w:r>
      <w:r w:rsidR="003A53F6" w:rsidRPr="00DB6883">
        <w:t xml:space="preserve"> </w:t>
      </w:r>
      <w:r w:rsidRPr="00DB6883">
        <w:t>be taking place in March, w</w:t>
      </w:r>
      <w:r w:rsidR="003A53F6">
        <w:t>ould</w:t>
      </w:r>
      <w:r w:rsidRPr="00DB6883">
        <w:t xml:space="preserve"> include a focus on the assessment reports. The final </w:t>
      </w:r>
      <w:r w:rsidR="00B12C21">
        <w:t>technical options committee</w:t>
      </w:r>
      <w:r w:rsidR="00B12C21" w:rsidRPr="00DB6883">
        <w:t xml:space="preserve"> </w:t>
      </w:r>
      <w:r w:rsidRPr="00DB6883">
        <w:t>assessment reports w</w:t>
      </w:r>
      <w:r w:rsidR="003A53F6">
        <w:t>ould</w:t>
      </w:r>
      <w:r w:rsidRPr="00DB6883">
        <w:t xml:space="preserve"> be submitted by the end of 2018. The </w:t>
      </w:r>
      <w:r w:rsidR="003A53F6">
        <w:t xml:space="preserve">assessment report </w:t>
      </w:r>
      <w:r w:rsidR="00B12C21">
        <w:t xml:space="preserve">of the </w:t>
      </w:r>
      <w:r w:rsidR="0021455A">
        <w:t>Technology and Economic Assessment Panel</w:t>
      </w:r>
      <w:r w:rsidRPr="00DB6883">
        <w:t xml:space="preserve"> </w:t>
      </w:r>
      <w:r w:rsidR="003A53F6">
        <w:t>would</w:t>
      </w:r>
      <w:r w:rsidR="003A53F6" w:rsidRPr="00DB6883">
        <w:t xml:space="preserve"> </w:t>
      </w:r>
      <w:r w:rsidRPr="00DB6883">
        <w:t xml:space="preserve">be presented to the </w:t>
      </w:r>
      <w:r w:rsidR="00B12C21">
        <w:t xml:space="preserve">Open-ended Working Group </w:t>
      </w:r>
      <w:r w:rsidRPr="00DB6883">
        <w:t xml:space="preserve">in 2019, and the </w:t>
      </w:r>
      <w:r w:rsidR="003A53F6" w:rsidRPr="00DB6883">
        <w:t xml:space="preserve">synthesis report of </w:t>
      </w:r>
      <w:r w:rsidRPr="00DB6883">
        <w:t xml:space="preserve">the three panels </w:t>
      </w:r>
      <w:r w:rsidR="003A53F6">
        <w:t>would</w:t>
      </w:r>
      <w:r w:rsidR="003A53F6" w:rsidRPr="00DB6883">
        <w:t xml:space="preserve"> </w:t>
      </w:r>
      <w:r w:rsidRPr="00DB6883">
        <w:t>be presented to the M</w:t>
      </w:r>
      <w:r w:rsidR="00B12C21">
        <w:t xml:space="preserve">eeting of the Parties </w:t>
      </w:r>
      <w:r w:rsidRPr="00DB6883">
        <w:t xml:space="preserve">in 2019. </w:t>
      </w:r>
    </w:p>
    <w:p w:rsidR="007071AF" w:rsidRPr="00DB6883" w:rsidRDefault="007071AF"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rsidRPr="00DB6883">
        <w:t xml:space="preserve">Ms. Maranion noted that going </w:t>
      </w:r>
      <w:proofErr w:type="gramStart"/>
      <w:r w:rsidRPr="00DB6883">
        <w:t>forward,</w:t>
      </w:r>
      <w:proofErr w:type="gramEnd"/>
      <w:r w:rsidR="00B12C21">
        <w:t xml:space="preserve"> the</w:t>
      </w:r>
      <w:r w:rsidRPr="00DB6883">
        <w:t xml:space="preserve"> </w:t>
      </w:r>
      <w:r w:rsidR="0021455A">
        <w:t>Technology and Economic Assessment Panel</w:t>
      </w:r>
      <w:r w:rsidRPr="00DB6883">
        <w:t xml:space="preserve"> compose</w:t>
      </w:r>
      <w:r w:rsidR="003A53F6">
        <w:t>d</w:t>
      </w:r>
      <w:r w:rsidRPr="00DB6883">
        <w:t xml:space="preserve"> its </w:t>
      </w:r>
      <w:r w:rsidR="00B12C21">
        <w:t>technical options committee</w:t>
      </w:r>
      <w:r w:rsidR="00B12C21" w:rsidRPr="00DB6883">
        <w:t xml:space="preserve">s </w:t>
      </w:r>
      <w:r w:rsidRPr="00DB6883">
        <w:t xml:space="preserve">and temporary subsidiary bodies to maintain a balance of expertise to provide comprehensive, objective and policy neutral reports. </w:t>
      </w:r>
      <w:r w:rsidR="00B12C21">
        <w:t xml:space="preserve">The </w:t>
      </w:r>
      <w:r w:rsidR="0021455A">
        <w:t>Panel</w:t>
      </w:r>
      <w:r w:rsidRPr="00DB6883">
        <w:t xml:space="preserve"> provide</w:t>
      </w:r>
      <w:r w:rsidR="003A53F6">
        <w:t>d</w:t>
      </w:r>
      <w:r w:rsidRPr="00DB6883">
        <w:t xml:space="preserve"> a list of needed expertise </w:t>
      </w:r>
      <w:r w:rsidR="00B12C21">
        <w:t>that</w:t>
      </w:r>
      <w:r w:rsidR="00B12C21" w:rsidRPr="00DB6883">
        <w:t xml:space="preserve"> </w:t>
      </w:r>
      <w:r w:rsidR="003A53F6">
        <w:t>was</w:t>
      </w:r>
      <w:r w:rsidRPr="00DB6883">
        <w:t xml:space="preserve"> updated annually and posted on the Secretariat website. </w:t>
      </w:r>
      <w:r w:rsidR="00B12C21">
        <w:t>The</w:t>
      </w:r>
      <w:r w:rsidR="0021455A">
        <w:t xml:space="preserve"> </w:t>
      </w:r>
      <w:r w:rsidR="00D2520A">
        <w:t xml:space="preserve">Technology and Economic </w:t>
      </w:r>
      <w:r w:rsidR="0021455A">
        <w:t>Assessment Panel</w:t>
      </w:r>
      <w:r w:rsidRPr="00DB6883">
        <w:t xml:space="preserve"> and </w:t>
      </w:r>
      <w:r w:rsidR="00B12C21">
        <w:t>technical options committee</w:t>
      </w:r>
      <w:r w:rsidR="00B12C21" w:rsidRPr="00DB6883">
        <w:t xml:space="preserve">s </w:t>
      </w:r>
      <w:r w:rsidRPr="00DB6883">
        <w:t>str</w:t>
      </w:r>
      <w:r w:rsidR="003A53F6">
        <w:t>o</w:t>
      </w:r>
      <w:r w:rsidRPr="00DB6883">
        <w:t>ve to achieve gender</w:t>
      </w:r>
      <w:r w:rsidR="00B12C21">
        <w:t xml:space="preserve"> balance</w:t>
      </w:r>
      <w:r w:rsidRPr="00DB6883">
        <w:t xml:space="preserve">, </w:t>
      </w:r>
      <w:r w:rsidR="00B12C21">
        <w:t xml:space="preserve">balance between </w:t>
      </w:r>
      <w:r w:rsidR="007B36A5" w:rsidRPr="00DB6883">
        <w:t xml:space="preserve">parties operating under paragraph 1 of Article 5 </w:t>
      </w:r>
      <w:r w:rsidR="00AD2CC8">
        <w:t>and those not so operating</w:t>
      </w:r>
      <w:r w:rsidR="00B12C21">
        <w:t xml:space="preserve"> </w:t>
      </w:r>
      <w:r w:rsidRPr="00DB6883">
        <w:t xml:space="preserve">and geographical balance. She reiterated that </w:t>
      </w:r>
      <w:r w:rsidR="00B12C21">
        <w:t>the</w:t>
      </w:r>
      <w:r w:rsidR="0021455A">
        <w:t xml:space="preserve"> Panel</w:t>
      </w:r>
      <w:r w:rsidRPr="00DB6883">
        <w:t xml:space="preserve"> remain</w:t>
      </w:r>
      <w:r w:rsidR="003A53F6">
        <w:t>ed</w:t>
      </w:r>
      <w:r w:rsidRPr="00DB6883">
        <w:t xml:space="preserve"> ready to respond to tasks from </w:t>
      </w:r>
      <w:r w:rsidR="00B12C21">
        <w:t>p</w:t>
      </w:r>
      <w:r w:rsidRPr="00DB6883">
        <w:t>arties, continue</w:t>
      </w:r>
      <w:r w:rsidR="003A53F6">
        <w:t>d</w:t>
      </w:r>
      <w:r w:rsidRPr="00DB6883">
        <w:t xml:space="preserve"> to identify emerging issues and s</w:t>
      </w:r>
      <w:r w:rsidR="003A53F6">
        <w:t>ought</w:t>
      </w:r>
      <w:r w:rsidRPr="00DB6883">
        <w:t xml:space="preserve"> to be aligned with the current and future needs of the parties, with access to appropriate expertise. She expressed appreciation for continued consideration </w:t>
      </w:r>
      <w:r w:rsidR="00B12C21">
        <w:t xml:space="preserve">by parties </w:t>
      </w:r>
      <w:r w:rsidRPr="00DB6883">
        <w:t>of the tasks that c</w:t>
      </w:r>
      <w:r w:rsidR="003A53F6">
        <w:t>a</w:t>
      </w:r>
      <w:r w:rsidRPr="00DB6883">
        <w:t xml:space="preserve">me </w:t>
      </w:r>
      <w:r w:rsidR="003A53F6">
        <w:t>to</w:t>
      </w:r>
      <w:r w:rsidR="003A53F6" w:rsidRPr="00DB6883">
        <w:t xml:space="preserve"> </w:t>
      </w:r>
      <w:r w:rsidR="00B12C21">
        <w:t>the</w:t>
      </w:r>
      <w:r w:rsidR="0021455A">
        <w:t xml:space="preserve"> Panel</w:t>
      </w:r>
      <w:r w:rsidRPr="00DB6883">
        <w:t>, of the overall workload and the timeline needed to produce quality outcomes that met the needs of the parties.</w:t>
      </w:r>
    </w:p>
    <w:p w:rsidR="007071AF" w:rsidRPr="00DB6883" w:rsidRDefault="009A4235" w:rsidP="004E7D79">
      <w:pPr>
        <w:pStyle w:val="Normalpool"/>
        <w:numPr>
          <w:ilvl w:val="0"/>
          <w:numId w:val="20"/>
        </w:numPr>
        <w:tabs>
          <w:tab w:val="clear" w:pos="1253"/>
          <w:tab w:val="clear" w:pos="1814"/>
          <w:tab w:val="clear" w:pos="2376"/>
          <w:tab w:val="clear" w:pos="2952"/>
          <w:tab w:val="clear" w:pos="3514"/>
          <w:tab w:val="left" w:pos="624"/>
        </w:tabs>
        <w:spacing w:after="120"/>
        <w:ind w:left="1247" w:firstLine="0"/>
      </w:pPr>
      <w:r>
        <w:t xml:space="preserve">Ms. Maranion concluded by noting that in looking forward, it </w:t>
      </w:r>
      <w:r w:rsidR="003A53F6">
        <w:t>was</w:t>
      </w:r>
      <w:r>
        <w:t xml:space="preserve"> also important to look back, especially on the occasion of the </w:t>
      </w:r>
      <w:r w:rsidR="00B12C21">
        <w:t>thirtieth a</w:t>
      </w:r>
      <w:r>
        <w:t>nniversary of the Montreal Protocol, to recognize those that ha</w:t>
      </w:r>
      <w:r w:rsidR="003A53F6">
        <w:t>d</w:t>
      </w:r>
      <w:r>
        <w:t xml:space="preserve"> been instrumental to the legacy of </w:t>
      </w:r>
      <w:r w:rsidR="00B12C21">
        <w:t xml:space="preserve">the </w:t>
      </w:r>
      <w:r w:rsidR="0021455A">
        <w:t>Assessment Panel</w:t>
      </w:r>
      <w:r>
        <w:t xml:space="preserve">’s contributions to the success of the Montreal Protocol. She noted that a presenter at the previous night’s awards ceremony used the phrase “standing on the shoulder of giants” by Sir Isaac Newton. She stated that the original phrase </w:t>
      </w:r>
      <w:r w:rsidR="00B12C21">
        <w:t xml:space="preserve">by John of Salisbury </w:t>
      </w:r>
      <w:r>
        <w:t>was longer and went as follows: “We are like dwarfs sitting on the shoulders of giants. We see more, and things that are more distant, than they did, not because our sight is superior or because we are taller than they, but because they raise us up, and by their great stature add to ours.” She recognized th</w:t>
      </w:r>
      <w:r w:rsidR="00B12C21">
        <w:t>o</w:t>
      </w:r>
      <w:r>
        <w:t xml:space="preserve">se “giants” to the legacy of the </w:t>
      </w:r>
      <w:r w:rsidR="0021455A">
        <w:t>Assessment Panel</w:t>
      </w:r>
      <w:r>
        <w:t xml:space="preserve"> under the Montreal Protocol: the vision for the </w:t>
      </w:r>
      <w:r w:rsidR="0021455A">
        <w:t>Panel</w:t>
      </w:r>
      <w:r>
        <w:t xml:space="preserve"> by then-UNEP Executive Director Mostafa Tolba</w:t>
      </w:r>
      <w:r w:rsidR="00434ABE">
        <w:t>;</w:t>
      </w:r>
      <w:r>
        <w:t xml:space="preserve"> the original </w:t>
      </w:r>
      <w:r w:rsidR="008F5C73">
        <w:t>C</w:t>
      </w:r>
      <w:r>
        <w:t>o</w:t>
      </w:r>
      <w:r w:rsidR="00B12C21">
        <w:noBreakHyphen/>
      </w:r>
      <w:r w:rsidR="008F5C73">
        <w:t>C</w:t>
      </w:r>
      <w:r>
        <w:t xml:space="preserve">hairs of the </w:t>
      </w:r>
      <w:r w:rsidR="0021455A">
        <w:t>Panel</w:t>
      </w:r>
      <w:r w:rsidR="00434ABE">
        <w:t>,</w:t>
      </w:r>
      <w:r>
        <w:t xml:space="preserve"> Vic Buxton </w:t>
      </w:r>
      <w:r w:rsidR="007128F1">
        <w:t>(</w:t>
      </w:r>
      <w:r>
        <w:t>Canada</w:t>
      </w:r>
      <w:r w:rsidR="007128F1">
        <w:t>)</w:t>
      </w:r>
      <w:r>
        <w:t xml:space="preserve"> and Stephen Andersen </w:t>
      </w:r>
      <w:r w:rsidR="007128F1">
        <w:t>(</w:t>
      </w:r>
      <w:r>
        <w:t>U</w:t>
      </w:r>
      <w:r w:rsidR="00434ABE">
        <w:t xml:space="preserve">nited </w:t>
      </w:r>
      <w:r>
        <w:t>S</w:t>
      </w:r>
      <w:r w:rsidR="00434ABE">
        <w:t>tates of America</w:t>
      </w:r>
      <w:r w:rsidR="007128F1">
        <w:t>)</w:t>
      </w:r>
      <w:r w:rsidR="00434ABE">
        <w:t xml:space="preserve">; </w:t>
      </w:r>
      <w:r>
        <w:t xml:space="preserve">and the other preceding </w:t>
      </w:r>
      <w:r w:rsidR="008F5C73">
        <w:t>C</w:t>
      </w:r>
      <w:r>
        <w:t>o-</w:t>
      </w:r>
      <w:r w:rsidR="008F5C73">
        <w:t>C</w:t>
      </w:r>
      <w:r>
        <w:t xml:space="preserve">hairs of the </w:t>
      </w:r>
      <w:r w:rsidR="0021455A">
        <w:t>Panel</w:t>
      </w:r>
      <w:r w:rsidR="00434ABE">
        <w:t>,</w:t>
      </w:r>
      <w:r>
        <w:t xml:space="preserve"> Steve Lee-Bapty </w:t>
      </w:r>
      <w:r w:rsidR="007128F1">
        <w:t>(</w:t>
      </w:r>
      <w:r>
        <w:t>U</w:t>
      </w:r>
      <w:r w:rsidR="00434ABE">
        <w:t xml:space="preserve">nited </w:t>
      </w:r>
      <w:r>
        <w:t>K</w:t>
      </w:r>
      <w:r w:rsidR="00434ABE">
        <w:t>ingdom</w:t>
      </w:r>
      <w:r w:rsidR="007128F1">
        <w:t>)</w:t>
      </w:r>
      <w:r>
        <w:t xml:space="preserve">, Lambert Kuijpers </w:t>
      </w:r>
      <w:r w:rsidR="007128F1">
        <w:t>(</w:t>
      </w:r>
      <w:r>
        <w:t>Netherlands</w:t>
      </w:r>
      <w:r w:rsidR="007128F1">
        <w:t>)</w:t>
      </w:r>
      <w:r>
        <w:t xml:space="preserve">, Suely Carvalho </w:t>
      </w:r>
      <w:r w:rsidR="007128F1">
        <w:t>(</w:t>
      </w:r>
      <w:r>
        <w:t>Brazil</w:t>
      </w:r>
      <w:r w:rsidR="007128F1">
        <w:t>)</w:t>
      </w:r>
      <w:r>
        <w:t xml:space="preserve"> and Jose Pons </w:t>
      </w:r>
      <w:r w:rsidR="007128F1">
        <w:t>(</w:t>
      </w:r>
      <w:r w:rsidR="003A53F6">
        <w:t>Bolivarian Republic of</w:t>
      </w:r>
      <w:r w:rsidR="00871C73">
        <w:t xml:space="preserve"> Venezuela</w:t>
      </w:r>
      <w:r w:rsidR="007128F1">
        <w:t>)</w:t>
      </w:r>
      <w:r>
        <w:t xml:space="preserve">. She also extended appreciation to the past members of the </w:t>
      </w:r>
      <w:r w:rsidR="0021455A">
        <w:t>Panel</w:t>
      </w:r>
      <w:r>
        <w:t xml:space="preserve"> and </w:t>
      </w:r>
      <w:r w:rsidR="00434ABE">
        <w:t xml:space="preserve">technical options committees </w:t>
      </w:r>
      <w:r>
        <w:t>for their commitment and contributions to the Protocol</w:t>
      </w:r>
      <w:r w:rsidR="003A53F6">
        <w:t xml:space="preserve"> and s</w:t>
      </w:r>
      <w:r>
        <w:t xml:space="preserve">he recognized the unfailing support extended to the </w:t>
      </w:r>
      <w:r w:rsidR="0021455A">
        <w:t>Panel</w:t>
      </w:r>
      <w:r>
        <w:t xml:space="preserve"> by the offices of the Ozone and Multilateral Fund </w:t>
      </w:r>
      <w:r w:rsidR="003A53F6">
        <w:t>s</w:t>
      </w:r>
      <w:r>
        <w:t>ecretariats</w:t>
      </w:r>
      <w:r w:rsidR="007071AF" w:rsidRPr="00DB6883">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1942"/>
        <w:gridCol w:w="1942"/>
        <w:gridCol w:w="1943"/>
        <w:gridCol w:w="1943"/>
      </w:tblGrid>
      <w:tr w:rsidR="0031269C" w:rsidRPr="00DB6883" w:rsidTr="00A53E38">
        <w:tc>
          <w:tcPr>
            <w:tcW w:w="1942" w:type="dxa"/>
          </w:tcPr>
          <w:p w:rsidR="0031269C" w:rsidRPr="00DB6883" w:rsidRDefault="0031269C" w:rsidP="004B04D7">
            <w:pPr>
              <w:pStyle w:val="Normalpool"/>
              <w:tabs>
                <w:tab w:val="clear" w:pos="1253"/>
                <w:tab w:val="left" w:pos="624"/>
                <w:tab w:val="left" w:pos="1247"/>
                <w:tab w:val="left" w:pos="1871"/>
                <w:tab w:val="left" w:pos="2495"/>
                <w:tab w:val="left" w:pos="3119"/>
              </w:tabs>
              <w:spacing w:before="520"/>
            </w:pPr>
          </w:p>
        </w:tc>
        <w:tc>
          <w:tcPr>
            <w:tcW w:w="1942" w:type="dxa"/>
          </w:tcPr>
          <w:p w:rsidR="0031269C" w:rsidRPr="00DB6883" w:rsidRDefault="0031269C" w:rsidP="004B04D7">
            <w:pPr>
              <w:pStyle w:val="Normalpool"/>
              <w:tabs>
                <w:tab w:val="clear" w:pos="1253"/>
                <w:tab w:val="left" w:pos="624"/>
                <w:tab w:val="left" w:pos="1247"/>
                <w:tab w:val="left" w:pos="1871"/>
                <w:tab w:val="left" w:pos="2495"/>
                <w:tab w:val="left" w:pos="3119"/>
              </w:tabs>
              <w:spacing w:before="520"/>
            </w:pPr>
          </w:p>
        </w:tc>
        <w:tc>
          <w:tcPr>
            <w:tcW w:w="1942" w:type="dxa"/>
            <w:tcBorders>
              <w:bottom w:val="single" w:sz="4" w:space="0" w:color="auto"/>
            </w:tcBorders>
          </w:tcPr>
          <w:p w:rsidR="0031269C" w:rsidRPr="00DB6883" w:rsidRDefault="0031269C" w:rsidP="004B04D7">
            <w:pPr>
              <w:pStyle w:val="Normalpool"/>
              <w:tabs>
                <w:tab w:val="clear" w:pos="1253"/>
                <w:tab w:val="left" w:pos="624"/>
                <w:tab w:val="left" w:pos="1247"/>
                <w:tab w:val="left" w:pos="1871"/>
                <w:tab w:val="left" w:pos="2495"/>
                <w:tab w:val="left" w:pos="3119"/>
              </w:tabs>
              <w:spacing w:before="520"/>
            </w:pPr>
          </w:p>
        </w:tc>
        <w:tc>
          <w:tcPr>
            <w:tcW w:w="1943" w:type="dxa"/>
          </w:tcPr>
          <w:p w:rsidR="0031269C" w:rsidRPr="00DB6883" w:rsidRDefault="0031269C" w:rsidP="004B04D7">
            <w:pPr>
              <w:pStyle w:val="Normalpool"/>
              <w:tabs>
                <w:tab w:val="clear" w:pos="1253"/>
                <w:tab w:val="left" w:pos="624"/>
                <w:tab w:val="left" w:pos="1247"/>
                <w:tab w:val="left" w:pos="1871"/>
                <w:tab w:val="left" w:pos="2495"/>
                <w:tab w:val="left" w:pos="3119"/>
              </w:tabs>
              <w:spacing w:before="520"/>
            </w:pPr>
          </w:p>
        </w:tc>
        <w:tc>
          <w:tcPr>
            <w:tcW w:w="1943" w:type="dxa"/>
          </w:tcPr>
          <w:p w:rsidR="0031269C" w:rsidRPr="00DB6883" w:rsidRDefault="0031269C" w:rsidP="004B04D7">
            <w:pPr>
              <w:pStyle w:val="Normalpool"/>
              <w:tabs>
                <w:tab w:val="clear" w:pos="1253"/>
                <w:tab w:val="left" w:pos="624"/>
                <w:tab w:val="left" w:pos="1247"/>
                <w:tab w:val="left" w:pos="1871"/>
                <w:tab w:val="left" w:pos="2495"/>
                <w:tab w:val="left" w:pos="3119"/>
              </w:tabs>
              <w:spacing w:before="520"/>
            </w:pPr>
          </w:p>
        </w:tc>
      </w:tr>
    </w:tbl>
    <w:p w:rsidR="0031269C" w:rsidRPr="00DB6883" w:rsidRDefault="0031269C" w:rsidP="004B04D7">
      <w:pPr>
        <w:pStyle w:val="Normalpool"/>
        <w:tabs>
          <w:tab w:val="clear" w:pos="1253"/>
          <w:tab w:val="left" w:pos="624"/>
          <w:tab w:val="left" w:pos="1247"/>
          <w:tab w:val="left" w:pos="1871"/>
          <w:tab w:val="left" w:pos="2495"/>
          <w:tab w:val="left" w:pos="3119"/>
        </w:tabs>
      </w:pPr>
    </w:p>
    <w:sectPr w:rsidR="0031269C" w:rsidRPr="00DB6883" w:rsidSect="00CD35BB">
      <w:headerReference w:type="even" r:id="rId23"/>
      <w:headerReference w:type="default" r:id="rId24"/>
      <w:headerReference w:type="first" r:id="rId25"/>
      <w:footerReference w:type="first" r:id="rId26"/>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17A" w:rsidRDefault="00B7417A">
      <w:r>
        <w:separator/>
      </w:r>
    </w:p>
  </w:endnote>
  <w:endnote w:type="continuationSeparator" w:id="0">
    <w:p w:rsidR="00B7417A" w:rsidRDefault="00B74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utura">
    <w:charset w:val="00"/>
    <w:family w:val="auto"/>
    <w:pitch w:val="variable"/>
    <w:sig w:usb0="80000067" w:usb1="00000000" w:usb2="00000000" w:usb3="00000000" w:csb0="000001FB" w:csb1="00000000"/>
  </w:font>
  <w:font w:name="Times">
    <w:panose1 w:val="02020603050405020304"/>
    <w:charset w:val="00"/>
    <w:family w:val="roman"/>
    <w:pitch w:val="variable"/>
    <w:sig w:usb0="E0002AFF" w:usb1="C0007841" w:usb2="00000009" w:usb3="00000000" w:csb0="000001FF" w:csb1="00000000"/>
  </w:font>
  <w:font w:name="H Futura Heavy">
    <w:altName w:val="Times New Roman"/>
    <w:charset w:val="4D"/>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17A" w:rsidRDefault="00B7417A" w:rsidP="00B51383">
    <w:pPr>
      <w:pStyle w:val="Normalpool"/>
    </w:pPr>
    <w:r>
      <w:rPr>
        <w:rStyle w:val="PageNumber"/>
      </w:rPr>
      <w:fldChar w:fldCharType="begin"/>
    </w:r>
    <w:r>
      <w:rPr>
        <w:rStyle w:val="PageNumber"/>
      </w:rPr>
      <w:instrText xml:space="preserve"> PAGE </w:instrText>
    </w:r>
    <w:r>
      <w:rPr>
        <w:rStyle w:val="PageNumber"/>
      </w:rPr>
      <w:fldChar w:fldCharType="separate"/>
    </w:r>
    <w:r w:rsidR="00701CFE">
      <w:rPr>
        <w:rStyle w:val="PageNumber"/>
        <w:noProof/>
      </w:rPr>
      <w:t>76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17A" w:rsidRDefault="00B7417A" w:rsidP="00B51383">
    <w:pPr>
      <w:pStyle w:val="Normalpool"/>
      <w:jc w:val="right"/>
    </w:pPr>
    <w:r>
      <w:rPr>
        <w:rStyle w:val="PageNumber"/>
      </w:rPr>
      <w:fldChar w:fldCharType="begin"/>
    </w:r>
    <w:r>
      <w:rPr>
        <w:rStyle w:val="PageNumber"/>
      </w:rPr>
      <w:instrText xml:space="preserve"> PAGE </w:instrText>
    </w:r>
    <w:r>
      <w:rPr>
        <w:rStyle w:val="PageNumber"/>
      </w:rPr>
      <w:fldChar w:fldCharType="separate"/>
    </w:r>
    <w:r w:rsidR="00701CFE">
      <w:rPr>
        <w:rStyle w:val="PageNumber"/>
        <w:noProof/>
      </w:rPr>
      <w:t>75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17A" w:rsidRPr="006923A3" w:rsidRDefault="00B7417A" w:rsidP="006923A3">
    <w:pPr>
      <w:pStyle w:val="Normalpool"/>
    </w:pPr>
    <w:r>
      <w:t>K1709137</w:t>
    </w:r>
    <w:r>
      <w:tab/>
    </w:r>
    <w:r w:rsidR="00697448">
      <w:t>08</w:t>
    </w:r>
    <w:r w:rsidR="00EA4D69">
      <w:t>0218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835185"/>
      <w:docPartObj>
        <w:docPartGallery w:val="Page Numbers (Bottom of Page)"/>
        <w:docPartUnique/>
      </w:docPartObj>
    </w:sdtPr>
    <w:sdtEndPr>
      <w:rPr>
        <w:b/>
        <w:noProof/>
        <w:sz w:val="18"/>
        <w:szCs w:val="18"/>
      </w:rPr>
    </w:sdtEndPr>
    <w:sdtContent>
      <w:p w:rsidR="00B7417A" w:rsidRPr="00CD35BB" w:rsidRDefault="00B7417A" w:rsidP="00CD35BB">
        <w:pPr>
          <w:pStyle w:val="Footer"/>
          <w:rPr>
            <w:b/>
            <w:sz w:val="18"/>
            <w:szCs w:val="18"/>
          </w:rPr>
        </w:pPr>
        <w:r w:rsidRPr="00CD35BB">
          <w:rPr>
            <w:b/>
            <w:sz w:val="18"/>
            <w:szCs w:val="18"/>
          </w:rPr>
          <w:fldChar w:fldCharType="begin"/>
        </w:r>
        <w:r w:rsidRPr="00CD35BB">
          <w:rPr>
            <w:b/>
            <w:sz w:val="18"/>
            <w:szCs w:val="18"/>
          </w:rPr>
          <w:instrText xml:space="preserve"> PAGE   \* MERGEFORMAT </w:instrText>
        </w:r>
        <w:r w:rsidRPr="00CD35BB">
          <w:rPr>
            <w:b/>
            <w:sz w:val="18"/>
            <w:szCs w:val="18"/>
          </w:rPr>
          <w:fldChar w:fldCharType="separate"/>
        </w:r>
        <w:r w:rsidR="00701CFE">
          <w:rPr>
            <w:b/>
            <w:noProof/>
            <w:sz w:val="18"/>
            <w:szCs w:val="18"/>
          </w:rPr>
          <w:t>58</w:t>
        </w:r>
        <w:r w:rsidRPr="00CD35BB">
          <w:rPr>
            <w:b/>
            <w:noProof/>
            <w:sz w:val="18"/>
            <w:szCs w:val="1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093784"/>
      <w:docPartObj>
        <w:docPartGallery w:val="Page Numbers (Bottom of Page)"/>
        <w:docPartUnique/>
      </w:docPartObj>
    </w:sdtPr>
    <w:sdtEndPr>
      <w:rPr>
        <w:b/>
        <w:noProof/>
        <w:sz w:val="18"/>
        <w:szCs w:val="18"/>
      </w:rPr>
    </w:sdtEndPr>
    <w:sdtContent>
      <w:p w:rsidR="00B7417A" w:rsidRPr="00CD35BB" w:rsidRDefault="00B7417A" w:rsidP="00CD35BB">
        <w:pPr>
          <w:pStyle w:val="Footer"/>
          <w:jc w:val="right"/>
          <w:rPr>
            <w:b/>
            <w:sz w:val="18"/>
            <w:szCs w:val="18"/>
          </w:rPr>
        </w:pPr>
        <w:r w:rsidRPr="00CD35BB">
          <w:rPr>
            <w:b/>
            <w:sz w:val="18"/>
            <w:szCs w:val="18"/>
          </w:rPr>
          <w:fldChar w:fldCharType="begin"/>
        </w:r>
        <w:r w:rsidRPr="00CD35BB">
          <w:rPr>
            <w:b/>
            <w:sz w:val="18"/>
            <w:szCs w:val="18"/>
          </w:rPr>
          <w:instrText xml:space="preserve"> PAGE   \* MERGEFORMAT </w:instrText>
        </w:r>
        <w:r w:rsidRPr="00CD35BB">
          <w:rPr>
            <w:b/>
            <w:sz w:val="18"/>
            <w:szCs w:val="18"/>
          </w:rPr>
          <w:fldChar w:fldCharType="separate"/>
        </w:r>
        <w:r w:rsidR="00701CFE">
          <w:rPr>
            <w:b/>
            <w:noProof/>
            <w:sz w:val="18"/>
            <w:szCs w:val="18"/>
          </w:rPr>
          <w:t>61</w:t>
        </w:r>
        <w:r w:rsidRPr="00CD35BB">
          <w:rPr>
            <w:b/>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17A" w:rsidRDefault="00B7417A" w:rsidP="00DB6883">
      <w:pPr>
        <w:spacing w:after="120"/>
        <w:ind w:left="624"/>
      </w:pPr>
      <w:r>
        <w:separator/>
      </w:r>
    </w:p>
  </w:footnote>
  <w:footnote w:type="continuationSeparator" w:id="0">
    <w:p w:rsidR="00B7417A" w:rsidRDefault="00B7417A">
      <w:r>
        <w:continuationSeparator/>
      </w:r>
    </w:p>
  </w:footnote>
  <w:footnote w:id="1">
    <w:p w:rsidR="00B7417A" w:rsidRPr="00DB6883" w:rsidRDefault="00B7417A" w:rsidP="00DB6883">
      <w:pPr>
        <w:pStyle w:val="FootnoteText"/>
        <w:tabs>
          <w:tab w:val="clear" w:pos="1247"/>
          <w:tab w:val="clear" w:pos="1814"/>
          <w:tab w:val="clear" w:pos="2381"/>
          <w:tab w:val="clear" w:pos="2948"/>
          <w:tab w:val="clear" w:pos="3515"/>
        </w:tabs>
        <w:rPr>
          <w:szCs w:val="18"/>
          <w:lang w:val="en-CA"/>
        </w:rPr>
      </w:pPr>
      <w:r w:rsidRPr="00DB6883">
        <w:rPr>
          <w:rStyle w:val="FootnoteReference"/>
          <w:sz w:val="18"/>
        </w:rPr>
        <w:footnoteRef/>
      </w:r>
      <w:r w:rsidRPr="00DB6883">
        <w:rPr>
          <w:szCs w:val="18"/>
          <w:lang w:val="en-CA"/>
        </w:rPr>
        <w:t xml:space="preserve"> </w:t>
      </w:r>
      <w:r w:rsidRPr="00DB6883">
        <w:rPr>
          <w:szCs w:val="18"/>
          <w:lang w:eastAsia="ja-JP"/>
        </w:rPr>
        <w:t>World Meteorological Organization Global Ozone Research and Monitoring Project Report No. 57.</w:t>
      </w:r>
    </w:p>
  </w:footnote>
  <w:footnote w:id="2">
    <w:p w:rsidR="00B7417A" w:rsidRPr="00533FB6" w:rsidRDefault="00B7417A" w:rsidP="00154589">
      <w:pPr>
        <w:tabs>
          <w:tab w:val="left" w:pos="624"/>
        </w:tabs>
        <w:spacing w:before="20" w:after="40"/>
        <w:ind w:left="1247"/>
        <w:rPr>
          <w:sz w:val="18"/>
          <w:szCs w:val="18"/>
          <w:lang w:val="en-US"/>
        </w:rPr>
      </w:pPr>
      <w:r w:rsidRPr="00533FB6">
        <w:rPr>
          <w:sz w:val="18"/>
          <w:szCs w:val="18"/>
          <w:vertAlign w:val="superscript"/>
        </w:rPr>
        <w:footnoteRef/>
      </w:r>
      <w:r w:rsidRPr="00533FB6">
        <w:rPr>
          <w:sz w:val="18"/>
          <w:szCs w:val="18"/>
        </w:rPr>
        <w:t xml:space="preserve"> UNEP/OzL.Conv.11/4/Add.1.</w:t>
      </w:r>
    </w:p>
  </w:footnote>
  <w:footnote w:id="3">
    <w:p w:rsidR="00B7417A" w:rsidRPr="004E4334" w:rsidRDefault="00B7417A" w:rsidP="00FB6DBD">
      <w:pPr>
        <w:pStyle w:val="FootnoteText"/>
        <w:rPr>
          <w:lang w:val="en-CA"/>
        </w:rPr>
      </w:pPr>
      <w:r>
        <w:rPr>
          <w:rStyle w:val="FootnoteReference"/>
        </w:rPr>
        <w:footnoteRef/>
      </w:r>
      <w:r>
        <w:t xml:space="preserve"> UNEP/OzL.Pro.4/15.</w:t>
      </w:r>
    </w:p>
  </w:footnote>
  <w:footnote w:id="4">
    <w:p w:rsidR="00B7417A" w:rsidRPr="006308D9" w:rsidRDefault="00B7417A" w:rsidP="00FB6DBD">
      <w:pPr>
        <w:tabs>
          <w:tab w:val="left" w:pos="624"/>
        </w:tabs>
        <w:spacing w:before="20" w:after="40"/>
        <w:ind w:left="1247"/>
        <w:rPr>
          <w:sz w:val="18"/>
          <w:szCs w:val="18"/>
          <w:lang w:val="en-US"/>
        </w:rPr>
      </w:pPr>
      <w:r w:rsidRPr="00533FB6">
        <w:rPr>
          <w:sz w:val="18"/>
          <w:szCs w:val="18"/>
          <w:vertAlign w:val="superscript"/>
        </w:rPr>
        <w:footnoteRef/>
      </w:r>
      <w:r w:rsidRPr="00533FB6">
        <w:rPr>
          <w:sz w:val="18"/>
          <w:szCs w:val="18"/>
        </w:rPr>
        <w:t xml:space="preserve"> UNEP/OzL.Pro.29/4/Add.1.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17A" w:rsidRPr="006923A3" w:rsidRDefault="00B7417A" w:rsidP="006923A3">
    <w:pPr>
      <w:pStyle w:val="Header"/>
    </w:pPr>
    <w:r>
      <w:t>UNEP/OzL.Conv.11/7</w:t>
    </w:r>
    <w:r>
      <w:sym w:font="Symbol" w:char="F02D"/>
    </w:r>
    <w:r w:rsidRPr="004513DC">
      <w:t>UNEP/O</w:t>
    </w:r>
    <w:r>
      <w:t>zL</w:t>
    </w:r>
    <w:r w:rsidRPr="004513DC">
      <w:t>.P</w:t>
    </w:r>
    <w:r>
      <w:t>ro</w:t>
    </w:r>
    <w:r w:rsidRPr="004513DC">
      <w:t>.29/</w:t>
    </w:r>
    <w: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17A" w:rsidRDefault="00B7417A" w:rsidP="006923A3">
    <w:pPr>
      <w:pStyle w:val="Header"/>
      <w:jc w:val="right"/>
    </w:pPr>
    <w:r>
      <w:t>UNEP/OzL.Conv.11/7</w:t>
    </w:r>
    <w:r>
      <w:rPr>
        <w:rStyle w:val="tgc"/>
        <w:lang w:val="en-US"/>
      </w:rPr>
      <w:sym w:font="Symbol" w:char="F02D"/>
    </w:r>
    <w:r w:rsidRPr="004513DC">
      <w:t>UNEP/O</w:t>
    </w:r>
    <w:r>
      <w:t>zL</w:t>
    </w:r>
    <w:r w:rsidRPr="004513DC">
      <w:t>.P</w:t>
    </w:r>
    <w:r>
      <w:t>ro</w:t>
    </w:r>
    <w:r w:rsidRPr="004513DC">
      <w:t>.29/</w:t>
    </w:r>
    <w:r>
      <w:t>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17A" w:rsidRDefault="00B7417A" w:rsidP="006923A3">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17A" w:rsidRDefault="00B7417A">
    <w:pPr>
      <w:pStyle w:val="Header"/>
    </w:pPr>
    <w:r>
      <w:t>UNEP/OzL.Conv.11/7</w:t>
    </w:r>
    <w:r>
      <w:sym w:font="Symbol" w:char="F02D"/>
    </w:r>
    <w:r w:rsidRPr="004513DC">
      <w:t>UNEP/O</w:t>
    </w:r>
    <w:r>
      <w:t>zL</w:t>
    </w:r>
    <w:r w:rsidRPr="004513DC">
      <w:t>.P</w:t>
    </w:r>
    <w:r>
      <w:t>ro</w:t>
    </w:r>
    <w:r w:rsidRPr="004513DC">
      <w:t>.29/</w:t>
    </w:r>
    <w:r>
      <w:t>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17A" w:rsidRDefault="00B7417A" w:rsidP="00B85E32">
    <w:pPr>
      <w:pStyle w:val="Header"/>
      <w:jc w:val="right"/>
    </w:pPr>
    <w:r>
      <w:t>UNEP/OzL.Conv.11/7</w:t>
    </w:r>
    <w:r>
      <w:sym w:font="Symbol" w:char="F02D"/>
    </w:r>
    <w:r w:rsidRPr="004513DC">
      <w:t>UNEP/O</w:t>
    </w:r>
    <w:r>
      <w:t>zL</w:t>
    </w:r>
    <w:r w:rsidRPr="004513DC">
      <w:t>.P</w:t>
    </w:r>
    <w:r>
      <w:t>ro</w:t>
    </w:r>
    <w:r w:rsidRPr="004513DC">
      <w:t>.29/</w:t>
    </w:r>
    <w:r>
      <w:t>8</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17A" w:rsidRDefault="00B7417A" w:rsidP="00CD35BB">
    <w:pPr>
      <w:pStyle w:val="Header"/>
    </w:pPr>
    <w:r>
      <w:t>UNEP/OzL.Conv.11/7</w:t>
    </w:r>
    <w:r>
      <w:sym w:font="Symbol" w:char="F02D"/>
    </w:r>
    <w:r w:rsidRPr="004513DC">
      <w:t>UNEP/O</w:t>
    </w:r>
    <w:r>
      <w:t>zL</w:t>
    </w:r>
    <w:r w:rsidRPr="004513DC">
      <w:t>.P</w:t>
    </w:r>
    <w:r>
      <w:t>ro</w:t>
    </w:r>
    <w:r w:rsidRPr="004513DC">
      <w:t>.29/</w:t>
    </w:r>
    <w:r>
      <w:t>8</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17A" w:rsidRDefault="00B7417A">
    <w:pPr>
      <w:pStyle w:val="Header"/>
    </w:pPr>
    <w:r>
      <w:t>UNEP/OzL.Conv.11/7</w:t>
    </w:r>
    <w:r>
      <w:sym w:font="Symbol" w:char="F02D"/>
    </w:r>
    <w:r w:rsidRPr="004513DC">
      <w:t>UNEP/O</w:t>
    </w:r>
    <w:r>
      <w:t>zL</w:t>
    </w:r>
    <w:r w:rsidRPr="004513DC">
      <w:t>.P</w:t>
    </w:r>
    <w:r>
      <w:t>ro</w:t>
    </w:r>
    <w:r w:rsidRPr="004513DC">
      <w:t>.29/</w:t>
    </w:r>
    <w:r>
      <w:t>8</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17A" w:rsidRDefault="00B7417A" w:rsidP="00B85E32">
    <w:pPr>
      <w:pStyle w:val="Header"/>
      <w:jc w:val="right"/>
    </w:pPr>
    <w:r>
      <w:t>UNEP/OzL.Conv.11/7</w:t>
    </w:r>
    <w:r>
      <w:sym w:font="Symbol" w:char="F02D"/>
    </w:r>
    <w:r w:rsidRPr="004513DC">
      <w:t>UNEP/O</w:t>
    </w:r>
    <w:r>
      <w:t>zL</w:t>
    </w:r>
    <w:r w:rsidRPr="004513DC">
      <w:t>.P</w:t>
    </w:r>
    <w:r>
      <w:t>ro</w:t>
    </w:r>
    <w:r w:rsidRPr="004513DC">
      <w:t>.29/</w:t>
    </w:r>
    <w:r>
      <w:t>8</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17A" w:rsidRDefault="00B7417A" w:rsidP="00CD35BB">
    <w:pPr>
      <w:pStyle w:val="Header"/>
      <w:jc w:val="right"/>
    </w:pPr>
    <w:r>
      <w:t>UNEP/OzL.Conv.11/7</w:t>
    </w:r>
    <w:r>
      <w:sym w:font="Symbol" w:char="F02D"/>
    </w:r>
    <w:r w:rsidRPr="004513DC">
      <w:t>UNEP/O</w:t>
    </w:r>
    <w:r>
      <w:t>zL</w:t>
    </w:r>
    <w:r w:rsidRPr="004513DC">
      <w:t>.P</w:t>
    </w:r>
    <w:r>
      <w:t>ro</w:t>
    </w:r>
    <w:r w:rsidRPr="004513DC">
      <w:t>.29/</w:t>
    </w:r>
    <w: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F4D"/>
    <w:multiLevelType w:val="hybridMultilevel"/>
    <w:tmpl w:val="1380684C"/>
    <w:lvl w:ilvl="0" w:tplc="FF9824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50224"/>
    <w:multiLevelType w:val="hybridMultilevel"/>
    <w:tmpl w:val="9336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F142B"/>
    <w:multiLevelType w:val="singleLevel"/>
    <w:tmpl w:val="B77E0326"/>
    <w:lvl w:ilvl="0">
      <w:start w:val="1"/>
      <w:numFmt w:val="lowerLetter"/>
      <w:pStyle w:val="Level2"/>
      <w:lvlText w:val="(%1)"/>
      <w:lvlJc w:val="left"/>
      <w:pPr>
        <w:tabs>
          <w:tab w:val="num" w:pos="938"/>
        </w:tabs>
        <w:ind w:left="0" w:firstLine="578"/>
      </w:pPr>
    </w:lvl>
  </w:abstractNum>
  <w:abstractNum w:abstractNumId="3">
    <w:nsid w:val="13862EB7"/>
    <w:multiLevelType w:val="singleLevel"/>
    <w:tmpl w:val="24F2E210"/>
    <w:lvl w:ilvl="0">
      <w:start w:val="1"/>
      <w:numFmt w:val="decimal"/>
      <w:pStyle w:val="Paralevel1"/>
      <w:lvlText w:val="%1."/>
      <w:lvlJc w:val="left"/>
      <w:pPr>
        <w:tabs>
          <w:tab w:val="num" w:pos="360"/>
        </w:tabs>
        <w:ind w:left="0" w:firstLine="0"/>
      </w:pPr>
      <w:rPr>
        <w:rFonts w:ascii="Times New Roman" w:hAnsi="Times New Roman" w:hint="default"/>
        <w:b w:val="0"/>
        <w:i w:val="0"/>
        <w:sz w:val="20"/>
        <w:szCs w:val="20"/>
      </w:rPr>
    </w:lvl>
  </w:abstractNum>
  <w:abstractNum w:abstractNumId="4">
    <w:nsid w:val="171113A7"/>
    <w:multiLevelType w:val="multilevel"/>
    <w:tmpl w:val="48241D10"/>
    <w:numStyleLink w:val="Normallist"/>
  </w:abstractNum>
  <w:abstractNum w:abstractNumId="5">
    <w:nsid w:val="1B571867"/>
    <w:multiLevelType w:val="singleLevel"/>
    <w:tmpl w:val="A2E252AA"/>
    <w:lvl w:ilvl="0">
      <w:start w:val="1"/>
      <w:numFmt w:val="upperRoman"/>
      <w:pStyle w:val="Heading8"/>
      <w:lvlText w:val="%1."/>
      <w:lvlJc w:val="left"/>
      <w:pPr>
        <w:tabs>
          <w:tab w:val="num" w:pos="720"/>
        </w:tabs>
        <w:ind w:left="720" w:hanging="720"/>
      </w:pPr>
      <w:rPr>
        <w:rFonts w:hint="default"/>
      </w:rPr>
    </w:lvl>
  </w:abstractNum>
  <w:abstractNum w:abstractNumId="6">
    <w:nsid w:val="1D3A692D"/>
    <w:multiLevelType w:val="hybridMultilevel"/>
    <w:tmpl w:val="B20A97B6"/>
    <w:lvl w:ilvl="0" w:tplc="8814CE3E">
      <w:start w:val="12"/>
      <w:numFmt w:val="decimal"/>
      <w:lvlText w:val="%1."/>
      <w:lvlJc w:val="left"/>
      <w:pPr>
        <w:ind w:left="2232" w:hanging="360"/>
      </w:pPr>
      <w:rPr>
        <w:rFonts w:hint="default"/>
      </w:rPr>
    </w:lvl>
    <w:lvl w:ilvl="1" w:tplc="04090019">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7">
    <w:nsid w:val="22EE2B6D"/>
    <w:multiLevelType w:val="hybridMultilevel"/>
    <w:tmpl w:val="4F8AE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1C3085"/>
    <w:multiLevelType w:val="singleLevel"/>
    <w:tmpl w:val="BFA0F994"/>
    <w:lvl w:ilvl="0">
      <w:start w:val="1"/>
      <w:numFmt w:val="lowerLetter"/>
      <w:pStyle w:val="Paralevel2"/>
      <w:lvlText w:val="(%1)"/>
      <w:lvlJc w:val="left"/>
      <w:pPr>
        <w:tabs>
          <w:tab w:val="num" w:pos="938"/>
        </w:tabs>
        <w:ind w:left="0" w:firstLine="578"/>
      </w:pPr>
    </w:lvl>
  </w:abstractNum>
  <w:abstractNum w:abstractNumId="9">
    <w:nsid w:val="35571603"/>
    <w:multiLevelType w:val="singleLevel"/>
    <w:tmpl w:val="2868AC2A"/>
    <w:lvl w:ilvl="0">
      <w:start w:val="6"/>
      <w:numFmt w:val="upperLetter"/>
      <w:pStyle w:val="Heading9"/>
      <w:lvlText w:val="%1."/>
      <w:lvlJc w:val="left"/>
      <w:pPr>
        <w:tabs>
          <w:tab w:val="num" w:pos="360"/>
        </w:tabs>
        <w:ind w:left="360" w:hanging="360"/>
      </w:pPr>
      <w:rPr>
        <w:rFonts w:hint="default"/>
      </w:rPr>
    </w:lvl>
  </w:abstractNum>
  <w:abstractNum w:abstractNumId="10">
    <w:nsid w:val="39867CB1"/>
    <w:multiLevelType w:val="hybridMultilevel"/>
    <w:tmpl w:val="B1720DFC"/>
    <w:lvl w:ilvl="0" w:tplc="FF9824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451473"/>
    <w:multiLevelType w:val="hybridMultilevel"/>
    <w:tmpl w:val="771E4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9326AD"/>
    <w:multiLevelType w:val="hybridMultilevel"/>
    <w:tmpl w:val="0316CC66"/>
    <w:lvl w:ilvl="0" w:tplc="FF9824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371433"/>
    <w:multiLevelType w:val="hybridMultilevel"/>
    <w:tmpl w:val="52AABFD6"/>
    <w:lvl w:ilvl="0" w:tplc="0409000F">
      <w:start w:val="1"/>
      <w:numFmt w:val="decimal"/>
      <w:lvlText w:val="%1."/>
      <w:lvlJc w:val="left"/>
      <w:pPr>
        <w:ind w:left="2591" w:hanging="360"/>
      </w:p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14">
    <w:nsid w:val="4B2225BC"/>
    <w:multiLevelType w:val="hybridMultilevel"/>
    <w:tmpl w:val="CCCC6AEA"/>
    <w:lvl w:ilvl="0" w:tplc="0409000F">
      <w:start w:val="1"/>
      <w:numFmt w:val="bullet"/>
      <w:pStyle w:val="Bullets"/>
      <w:lvlText w:val=""/>
      <w:lvlJc w:val="left"/>
      <w:pPr>
        <w:ind w:left="360" w:hanging="360"/>
      </w:pPr>
      <w:rPr>
        <w:rFonts w:ascii="Symbol" w:hAnsi="Symbol" w:hint="default"/>
      </w:rPr>
    </w:lvl>
    <w:lvl w:ilvl="1" w:tplc="BF64D242" w:tentative="1">
      <w:start w:val="1"/>
      <w:numFmt w:val="bullet"/>
      <w:lvlText w:val="o"/>
      <w:lvlJc w:val="left"/>
      <w:pPr>
        <w:ind w:left="1080" w:hanging="360"/>
      </w:pPr>
      <w:rPr>
        <w:rFonts w:ascii="Courier New" w:hAnsi="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5">
    <w:nsid w:val="4EBD6056"/>
    <w:multiLevelType w:val="singleLevel"/>
    <w:tmpl w:val="22D82B4C"/>
    <w:lvl w:ilvl="0">
      <w:start w:val="1"/>
      <w:numFmt w:val="lowerRoman"/>
      <w:pStyle w:val="Paralevel3"/>
      <w:lvlText w:val="(%1)"/>
      <w:lvlJc w:val="left"/>
      <w:pPr>
        <w:tabs>
          <w:tab w:val="num" w:pos="2892"/>
        </w:tabs>
        <w:ind w:left="2892" w:hanging="579"/>
      </w:pPr>
      <w:rPr>
        <w:rFonts w:hint="default"/>
      </w:rPr>
    </w:lvl>
  </w:abstractNum>
  <w:abstractNum w:abstractNumId="16">
    <w:nsid w:val="4ED62B1E"/>
    <w:multiLevelType w:val="hybridMultilevel"/>
    <w:tmpl w:val="B07C0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895292"/>
    <w:multiLevelType w:val="singleLevel"/>
    <w:tmpl w:val="3736A298"/>
    <w:lvl w:ilvl="0">
      <w:start w:val="1"/>
      <w:numFmt w:val="decimal"/>
      <w:pStyle w:val="Normal-num"/>
      <w:lvlText w:val="%1."/>
      <w:lvlJc w:val="left"/>
      <w:pPr>
        <w:tabs>
          <w:tab w:val="num" w:pos="1855"/>
        </w:tabs>
        <w:ind w:left="1855" w:hanging="720"/>
      </w:pPr>
      <w:rPr>
        <w:rFonts w:ascii="Times New Roman" w:eastAsia="Times New Roman" w:hAnsi="Times New Roman" w:cs="Times New Roman"/>
      </w:rPr>
    </w:lvl>
  </w:abstractNum>
  <w:abstractNum w:abstractNumId="18">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19">
    <w:nsid w:val="5335616B"/>
    <w:multiLevelType w:val="hybridMultilevel"/>
    <w:tmpl w:val="1B026D3E"/>
    <w:lvl w:ilvl="0" w:tplc="0409000F">
      <w:start w:val="1"/>
      <w:numFmt w:val="decimal"/>
      <w:lvlText w:val="%1."/>
      <w:lvlJc w:val="left"/>
      <w:pPr>
        <w:ind w:left="1967" w:hanging="360"/>
      </w:p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20">
    <w:nsid w:val="5BD41965"/>
    <w:multiLevelType w:val="hybridMultilevel"/>
    <w:tmpl w:val="D62AC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9C5292"/>
    <w:multiLevelType w:val="hybridMultilevel"/>
    <w:tmpl w:val="F5DA57CC"/>
    <w:lvl w:ilvl="0" w:tplc="0409000F">
      <w:start w:val="1"/>
      <w:numFmt w:val="decimal"/>
      <w:lvlText w:val="%1."/>
      <w:lvlJc w:val="left"/>
      <w:pPr>
        <w:ind w:left="2591" w:hanging="360"/>
      </w:p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22">
    <w:nsid w:val="6C681379"/>
    <w:multiLevelType w:val="hybridMultilevel"/>
    <w:tmpl w:val="9DF40A02"/>
    <w:lvl w:ilvl="0" w:tplc="FF98245C">
      <w:start w:val="1"/>
      <w:numFmt w:val="lowerLetter"/>
      <w:lvlText w:val="(%1)"/>
      <w:lvlJc w:val="left"/>
      <w:pPr>
        <w:ind w:left="2591" w:hanging="360"/>
      </w:pPr>
      <w:rPr>
        <w:rFonts w:hint="default"/>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23">
    <w:nsid w:val="6F1415D7"/>
    <w:multiLevelType w:val="hybridMultilevel"/>
    <w:tmpl w:val="1F92653C"/>
    <w:lvl w:ilvl="0" w:tplc="FF9824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3A74C1"/>
    <w:multiLevelType w:val="multilevel"/>
    <w:tmpl w:val="E5A20930"/>
    <w:lvl w:ilvl="0">
      <w:start w:val="1"/>
      <w:numFmt w:val="lowerLetter"/>
      <w:lvlText w:val="(%1)"/>
      <w:lvlJc w:val="left"/>
      <w:pPr>
        <w:tabs>
          <w:tab w:val="num" w:pos="1701"/>
        </w:tabs>
        <w:ind w:left="1814" w:firstLine="0"/>
      </w:pPr>
      <w:rPr>
        <w:rFonts w:hint="default"/>
      </w:rPr>
    </w:lvl>
    <w:lvl w:ilvl="1">
      <w:start w:val="1"/>
      <w:numFmt w:val="lowerLetter"/>
      <w:lvlText w:val="(%2)"/>
      <w:lvlJc w:val="left"/>
      <w:pPr>
        <w:tabs>
          <w:tab w:val="num" w:pos="1701"/>
        </w:tabs>
        <w:ind w:left="1814" w:firstLine="567"/>
      </w:pPr>
      <w:rPr>
        <w:rFonts w:hint="default"/>
      </w:rPr>
    </w:lvl>
    <w:lvl w:ilvl="2">
      <w:start w:val="1"/>
      <w:numFmt w:val="lowerRoman"/>
      <w:lvlText w:val="(%3)"/>
      <w:lvlJc w:val="left"/>
      <w:pPr>
        <w:tabs>
          <w:tab w:val="num" w:pos="1701"/>
        </w:tabs>
        <w:ind w:left="3515" w:hanging="567"/>
      </w:pPr>
      <w:rPr>
        <w:rFonts w:hint="default"/>
      </w:rPr>
    </w:lvl>
    <w:lvl w:ilvl="3">
      <w:start w:val="1"/>
      <w:numFmt w:val="lowerLetter"/>
      <w:lvlText w:val="%4."/>
      <w:lvlJc w:val="left"/>
      <w:pPr>
        <w:tabs>
          <w:tab w:val="num" w:pos="1701"/>
        </w:tabs>
        <w:ind w:left="4082" w:hanging="567"/>
      </w:pPr>
      <w:rPr>
        <w:rFonts w:hint="default"/>
      </w:rPr>
    </w:lvl>
    <w:lvl w:ilvl="4">
      <w:start w:val="1"/>
      <w:numFmt w:val="lowerRoman"/>
      <w:lvlText w:val="%5."/>
      <w:lvlJc w:val="left"/>
      <w:pPr>
        <w:tabs>
          <w:tab w:val="num" w:pos="1701"/>
        </w:tabs>
        <w:ind w:left="4649" w:hanging="567"/>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25">
    <w:nsid w:val="72433AC4"/>
    <w:multiLevelType w:val="hybridMultilevel"/>
    <w:tmpl w:val="542ED402"/>
    <w:lvl w:ilvl="0" w:tplc="FF9824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59359A"/>
    <w:multiLevelType w:val="hybridMultilevel"/>
    <w:tmpl w:val="4BFEC1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18"/>
  </w:num>
  <w:num w:numId="4">
    <w:abstractNumId w:val="4"/>
    <w:lvlOverride w:ilvl="0">
      <w:lvl w:ilvl="0">
        <w:start w:val="1"/>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5">
    <w:abstractNumId w:val="17"/>
  </w:num>
  <w:num w:numId="6">
    <w:abstractNumId w:val="3"/>
  </w:num>
  <w:num w:numId="7">
    <w:abstractNumId w:val="8"/>
  </w:num>
  <w:num w:numId="8">
    <w:abstractNumId w:val="15"/>
  </w:num>
  <w:num w:numId="9">
    <w:abstractNumId w:val="2"/>
  </w:num>
  <w:num w:numId="10">
    <w:abstractNumId w:val="14"/>
  </w:num>
  <w:num w:numId="11">
    <w:abstractNumId w:val="24"/>
  </w:num>
  <w:num w:numId="12">
    <w:abstractNumId w:val="19"/>
  </w:num>
  <w:num w:numId="13">
    <w:abstractNumId w:val="26"/>
  </w:num>
  <w:num w:numId="14">
    <w:abstractNumId w:val="16"/>
  </w:num>
  <w:num w:numId="15">
    <w:abstractNumId w:val="0"/>
  </w:num>
  <w:num w:numId="16">
    <w:abstractNumId w:val="25"/>
  </w:num>
  <w:num w:numId="17">
    <w:abstractNumId w:val="11"/>
  </w:num>
  <w:num w:numId="18">
    <w:abstractNumId w:val="10"/>
  </w:num>
  <w:num w:numId="19">
    <w:abstractNumId w:val="21"/>
  </w:num>
  <w:num w:numId="20">
    <w:abstractNumId w:val="1"/>
  </w:num>
  <w:num w:numId="21">
    <w:abstractNumId w:val="4"/>
    <w:lvlOverride w:ilvl="0">
      <w:lvl w:ilvl="0">
        <w:start w:val="1"/>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22">
    <w:abstractNumId w:val="6"/>
  </w:num>
  <w:num w:numId="23">
    <w:abstractNumId w:val="20"/>
  </w:num>
  <w:num w:numId="24">
    <w:abstractNumId w:val="13"/>
  </w:num>
  <w:num w:numId="25">
    <w:abstractNumId w:val="12"/>
  </w:num>
  <w:num w:numId="26">
    <w:abstractNumId w:val="22"/>
  </w:num>
  <w:num w:numId="27">
    <w:abstractNumId w:val="23"/>
  </w:num>
  <w:num w:numId="28">
    <w:abstractNumId w:val="7"/>
  </w:num>
  <w:num w:numId="29">
    <w:abstractNumId w:val="4"/>
    <w:lvlOverride w:ilvl="0">
      <w:lvl w:ilvl="0">
        <w:start w:val="1"/>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30">
    <w:abstractNumId w:val="4"/>
    <w:lvlOverride w:ilvl="0">
      <w:lvl w:ilvl="0">
        <w:start w:val="1"/>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31">
    <w:abstractNumId w:val="4"/>
    <w:lvlOverride w:ilvl="0">
      <w:lvl w:ilvl="0">
        <w:start w:val="1"/>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32">
    <w:abstractNumId w:val="4"/>
    <w:lvlOverride w:ilvl="0">
      <w:lvl w:ilvl="0">
        <w:start w:val="1"/>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0" w:nlCheck="1" w:checkStyle="1"/>
  <w:activeWritingStyle w:appName="MSWord" w:lang="en-US" w:vendorID="64" w:dllVersion="0" w:nlCheck="1" w:checkStyle="1"/>
  <w:activeWritingStyle w:appName="MSWord" w:lang="en-GB" w:vendorID="64" w:dllVersion="0" w:nlCheck="1" w:checkStyle="1"/>
  <w:activeWritingStyle w:appName="MSWord" w:lang="es-ES" w:vendorID="64" w:dllVersion="0" w:nlCheck="1" w:checkStyle="1"/>
  <w:activeWritingStyle w:appName="MSWord" w:lang="en-CA" w:vendorID="64" w:dllVersion="0" w:nlCheck="1" w:checkStyle="0"/>
  <w:activeWritingStyle w:appName="MSWord" w:lang="en-AU" w:vendorID="64" w:dllVersion="0" w:nlCheck="1" w:checkStyle="1"/>
  <w:activeWritingStyle w:appName="MSWord" w:lang="en-GB" w:vendorID="64" w:dllVersion="131078" w:nlCheck="1" w:checkStyle="1"/>
  <w:activeWritingStyle w:appName="MSWord" w:lang="en-US" w:vendorID="64" w:dllVersion="131078"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624"/>
  <w:hyphenationZone w:val="425"/>
  <w:evenAndOddHeaders/>
  <w:noPunctuationKerning/>
  <w:characterSpacingControl w:val="doNotCompress"/>
  <w:hdrShapeDefaults>
    <o:shapedefaults v:ext="edit" spidmax="1638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69C"/>
    <w:rsid w:val="00003921"/>
    <w:rsid w:val="0000555B"/>
    <w:rsid w:val="00006052"/>
    <w:rsid w:val="00006CE4"/>
    <w:rsid w:val="0001191E"/>
    <w:rsid w:val="000149E6"/>
    <w:rsid w:val="00014CFB"/>
    <w:rsid w:val="00017330"/>
    <w:rsid w:val="00020177"/>
    <w:rsid w:val="00021207"/>
    <w:rsid w:val="000247B0"/>
    <w:rsid w:val="00025AE8"/>
    <w:rsid w:val="00025DEB"/>
    <w:rsid w:val="00026997"/>
    <w:rsid w:val="000300BD"/>
    <w:rsid w:val="00030AF7"/>
    <w:rsid w:val="00031D82"/>
    <w:rsid w:val="00033E0B"/>
    <w:rsid w:val="000341A9"/>
    <w:rsid w:val="00034B77"/>
    <w:rsid w:val="00035EDE"/>
    <w:rsid w:val="00036B28"/>
    <w:rsid w:val="00041597"/>
    <w:rsid w:val="000509B4"/>
    <w:rsid w:val="00051324"/>
    <w:rsid w:val="0005757C"/>
    <w:rsid w:val="00057E67"/>
    <w:rsid w:val="0006010A"/>
    <w:rsid w:val="000632ED"/>
    <w:rsid w:val="00071886"/>
    <w:rsid w:val="000742BC"/>
    <w:rsid w:val="00076101"/>
    <w:rsid w:val="0007661E"/>
    <w:rsid w:val="00077E14"/>
    <w:rsid w:val="0008286C"/>
    <w:rsid w:val="00082A0C"/>
    <w:rsid w:val="000832B0"/>
    <w:rsid w:val="000876D1"/>
    <w:rsid w:val="00087FE3"/>
    <w:rsid w:val="00093CF8"/>
    <w:rsid w:val="00094EB4"/>
    <w:rsid w:val="00095D63"/>
    <w:rsid w:val="00096251"/>
    <w:rsid w:val="0009640C"/>
    <w:rsid w:val="00097E3D"/>
    <w:rsid w:val="000A4B70"/>
    <w:rsid w:val="000A7510"/>
    <w:rsid w:val="000B0FAA"/>
    <w:rsid w:val="000B3A99"/>
    <w:rsid w:val="000C0200"/>
    <w:rsid w:val="000C21BB"/>
    <w:rsid w:val="000C22D0"/>
    <w:rsid w:val="000C243C"/>
    <w:rsid w:val="000C44E3"/>
    <w:rsid w:val="000C4CC3"/>
    <w:rsid w:val="000C5F60"/>
    <w:rsid w:val="000C73CD"/>
    <w:rsid w:val="000C7C65"/>
    <w:rsid w:val="000D05AC"/>
    <w:rsid w:val="000D22A2"/>
    <w:rsid w:val="000D2E8F"/>
    <w:rsid w:val="000D33C0"/>
    <w:rsid w:val="000D3AC6"/>
    <w:rsid w:val="000D528E"/>
    <w:rsid w:val="000D5911"/>
    <w:rsid w:val="000D5DC7"/>
    <w:rsid w:val="000D6974"/>
    <w:rsid w:val="000E06B3"/>
    <w:rsid w:val="000E098D"/>
    <w:rsid w:val="000E6D1D"/>
    <w:rsid w:val="000E7DB2"/>
    <w:rsid w:val="000F09D8"/>
    <w:rsid w:val="000F23F3"/>
    <w:rsid w:val="000F6BE6"/>
    <w:rsid w:val="00103242"/>
    <w:rsid w:val="001035E9"/>
    <w:rsid w:val="00103943"/>
    <w:rsid w:val="001052DF"/>
    <w:rsid w:val="0010641C"/>
    <w:rsid w:val="00106A3F"/>
    <w:rsid w:val="00107140"/>
    <w:rsid w:val="0011005C"/>
    <w:rsid w:val="001124E8"/>
    <w:rsid w:val="00113FA0"/>
    <w:rsid w:val="00117380"/>
    <w:rsid w:val="00117DB3"/>
    <w:rsid w:val="001202E3"/>
    <w:rsid w:val="00122FDF"/>
    <w:rsid w:val="001237D9"/>
    <w:rsid w:val="00124A3A"/>
    <w:rsid w:val="001271E3"/>
    <w:rsid w:val="0012759F"/>
    <w:rsid w:val="0013059D"/>
    <w:rsid w:val="00130762"/>
    <w:rsid w:val="00130AB5"/>
    <w:rsid w:val="00130C26"/>
    <w:rsid w:val="00132137"/>
    <w:rsid w:val="00132557"/>
    <w:rsid w:val="00132D7D"/>
    <w:rsid w:val="00133AAE"/>
    <w:rsid w:val="00134C84"/>
    <w:rsid w:val="00135253"/>
    <w:rsid w:val="00137629"/>
    <w:rsid w:val="001379E4"/>
    <w:rsid w:val="00141A55"/>
    <w:rsid w:val="00141EDA"/>
    <w:rsid w:val="00143756"/>
    <w:rsid w:val="0014607A"/>
    <w:rsid w:val="00146ADF"/>
    <w:rsid w:val="001516F9"/>
    <w:rsid w:val="001518E9"/>
    <w:rsid w:val="001519DE"/>
    <w:rsid w:val="00151EEC"/>
    <w:rsid w:val="00152D38"/>
    <w:rsid w:val="00153BD8"/>
    <w:rsid w:val="00154589"/>
    <w:rsid w:val="00154905"/>
    <w:rsid w:val="001562F8"/>
    <w:rsid w:val="0015670B"/>
    <w:rsid w:val="00156B87"/>
    <w:rsid w:val="0015712B"/>
    <w:rsid w:val="001612FF"/>
    <w:rsid w:val="00164402"/>
    <w:rsid w:val="001672CA"/>
    <w:rsid w:val="00167CA8"/>
    <w:rsid w:val="001701F4"/>
    <w:rsid w:val="0017481F"/>
    <w:rsid w:val="00176C6E"/>
    <w:rsid w:val="00177755"/>
    <w:rsid w:val="00180271"/>
    <w:rsid w:val="001811EB"/>
    <w:rsid w:val="00181EC8"/>
    <w:rsid w:val="00181F62"/>
    <w:rsid w:val="00182897"/>
    <w:rsid w:val="00183801"/>
    <w:rsid w:val="0018389F"/>
    <w:rsid w:val="00184349"/>
    <w:rsid w:val="00184646"/>
    <w:rsid w:val="00184897"/>
    <w:rsid w:val="00187F17"/>
    <w:rsid w:val="0019118B"/>
    <w:rsid w:val="00192998"/>
    <w:rsid w:val="0019341D"/>
    <w:rsid w:val="0019457E"/>
    <w:rsid w:val="0019497E"/>
    <w:rsid w:val="00195718"/>
    <w:rsid w:val="00195919"/>
    <w:rsid w:val="00195A76"/>
    <w:rsid w:val="00197911"/>
    <w:rsid w:val="001A2209"/>
    <w:rsid w:val="001A4BA6"/>
    <w:rsid w:val="001A7546"/>
    <w:rsid w:val="001B0E6D"/>
    <w:rsid w:val="001B12FB"/>
    <w:rsid w:val="001B15B1"/>
    <w:rsid w:val="001B35BC"/>
    <w:rsid w:val="001B36C1"/>
    <w:rsid w:val="001B5CE4"/>
    <w:rsid w:val="001B75ED"/>
    <w:rsid w:val="001C22A7"/>
    <w:rsid w:val="001C2885"/>
    <w:rsid w:val="001C3F04"/>
    <w:rsid w:val="001C5CA6"/>
    <w:rsid w:val="001D0C2B"/>
    <w:rsid w:val="001D2B0E"/>
    <w:rsid w:val="001D358C"/>
    <w:rsid w:val="001D3686"/>
    <w:rsid w:val="001D3874"/>
    <w:rsid w:val="001D7E0C"/>
    <w:rsid w:val="001D7E75"/>
    <w:rsid w:val="001E1E02"/>
    <w:rsid w:val="001E2B8D"/>
    <w:rsid w:val="001E3210"/>
    <w:rsid w:val="001E4C4C"/>
    <w:rsid w:val="001E4D70"/>
    <w:rsid w:val="001E5474"/>
    <w:rsid w:val="001E56D2"/>
    <w:rsid w:val="001E7D56"/>
    <w:rsid w:val="001F2AD7"/>
    <w:rsid w:val="001F2F06"/>
    <w:rsid w:val="001F4B6A"/>
    <w:rsid w:val="001F75DE"/>
    <w:rsid w:val="00200A5F"/>
    <w:rsid w:val="00200D58"/>
    <w:rsid w:val="002013BE"/>
    <w:rsid w:val="00205AB2"/>
    <w:rsid w:val="002063A4"/>
    <w:rsid w:val="00206CEF"/>
    <w:rsid w:val="00210198"/>
    <w:rsid w:val="0021071D"/>
    <w:rsid w:val="0021145B"/>
    <w:rsid w:val="00212028"/>
    <w:rsid w:val="00212206"/>
    <w:rsid w:val="00212D4B"/>
    <w:rsid w:val="002140F5"/>
    <w:rsid w:val="0021455A"/>
    <w:rsid w:val="00214BFD"/>
    <w:rsid w:val="00216C2B"/>
    <w:rsid w:val="002178D4"/>
    <w:rsid w:val="00220A1D"/>
    <w:rsid w:val="00220CB2"/>
    <w:rsid w:val="002256FB"/>
    <w:rsid w:val="002259DF"/>
    <w:rsid w:val="002266A7"/>
    <w:rsid w:val="002301F4"/>
    <w:rsid w:val="0023177B"/>
    <w:rsid w:val="00232BBD"/>
    <w:rsid w:val="00233E10"/>
    <w:rsid w:val="0023538F"/>
    <w:rsid w:val="00240352"/>
    <w:rsid w:val="00240FEE"/>
    <w:rsid w:val="00241DE0"/>
    <w:rsid w:val="00244B65"/>
    <w:rsid w:val="0024528A"/>
    <w:rsid w:val="00245718"/>
    <w:rsid w:val="00245C5E"/>
    <w:rsid w:val="00247707"/>
    <w:rsid w:val="00250ABC"/>
    <w:rsid w:val="00252D5E"/>
    <w:rsid w:val="0025400D"/>
    <w:rsid w:val="002574DF"/>
    <w:rsid w:val="002576DC"/>
    <w:rsid w:val="00257BF1"/>
    <w:rsid w:val="00260572"/>
    <w:rsid w:val="00261385"/>
    <w:rsid w:val="00261B62"/>
    <w:rsid w:val="00261CD1"/>
    <w:rsid w:val="002666EB"/>
    <w:rsid w:val="00266DE2"/>
    <w:rsid w:val="002703F0"/>
    <w:rsid w:val="00271F4D"/>
    <w:rsid w:val="0027252E"/>
    <w:rsid w:val="00273FE6"/>
    <w:rsid w:val="00275FB0"/>
    <w:rsid w:val="002763BC"/>
    <w:rsid w:val="00280B5D"/>
    <w:rsid w:val="00286740"/>
    <w:rsid w:val="00290618"/>
    <w:rsid w:val="002929D8"/>
    <w:rsid w:val="002951ED"/>
    <w:rsid w:val="002973D5"/>
    <w:rsid w:val="002A070C"/>
    <w:rsid w:val="002A0D8B"/>
    <w:rsid w:val="002A237D"/>
    <w:rsid w:val="002A4C53"/>
    <w:rsid w:val="002A63B2"/>
    <w:rsid w:val="002A6864"/>
    <w:rsid w:val="002B550E"/>
    <w:rsid w:val="002B5665"/>
    <w:rsid w:val="002C145D"/>
    <w:rsid w:val="002C2754"/>
    <w:rsid w:val="002C2C3E"/>
    <w:rsid w:val="002C5255"/>
    <w:rsid w:val="002C533E"/>
    <w:rsid w:val="002C7F6B"/>
    <w:rsid w:val="002D027F"/>
    <w:rsid w:val="002D10B2"/>
    <w:rsid w:val="002D2B28"/>
    <w:rsid w:val="002D460B"/>
    <w:rsid w:val="002D56C9"/>
    <w:rsid w:val="002D6F67"/>
    <w:rsid w:val="002D7B60"/>
    <w:rsid w:val="002D7B64"/>
    <w:rsid w:val="002E03CD"/>
    <w:rsid w:val="002E23A4"/>
    <w:rsid w:val="002E3906"/>
    <w:rsid w:val="002E4D19"/>
    <w:rsid w:val="002E7CE1"/>
    <w:rsid w:val="002F2500"/>
    <w:rsid w:val="002F4761"/>
    <w:rsid w:val="002F717E"/>
    <w:rsid w:val="00302FF7"/>
    <w:rsid w:val="00303D06"/>
    <w:rsid w:val="00304F33"/>
    <w:rsid w:val="00306FEE"/>
    <w:rsid w:val="00310DD5"/>
    <w:rsid w:val="00312144"/>
    <w:rsid w:val="003124C5"/>
    <w:rsid w:val="0031269C"/>
    <w:rsid w:val="00312DCA"/>
    <w:rsid w:val="0031413F"/>
    <w:rsid w:val="003148F8"/>
    <w:rsid w:val="00314D5A"/>
    <w:rsid w:val="003158CB"/>
    <w:rsid w:val="00315E78"/>
    <w:rsid w:val="0031602F"/>
    <w:rsid w:val="00316664"/>
    <w:rsid w:val="003200FB"/>
    <w:rsid w:val="003253F2"/>
    <w:rsid w:val="00325F6C"/>
    <w:rsid w:val="00326C2E"/>
    <w:rsid w:val="00332201"/>
    <w:rsid w:val="00337E54"/>
    <w:rsid w:val="00340FF7"/>
    <w:rsid w:val="00344B2D"/>
    <w:rsid w:val="00346384"/>
    <w:rsid w:val="00350A63"/>
    <w:rsid w:val="00355EA9"/>
    <w:rsid w:val="00360BF0"/>
    <w:rsid w:val="00362C0F"/>
    <w:rsid w:val="003657CE"/>
    <w:rsid w:val="0036753F"/>
    <w:rsid w:val="0036797B"/>
    <w:rsid w:val="0037070A"/>
    <w:rsid w:val="003707F1"/>
    <w:rsid w:val="00370830"/>
    <w:rsid w:val="00372E86"/>
    <w:rsid w:val="00373731"/>
    <w:rsid w:val="003771FB"/>
    <w:rsid w:val="003778D3"/>
    <w:rsid w:val="00380877"/>
    <w:rsid w:val="00380A7F"/>
    <w:rsid w:val="00382EF2"/>
    <w:rsid w:val="0038514B"/>
    <w:rsid w:val="00386B18"/>
    <w:rsid w:val="00386E3D"/>
    <w:rsid w:val="003939E6"/>
    <w:rsid w:val="003955EA"/>
    <w:rsid w:val="00396143"/>
    <w:rsid w:val="00396257"/>
    <w:rsid w:val="003968ED"/>
    <w:rsid w:val="00396F2D"/>
    <w:rsid w:val="00396F70"/>
    <w:rsid w:val="00397CB7"/>
    <w:rsid w:val="00397EB8"/>
    <w:rsid w:val="003A1CFD"/>
    <w:rsid w:val="003A4F8A"/>
    <w:rsid w:val="003A4FD0"/>
    <w:rsid w:val="003A53F6"/>
    <w:rsid w:val="003A59D7"/>
    <w:rsid w:val="003A5F23"/>
    <w:rsid w:val="003A69D1"/>
    <w:rsid w:val="003B0FEA"/>
    <w:rsid w:val="003B1545"/>
    <w:rsid w:val="003B20FA"/>
    <w:rsid w:val="003B2E94"/>
    <w:rsid w:val="003B70F5"/>
    <w:rsid w:val="003B7C52"/>
    <w:rsid w:val="003C21FB"/>
    <w:rsid w:val="003C34F9"/>
    <w:rsid w:val="003C409D"/>
    <w:rsid w:val="003D1956"/>
    <w:rsid w:val="003D2830"/>
    <w:rsid w:val="003D3816"/>
    <w:rsid w:val="003D4EB4"/>
    <w:rsid w:val="003D57D5"/>
    <w:rsid w:val="003D76C3"/>
    <w:rsid w:val="003E1C3A"/>
    <w:rsid w:val="003E1FD5"/>
    <w:rsid w:val="003E33BC"/>
    <w:rsid w:val="003E6697"/>
    <w:rsid w:val="003E77F5"/>
    <w:rsid w:val="003F0E85"/>
    <w:rsid w:val="003F53EE"/>
    <w:rsid w:val="003F60DF"/>
    <w:rsid w:val="003F697A"/>
    <w:rsid w:val="004035FD"/>
    <w:rsid w:val="00405689"/>
    <w:rsid w:val="00410C55"/>
    <w:rsid w:val="004133DC"/>
    <w:rsid w:val="004148C0"/>
    <w:rsid w:val="00414C96"/>
    <w:rsid w:val="0041580F"/>
    <w:rsid w:val="004162C3"/>
    <w:rsid w:val="00417725"/>
    <w:rsid w:val="00417DA2"/>
    <w:rsid w:val="004219FE"/>
    <w:rsid w:val="004258E8"/>
    <w:rsid w:val="00426A8F"/>
    <w:rsid w:val="004271B3"/>
    <w:rsid w:val="00433E56"/>
    <w:rsid w:val="00434ABE"/>
    <w:rsid w:val="00434E92"/>
    <w:rsid w:val="00435133"/>
    <w:rsid w:val="00435D2F"/>
    <w:rsid w:val="00435E3D"/>
    <w:rsid w:val="00436CD0"/>
    <w:rsid w:val="00437F26"/>
    <w:rsid w:val="00441510"/>
    <w:rsid w:val="0044276C"/>
    <w:rsid w:val="0044311A"/>
    <w:rsid w:val="00443FCA"/>
    <w:rsid w:val="00445B5F"/>
    <w:rsid w:val="004475AC"/>
    <w:rsid w:val="004513E4"/>
    <w:rsid w:val="004543F7"/>
    <w:rsid w:val="00454435"/>
    <w:rsid w:val="00454769"/>
    <w:rsid w:val="00460B64"/>
    <w:rsid w:val="00461050"/>
    <w:rsid w:val="004621B3"/>
    <w:rsid w:val="004626F8"/>
    <w:rsid w:val="00463D15"/>
    <w:rsid w:val="00465400"/>
    <w:rsid w:val="0046582A"/>
    <w:rsid w:val="00466991"/>
    <w:rsid w:val="0047064C"/>
    <w:rsid w:val="00473C0D"/>
    <w:rsid w:val="00475F71"/>
    <w:rsid w:val="004765AF"/>
    <w:rsid w:val="00477092"/>
    <w:rsid w:val="00477258"/>
    <w:rsid w:val="00481809"/>
    <w:rsid w:val="004820DA"/>
    <w:rsid w:val="0048213A"/>
    <w:rsid w:val="00484308"/>
    <w:rsid w:val="00494861"/>
    <w:rsid w:val="00495C71"/>
    <w:rsid w:val="004969CB"/>
    <w:rsid w:val="004971AE"/>
    <w:rsid w:val="004A03C7"/>
    <w:rsid w:val="004A0918"/>
    <w:rsid w:val="004A2E45"/>
    <w:rsid w:val="004A2FEB"/>
    <w:rsid w:val="004A333E"/>
    <w:rsid w:val="004A3D30"/>
    <w:rsid w:val="004A4268"/>
    <w:rsid w:val="004A7BC0"/>
    <w:rsid w:val="004B04D7"/>
    <w:rsid w:val="004B1652"/>
    <w:rsid w:val="004B205E"/>
    <w:rsid w:val="004B23C6"/>
    <w:rsid w:val="004B32A0"/>
    <w:rsid w:val="004B6C8C"/>
    <w:rsid w:val="004B7F29"/>
    <w:rsid w:val="004C026B"/>
    <w:rsid w:val="004C04E5"/>
    <w:rsid w:val="004C0A65"/>
    <w:rsid w:val="004C28FC"/>
    <w:rsid w:val="004C3182"/>
    <w:rsid w:val="004C48EF"/>
    <w:rsid w:val="004C4ECC"/>
    <w:rsid w:val="004C5C96"/>
    <w:rsid w:val="004C6B9D"/>
    <w:rsid w:val="004C7A6D"/>
    <w:rsid w:val="004D038D"/>
    <w:rsid w:val="004D06A4"/>
    <w:rsid w:val="004D56D5"/>
    <w:rsid w:val="004D7051"/>
    <w:rsid w:val="004E0E6D"/>
    <w:rsid w:val="004E115A"/>
    <w:rsid w:val="004E22F9"/>
    <w:rsid w:val="004E556C"/>
    <w:rsid w:val="004E5CD1"/>
    <w:rsid w:val="004E7571"/>
    <w:rsid w:val="004E7D79"/>
    <w:rsid w:val="004F198F"/>
    <w:rsid w:val="004F1A81"/>
    <w:rsid w:val="004F2239"/>
    <w:rsid w:val="004F50E7"/>
    <w:rsid w:val="004F54D8"/>
    <w:rsid w:val="00501A2E"/>
    <w:rsid w:val="00502E38"/>
    <w:rsid w:val="0050761B"/>
    <w:rsid w:val="005077F9"/>
    <w:rsid w:val="00511100"/>
    <w:rsid w:val="00511605"/>
    <w:rsid w:val="00513095"/>
    <w:rsid w:val="00513373"/>
    <w:rsid w:val="00515482"/>
    <w:rsid w:val="005171FE"/>
    <w:rsid w:val="005210D4"/>
    <w:rsid w:val="005218D9"/>
    <w:rsid w:val="00524CAE"/>
    <w:rsid w:val="00526730"/>
    <w:rsid w:val="00526D3F"/>
    <w:rsid w:val="00527F58"/>
    <w:rsid w:val="00533514"/>
    <w:rsid w:val="00534712"/>
    <w:rsid w:val="00535539"/>
    <w:rsid w:val="00535E7E"/>
    <w:rsid w:val="00535ED2"/>
    <w:rsid w:val="00536186"/>
    <w:rsid w:val="00537A9C"/>
    <w:rsid w:val="00543DC5"/>
    <w:rsid w:val="0054444A"/>
    <w:rsid w:val="005454F0"/>
    <w:rsid w:val="00546FF7"/>
    <w:rsid w:val="00551D11"/>
    <w:rsid w:val="00552A81"/>
    <w:rsid w:val="00553150"/>
    <w:rsid w:val="005532BA"/>
    <w:rsid w:val="00554388"/>
    <w:rsid w:val="00554B0C"/>
    <w:rsid w:val="00555EAE"/>
    <w:rsid w:val="00560F23"/>
    <w:rsid w:val="0056244F"/>
    <w:rsid w:val="0056284D"/>
    <w:rsid w:val="00563C5D"/>
    <w:rsid w:val="00566FCA"/>
    <w:rsid w:val="005702C8"/>
    <w:rsid w:val="005714D4"/>
    <w:rsid w:val="00572CDD"/>
    <w:rsid w:val="0057315F"/>
    <w:rsid w:val="005741D8"/>
    <w:rsid w:val="00576C83"/>
    <w:rsid w:val="005773F6"/>
    <w:rsid w:val="00577A45"/>
    <w:rsid w:val="00584F2F"/>
    <w:rsid w:val="00585D6B"/>
    <w:rsid w:val="00586BA8"/>
    <w:rsid w:val="005910C7"/>
    <w:rsid w:val="00592109"/>
    <w:rsid w:val="0059222C"/>
    <w:rsid w:val="005923D9"/>
    <w:rsid w:val="005928CB"/>
    <w:rsid w:val="005A49C7"/>
    <w:rsid w:val="005A4C43"/>
    <w:rsid w:val="005A5CE1"/>
    <w:rsid w:val="005A7A30"/>
    <w:rsid w:val="005A7BE1"/>
    <w:rsid w:val="005A7C0E"/>
    <w:rsid w:val="005B10F0"/>
    <w:rsid w:val="005B32D9"/>
    <w:rsid w:val="005B35EB"/>
    <w:rsid w:val="005B47F4"/>
    <w:rsid w:val="005B4B41"/>
    <w:rsid w:val="005B70FF"/>
    <w:rsid w:val="005B7550"/>
    <w:rsid w:val="005C00F1"/>
    <w:rsid w:val="005C04A9"/>
    <w:rsid w:val="005C2913"/>
    <w:rsid w:val="005C38E3"/>
    <w:rsid w:val="005C634D"/>
    <w:rsid w:val="005C67C8"/>
    <w:rsid w:val="005C7AD6"/>
    <w:rsid w:val="005D0249"/>
    <w:rsid w:val="005D12E2"/>
    <w:rsid w:val="005D1A04"/>
    <w:rsid w:val="005D237C"/>
    <w:rsid w:val="005D23B1"/>
    <w:rsid w:val="005D348F"/>
    <w:rsid w:val="005D3723"/>
    <w:rsid w:val="005D3D31"/>
    <w:rsid w:val="005D54FA"/>
    <w:rsid w:val="005D62F6"/>
    <w:rsid w:val="005E1131"/>
    <w:rsid w:val="005E3E66"/>
    <w:rsid w:val="005E584E"/>
    <w:rsid w:val="005E5A37"/>
    <w:rsid w:val="005F100C"/>
    <w:rsid w:val="005F1D9B"/>
    <w:rsid w:val="005F6A27"/>
    <w:rsid w:val="00605AC1"/>
    <w:rsid w:val="0060681C"/>
    <w:rsid w:val="006105A1"/>
    <w:rsid w:val="00613BF9"/>
    <w:rsid w:val="00614C3E"/>
    <w:rsid w:val="00615352"/>
    <w:rsid w:val="0061618C"/>
    <w:rsid w:val="006161D5"/>
    <w:rsid w:val="00616735"/>
    <w:rsid w:val="00617AB3"/>
    <w:rsid w:val="006214E7"/>
    <w:rsid w:val="00621866"/>
    <w:rsid w:val="006256CE"/>
    <w:rsid w:val="00625A96"/>
    <w:rsid w:val="00625AD7"/>
    <w:rsid w:val="006303B4"/>
    <w:rsid w:val="006314FD"/>
    <w:rsid w:val="0063244C"/>
    <w:rsid w:val="00632E89"/>
    <w:rsid w:val="006336C4"/>
    <w:rsid w:val="0063463F"/>
    <w:rsid w:val="0063589A"/>
    <w:rsid w:val="00636E05"/>
    <w:rsid w:val="00640923"/>
    <w:rsid w:val="00641703"/>
    <w:rsid w:val="006420D4"/>
    <w:rsid w:val="0064236E"/>
    <w:rsid w:val="00642A9B"/>
    <w:rsid w:val="006431A6"/>
    <w:rsid w:val="006463F6"/>
    <w:rsid w:val="00646A69"/>
    <w:rsid w:val="0064711B"/>
    <w:rsid w:val="00647C53"/>
    <w:rsid w:val="00647F3D"/>
    <w:rsid w:val="006501AD"/>
    <w:rsid w:val="00650D74"/>
    <w:rsid w:val="00651745"/>
    <w:rsid w:val="00651BFA"/>
    <w:rsid w:val="0065311D"/>
    <w:rsid w:val="0065568E"/>
    <w:rsid w:val="00655E73"/>
    <w:rsid w:val="00655EAC"/>
    <w:rsid w:val="00655EDA"/>
    <w:rsid w:val="00657004"/>
    <w:rsid w:val="006618E6"/>
    <w:rsid w:val="00662235"/>
    <w:rsid w:val="00667B1C"/>
    <w:rsid w:val="00672A19"/>
    <w:rsid w:val="00672ACE"/>
    <w:rsid w:val="0067504C"/>
    <w:rsid w:val="006752A7"/>
    <w:rsid w:val="00677EF3"/>
    <w:rsid w:val="006842BA"/>
    <w:rsid w:val="006869CF"/>
    <w:rsid w:val="006923A3"/>
    <w:rsid w:val="00692E2A"/>
    <w:rsid w:val="00693FF4"/>
    <w:rsid w:val="00694851"/>
    <w:rsid w:val="00694FB5"/>
    <w:rsid w:val="0069690E"/>
    <w:rsid w:val="006973B9"/>
    <w:rsid w:val="00697448"/>
    <w:rsid w:val="006A1161"/>
    <w:rsid w:val="006A285E"/>
    <w:rsid w:val="006A3E2C"/>
    <w:rsid w:val="006A67BA"/>
    <w:rsid w:val="006A76F2"/>
    <w:rsid w:val="006B3AFD"/>
    <w:rsid w:val="006B3E16"/>
    <w:rsid w:val="006B4F9C"/>
    <w:rsid w:val="006B5CD4"/>
    <w:rsid w:val="006B6BCD"/>
    <w:rsid w:val="006C3BA7"/>
    <w:rsid w:val="006C55F6"/>
    <w:rsid w:val="006C65A5"/>
    <w:rsid w:val="006C756E"/>
    <w:rsid w:val="006C7891"/>
    <w:rsid w:val="006D4C3D"/>
    <w:rsid w:val="006D6113"/>
    <w:rsid w:val="006D6ED5"/>
    <w:rsid w:val="006E0A39"/>
    <w:rsid w:val="006E0D72"/>
    <w:rsid w:val="006E2690"/>
    <w:rsid w:val="006E389C"/>
    <w:rsid w:val="006E403A"/>
    <w:rsid w:val="006E4D29"/>
    <w:rsid w:val="006E5778"/>
    <w:rsid w:val="006E5D0B"/>
    <w:rsid w:val="006E6722"/>
    <w:rsid w:val="006E7DF6"/>
    <w:rsid w:val="006F2C30"/>
    <w:rsid w:val="006F3932"/>
    <w:rsid w:val="00700173"/>
    <w:rsid w:val="00701CFE"/>
    <w:rsid w:val="007022CB"/>
    <w:rsid w:val="007027B9"/>
    <w:rsid w:val="007029AC"/>
    <w:rsid w:val="00702F77"/>
    <w:rsid w:val="00705929"/>
    <w:rsid w:val="007071AF"/>
    <w:rsid w:val="0071072C"/>
    <w:rsid w:val="007128F1"/>
    <w:rsid w:val="007138F1"/>
    <w:rsid w:val="00715700"/>
    <w:rsid w:val="00715E88"/>
    <w:rsid w:val="00717A5B"/>
    <w:rsid w:val="00720BC9"/>
    <w:rsid w:val="007217A9"/>
    <w:rsid w:val="00721B3B"/>
    <w:rsid w:val="00724CB9"/>
    <w:rsid w:val="00724FB9"/>
    <w:rsid w:val="007303B9"/>
    <w:rsid w:val="007313B5"/>
    <w:rsid w:val="00731A3E"/>
    <w:rsid w:val="00731C37"/>
    <w:rsid w:val="007335B8"/>
    <w:rsid w:val="00733EAE"/>
    <w:rsid w:val="00734CAA"/>
    <w:rsid w:val="007357C8"/>
    <w:rsid w:val="00735B72"/>
    <w:rsid w:val="007368C5"/>
    <w:rsid w:val="00736990"/>
    <w:rsid w:val="00741D58"/>
    <w:rsid w:val="00742240"/>
    <w:rsid w:val="00742A98"/>
    <w:rsid w:val="00742AEA"/>
    <w:rsid w:val="00742C92"/>
    <w:rsid w:val="007440FC"/>
    <w:rsid w:val="0074431D"/>
    <w:rsid w:val="0074672E"/>
    <w:rsid w:val="00747F4C"/>
    <w:rsid w:val="00753D6A"/>
    <w:rsid w:val="00757581"/>
    <w:rsid w:val="007612E8"/>
    <w:rsid w:val="007615F4"/>
    <w:rsid w:val="00762024"/>
    <w:rsid w:val="00764764"/>
    <w:rsid w:val="00765E6F"/>
    <w:rsid w:val="007714BE"/>
    <w:rsid w:val="00772F90"/>
    <w:rsid w:val="007739D2"/>
    <w:rsid w:val="00776966"/>
    <w:rsid w:val="00777A98"/>
    <w:rsid w:val="00784309"/>
    <w:rsid w:val="007846E4"/>
    <w:rsid w:val="00785676"/>
    <w:rsid w:val="00786F7D"/>
    <w:rsid w:val="00790CAE"/>
    <w:rsid w:val="007954E2"/>
    <w:rsid w:val="0079584B"/>
    <w:rsid w:val="00796057"/>
    <w:rsid w:val="00796102"/>
    <w:rsid w:val="00796478"/>
    <w:rsid w:val="007A3A92"/>
    <w:rsid w:val="007A40AA"/>
    <w:rsid w:val="007A5C12"/>
    <w:rsid w:val="007B0195"/>
    <w:rsid w:val="007B1142"/>
    <w:rsid w:val="007B1690"/>
    <w:rsid w:val="007B18F7"/>
    <w:rsid w:val="007B36A5"/>
    <w:rsid w:val="007B6BFC"/>
    <w:rsid w:val="007C6369"/>
    <w:rsid w:val="007D06D2"/>
    <w:rsid w:val="007D121A"/>
    <w:rsid w:val="007D46DA"/>
    <w:rsid w:val="007D50A1"/>
    <w:rsid w:val="007D50D4"/>
    <w:rsid w:val="007D76E0"/>
    <w:rsid w:val="007D7E79"/>
    <w:rsid w:val="007E003F"/>
    <w:rsid w:val="007E47C6"/>
    <w:rsid w:val="007E70CE"/>
    <w:rsid w:val="007F0782"/>
    <w:rsid w:val="007F2A5F"/>
    <w:rsid w:val="007F60CB"/>
    <w:rsid w:val="007F77C7"/>
    <w:rsid w:val="00800E70"/>
    <w:rsid w:val="00802E07"/>
    <w:rsid w:val="00803B74"/>
    <w:rsid w:val="00807791"/>
    <w:rsid w:val="008103C2"/>
    <w:rsid w:val="008119D1"/>
    <w:rsid w:val="0081290F"/>
    <w:rsid w:val="00812D49"/>
    <w:rsid w:val="00814754"/>
    <w:rsid w:val="008222A6"/>
    <w:rsid w:val="00822D5D"/>
    <w:rsid w:val="0082308D"/>
    <w:rsid w:val="00823F5C"/>
    <w:rsid w:val="008259C5"/>
    <w:rsid w:val="00825E70"/>
    <w:rsid w:val="008260AD"/>
    <w:rsid w:val="008265FD"/>
    <w:rsid w:val="00830585"/>
    <w:rsid w:val="00830E26"/>
    <w:rsid w:val="0083171C"/>
    <w:rsid w:val="00833D33"/>
    <w:rsid w:val="00840564"/>
    <w:rsid w:val="00843576"/>
    <w:rsid w:val="00843B64"/>
    <w:rsid w:val="00844188"/>
    <w:rsid w:val="008444F0"/>
    <w:rsid w:val="0084606B"/>
    <w:rsid w:val="00846F28"/>
    <w:rsid w:val="00850FCF"/>
    <w:rsid w:val="00851187"/>
    <w:rsid w:val="00854FF4"/>
    <w:rsid w:val="00856202"/>
    <w:rsid w:val="00860A08"/>
    <w:rsid w:val="008623BF"/>
    <w:rsid w:val="008653E2"/>
    <w:rsid w:val="008657A9"/>
    <w:rsid w:val="00867BFF"/>
    <w:rsid w:val="0087042D"/>
    <w:rsid w:val="008708CB"/>
    <w:rsid w:val="00870BC2"/>
    <w:rsid w:val="00870E4B"/>
    <w:rsid w:val="00871C73"/>
    <w:rsid w:val="00876D50"/>
    <w:rsid w:val="0088194E"/>
    <w:rsid w:val="0088480A"/>
    <w:rsid w:val="00886BB2"/>
    <w:rsid w:val="00887B76"/>
    <w:rsid w:val="00890829"/>
    <w:rsid w:val="008917AE"/>
    <w:rsid w:val="008923A0"/>
    <w:rsid w:val="008957DD"/>
    <w:rsid w:val="00895810"/>
    <w:rsid w:val="00895F4A"/>
    <w:rsid w:val="00897D98"/>
    <w:rsid w:val="008A2FE3"/>
    <w:rsid w:val="008A51CF"/>
    <w:rsid w:val="008A5E94"/>
    <w:rsid w:val="008A6439"/>
    <w:rsid w:val="008A6DF2"/>
    <w:rsid w:val="008B30BA"/>
    <w:rsid w:val="008B7091"/>
    <w:rsid w:val="008B77D9"/>
    <w:rsid w:val="008B7D3A"/>
    <w:rsid w:val="008C0852"/>
    <w:rsid w:val="008C0D45"/>
    <w:rsid w:val="008C1A32"/>
    <w:rsid w:val="008C2921"/>
    <w:rsid w:val="008C3A60"/>
    <w:rsid w:val="008C3DE5"/>
    <w:rsid w:val="008C419E"/>
    <w:rsid w:val="008C5843"/>
    <w:rsid w:val="008C5ACA"/>
    <w:rsid w:val="008C5E54"/>
    <w:rsid w:val="008D048B"/>
    <w:rsid w:val="008D263A"/>
    <w:rsid w:val="008D4C0E"/>
    <w:rsid w:val="008D6111"/>
    <w:rsid w:val="008D6363"/>
    <w:rsid w:val="008D7C99"/>
    <w:rsid w:val="008E0FCB"/>
    <w:rsid w:val="008E222D"/>
    <w:rsid w:val="008E2782"/>
    <w:rsid w:val="008E2C48"/>
    <w:rsid w:val="008E3922"/>
    <w:rsid w:val="008E55C7"/>
    <w:rsid w:val="008E634D"/>
    <w:rsid w:val="008F1623"/>
    <w:rsid w:val="008F1C4A"/>
    <w:rsid w:val="008F27B1"/>
    <w:rsid w:val="008F2AB5"/>
    <w:rsid w:val="008F4DE8"/>
    <w:rsid w:val="008F5C73"/>
    <w:rsid w:val="008F70AE"/>
    <w:rsid w:val="0090040F"/>
    <w:rsid w:val="00902DFF"/>
    <w:rsid w:val="00902E79"/>
    <w:rsid w:val="00904CF6"/>
    <w:rsid w:val="009079F4"/>
    <w:rsid w:val="00910D2C"/>
    <w:rsid w:val="00911D73"/>
    <w:rsid w:val="00913326"/>
    <w:rsid w:val="00917D3E"/>
    <w:rsid w:val="0092178C"/>
    <w:rsid w:val="00924B38"/>
    <w:rsid w:val="00926025"/>
    <w:rsid w:val="009264AB"/>
    <w:rsid w:val="009267BB"/>
    <w:rsid w:val="00930BD0"/>
    <w:rsid w:val="0093224B"/>
    <w:rsid w:val="00933176"/>
    <w:rsid w:val="009353CE"/>
    <w:rsid w:val="00937E4E"/>
    <w:rsid w:val="009401E6"/>
    <w:rsid w:val="0094179A"/>
    <w:rsid w:val="00941B1E"/>
    <w:rsid w:val="0094459E"/>
    <w:rsid w:val="00944DBC"/>
    <w:rsid w:val="00947732"/>
    <w:rsid w:val="009503D7"/>
    <w:rsid w:val="00950625"/>
    <w:rsid w:val="00950977"/>
    <w:rsid w:val="00951651"/>
    <w:rsid w:val="0095208B"/>
    <w:rsid w:val="009539ED"/>
    <w:rsid w:val="0095518E"/>
    <w:rsid w:val="00955A68"/>
    <w:rsid w:val="009564A6"/>
    <w:rsid w:val="0095720A"/>
    <w:rsid w:val="009575F6"/>
    <w:rsid w:val="00957B7C"/>
    <w:rsid w:val="0096062B"/>
    <w:rsid w:val="009634A6"/>
    <w:rsid w:val="00967E00"/>
    <w:rsid w:val="00970D27"/>
    <w:rsid w:val="0097296E"/>
    <w:rsid w:val="00975655"/>
    <w:rsid w:val="00975900"/>
    <w:rsid w:val="00975B4A"/>
    <w:rsid w:val="00980061"/>
    <w:rsid w:val="00980F4E"/>
    <w:rsid w:val="00984579"/>
    <w:rsid w:val="00985BC9"/>
    <w:rsid w:val="009872AA"/>
    <w:rsid w:val="00990704"/>
    <w:rsid w:val="00991DB4"/>
    <w:rsid w:val="00992D11"/>
    <w:rsid w:val="00992D95"/>
    <w:rsid w:val="00994E70"/>
    <w:rsid w:val="0099519B"/>
    <w:rsid w:val="0099652B"/>
    <w:rsid w:val="009973B2"/>
    <w:rsid w:val="009A1B87"/>
    <w:rsid w:val="009A4235"/>
    <w:rsid w:val="009A7B4D"/>
    <w:rsid w:val="009B1D23"/>
    <w:rsid w:val="009B2185"/>
    <w:rsid w:val="009B4A0F"/>
    <w:rsid w:val="009B6BA6"/>
    <w:rsid w:val="009C5F92"/>
    <w:rsid w:val="009D0B63"/>
    <w:rsid w:val="009D4669"/>
    <w:rsid w:val="009E305A"/>
    <w:rsid w:val="009E3470"/>
    <w:rsid w:val="009E60E8"/>
    <w:rsid w:val="009E7709"/>
    <w:rsid w:val="009F2980"/>
    <w:rsid w:val="009F2DD1"/>
    <w:rsid w:val="009F3953"/>
    <w:rsid w:val="009F67AB"/>
    <w:rsid w:val="00A005D2"/>
    <w:rsid w:val="00A0258E"/>
    <w:rsid w:val="00A03051"/>
    <w:rsid w:val="00A0482A"/>
    <w:rsid w:val="00A0587C"/>
    <w:rsid w:val="00A104B7"/>
    <w:rsid w:val="00A110C8"/>
    <w:rsid w:val="00A1137F"/>
    <w:rsid w:val="00A1348D"/>
    <w:rsid w:val="00A170F4"/>
    <w:rsid w:val="00A2154B"/>
    <w:rsid w:val="00A232EE"/>
    <w:rsid w:val="00A23E46"/>
    <w:rsid w:val="00A27957"/>
    <w:rsid w:val="00A33A13"/>
    <w:rsid w:val="00A35256"/>
    <w:rsid w:val="00A42678"/>
    <w:rsid w:val="00A42B4F"/>
    <w:rsid w:val="00A44411"/>
    <w:rsid w:val="00A44BAF"/>
    <w:rsid w:val="00A469FA"/>
    <w:rsid w:val="00A50935"/>
    <w:rsid w:val="00A5330B"/>
    <w:rsid w:val="00A537AA"/>
    <w:rsid w:val="00A53E38"/>
    <w:rsid w:val="00A54EE7"/>
    <w:rsid w:val="00A55B01"/>
    <w:rsid w:val="00A56B5B"/>
    <w:rsid w:val="00A616BA"/>
    <w:rsid w:val="00A657DD"/>
    <w:rsid w:val="00A65A97"/>
    <w:rsid w:val="00A66215"/>
    <w:rsid w:val="00A662B1"/>
    <w:rsid w:val="00A66608"/>
    <w:rsid w:val="00A666A6"/>
    <w:rsid w:val="00A708C0"/>
    <w:rsid w:val="00A71C55"/>
    <w:rsid w:val="00A72A67"/>
    <w:rsid w:val="00A73384"/>
    <w:rsid w:val="00A73DB4"/>
    <w:rsid w:val="00A74578"/>
    <w:rsid w:val="00A7532C"/>
    <w:rsid w:val="00A80611"/>
    <w:rsid w:val="00A80B58"/>
    <w:rsid w:val="00A82271"/>
    <w:rsid w:val="00A90305"/>
    <w:rsid w:val="00A90D5A"/>
    <w:rsid w:val="00A9595A"/>
    <w:rsid w:val="00AA0170"/>
    <w:rsid w:val="00AA1FE6"/>
    <w:rsid w:val="00AA3E0A"/>
    <w:rsid w:val="00AA4BFE"/>
    <w:rsid w:val="00AA5120"/>
    <w:rsid w:val="00AA55BD"/>
    <w:rsid w:val="00AA5E89"/>
    <w:rsid w:val="00AB3B42"/>
    <w:rsid w:val="00AB3E62"/>
    <w:rsid w:val="00AB5340"/>
    <w:rsid w:val="00AC0C8E"/>
    <w:rsid w:val="00AC0F68"/>
    <w:rsid w:val="00AC3C47"/>
    <w:rsid w:val="00AC486F"/>
    <w:rsid w:val="00AC5736"/>
    <w:rsid w:val="00AC7C96"/>
    <w:rsid w:val="00AD2CC8"/>
    <w:rsid w:val="00AD6AEB"/>
    <w:rsid w:val="00AD731C"/>
    <w:rsid w:val="00AD7500"/>
    <w:rsid w:val="00AE237D"/>
    <w:rsid w:val="00AE4989"/>
    <w:rsid w:val="00AF1253"/>
    <w:rsid w:val="00AF3831"/>
    <w:rsid w:val="00AF5B06"/>
    <w:rsid w:val="00AF5E7A"/>
    <w:rsid w:val="00AF7C07"/>
    <w:rsid w:val="00B01484"/>
    <w:rsid w:val="00B03E52"/>
    <w:rsid w:val="00B0413D"/>
    <w:rsid w:val="00B075FE"/>
    <w:rsid w:val="00B11AA6"/>
    <w:rsid w:val="00B12C21"/>
    <w:rsid w:val="00B13803"/>
    <w:rsid w:val="00B15DB7"/>
    <w:rsid w:val="00B1690D"/>
    <w:rsid w:val="00B2063A"/>
    <w:rsid w:val="00B24EB2"/>
    <w:rsid w:val="00B31465"/>
    <w:rsid w:val="00B31651"/>
    <w:rsid w:val="00B365BC"/>
    <w:rsid w:val="00B36988"/>
    <w:rsid w:val="00B37495"/>
    <w:rsid w:val="00B375AB"/>
    <w:rsid w:val="00B405B7"/>
    <w:rsid w:val="00B40F3D"/>
    <w:rsid w:val="00B415E2"/>
    <w:rsid w:val="00B45D2D"/>
    <w:rsid w:val="00B46A92"/>
    <w:rsid w:val="00B47825"/>
    <w:rsid w:val="00B50841"/>
    <w:rsid w:val="00B51383"/>
    <w:rsid w:val="00B52DB7"/>
    <w:rsid w:val="00B54949"/>
    <w:rsid w:val="00B57726"/>
    <w:rsid w:val="00B6160F"/>
    <w:rsid w:val="00B64C61"/>
    <w:rsid w:val="00B6597B"/>
    <w:rsid w:val="00B66901"/>
    <w:rsid w:val="00B70E40"/>
    <w:rsid w:val="00B71E6D"/>
    <w:rsid w:val="00B72070"/>
    <w:rsid w:val="00B726DE"/>
    <w:rsid w:val="00B7308A"/>
    <w:rsid w:val="00B7417A"/>
    <w:rsid w:val="00B74BE9"/>
    <w:rsid w:val="00B75A97"/>
    <w:rsid w:val="00B779E1"/>
    <w:rsid w:val="00B77E6D"/>
    <w:rsid w:val="00B810DD"/>
    <w:rsid w:val="00B8151C"/>
    <w:rsid w:val="00B84045"/>
    <w:rsid w:val="00B84337"/>
    <w:rsid w:val="00B85E32"/>
    <w:rsid w:val="00B868E0"/>
    <w:rsid w:val="00B869E0"/>
    <w:rsid w:val="00B92B52"/>
    <w:rsid w:val="00B940D0"/>
    <w:rsid w:val="00B9586B"/>
    <w:rsid w:val="00BA04D7"/>
    <w:rsid w:val="00BA176E"/>
    <w:rsid w:val="00BA17EA"/>
    <w:rsid w:val="00BA1A67"/>
    <w:rsid w:val="00BA2F2B"/>
    <w:rsid w:val="00BB4393"/>
    <w:rsid w:val="00BB4E52"/>
    <w:rsid w:val="00BC281C"/>
    <w:rsid w:val="00BC2CAB"/>
    <w:rsid w:val="00BC455B"/>
    <w:rsid w:val="00BC463E"/>
    <w:rsid w:val="00BC46D9"/>
    <w:rsid w:val="00BC721E"/>
    <w:rsid w:val="00BD0AB6"/>
    <w:rsid w:val="00BD1F12"/>
    <w:rsid w:val="00BD1F56"/>
    <w:rsid w:val="00BD2FC8"/>
    <w:rsid w:val="00BD39D8"/>
    <w:rsid w:val="00BD4164"/>
    <w:rsid w:val="00BD467C"/>
    <w:rsid w:val="00BD5B45"/>
    <w:rsid w:val="00BD5CE9"/>
    <w:rsid w:val="00BD662D"/>
    <w:rsid w:val="00BD730B"/>
    <w:rsid w:val="00BD78A0"/>
    <w:rsid w:val="00BD7A65"/>
    <w:rsid w:val="00BE5348"/>
    <w:rsid w:val="00BE6C87"/>
    <w:rsid w:val="00BF0C51"/>
    <w:rsid w:val="00BF65E4"/>
    <w:rsid w:val="00BF716E"/>
    <w:rsid w:val="00C031E9"/>
    <w:rsid w:val="00C1011E"/>
    <w:rsid w:val="00C13D67"/>
    <w:rsid w:val="00C146E0"/>
    <w:rsid w:val="00C14B35"/>
    <w:rsid w:val="00C15316"/>
    <w:rsid w:val="00C16033"/>
    <w:rsid w:val="00C164AA"/>
    <w:rsid w:val="00C17BAF"/>
    <w:rsid w:val="00C22224"/>
    <w:rsid w:val="00C228D0"/>
    <w:rsid w:val="00C24D10"/>
    <w:rsid w:val="00C258B6"/>
    <w:rsid w:val="00C30C63"/>
    <w:rsid w:val="00C353E5"/>
    <w:rsid w:val="00C35EBC"/>
    <w:rsid w:val="00C365E3"/>
    <w:rsid w:val="00C403BA"/>
    <w:rsid w:val="00C40CAE"/>
    <w:rsid w:val="00C40E62"/>
    <w:rsid w:val="00C4277E"/>
    <w:rsid w:val="00C43A48"/>
    <w:rsid w:val="00C467E4"/>
    <w:rsid w:val="00C501C8"/>
    <w:rsid w:val="00C511B9"/>
    <w:rsid w:val="00C514B3"/>
    <w:rsid w:val="00C558DA"/>
    <w:rsid w:val="00C726EA"/>
    <w:rsid w:val="00C73BC2"/>
    <w:rsid w:val="00C74171"/>
    <w:rsid w:val="00C74349"/>
    <w:rsid w:val="00C7701E"/>
    <w:rsid w:val="00C773FB"/>
    <w:rsid w:val="00C81D97"/>
    <w:rsid w:val="00C82100"/>
    <w:rsid w:val="00C82EBE"/>
    <w:rsid w:val="00C84759"/>
    <w:rsid w:val="00C85EE1"/>
    <w:rsid w:val="00C87B52"/>
    <w:rsid w:val="00C92F56"/>
    <w:rsid w:val="00C93971"/>
    <w:rsid w:val="00C940D7"/>
    <w:rsid w:val="00C94EA7"/>
    <w:rsid w:val="00C97C55"/>
    <w:rsid w:val="00CA00B2"/>
    <w:rsid w:val="00CA29B7"/>
    <w:rsid w:val="00CA51C2"/>
    <w:rsid w:val="00CA5761"/>
    <w:rsid w:val="00CA5FA1"/>
    <w:rsid w:val="00CA6C7F"/>
    <w:rsid w:val="00CA70A5"/>
    <w:rsid w:val="00CA714E"/>
    <w:rsid w:val="00CB1879"/>
    <w:rsid w:val="00CB51C6"/>
    <w:rsid w:val="00CC10A6"/>
    <w:rsid w:val="00CC1BBD"/>
    <w:rsid w:val="00CD13D8"/>
    <w:rsid w:val="00CD35BB"/>
    <w:rsid w:val="00CD54B9"/>
    <w:rsid w:val="00CD7044"/>
    <w:rsid w:val="00CD75AB"/>
    <w:rsid w:val="00CE09B2"/>
    <w:rsid w:val="00CE0CFB"/>
    <w:rsid w:val="00CE524C"/>
    <w:rsid w:val="00CE5DD9"/>
    <w:rsid w:val="00CE710D"/>
    <w:rsid w:val="00CF02A2"/>
    <w:rsid w:val="00CF094D"/>
    <w:rsid w:val="00CF0EA2"/>
    <w:rsid w:val="00CF141F"/>
    <w:rsid w:val="00CF4777"/>
    <w:rsid w:val="00CF5165"/>
    <w:rsid w:val="00CF7472"/>
    <w:rsid w:val="00D05281"/>
    <w:rsid w:val="00D100B9"/>
    <w:rsid w:val="00D1187E"/>
    <w:rsid w:val="00D11894"/>
    <w:rsid w:val="00D11DFC"/>
    <w:rsid w:val="00D13F71"/>
    <w:rsid w:val="00D145EA"/>
    <w:rsid w:val="00D1528A"/>
    <w:rsid w:val="00D1618F"/>
    <w:rsid w:val="00D16358"/>
    <w:rsid w:val="00D169AF"/>
    <w:rsid w:val="00D21B32"/>
    <w:rsid w:val="00D221A5"/>
    <w:rsid w:val="00D2520A"/>
    <w:rsid w:val="00D25249"/>
    <w:rsid w:val="00D31423"/>
    <w:rsid w:val="00D337D3"/>
    <w:rsid w:val="00D43BE0"/>
    <w:rsid w:val="00D44172"/>
    <w:rsid w:val="00D44257"/>
    <w:rsid w:val="00D44BF3"/>
    <w:rsid w:val="00D46B50"/>
    <w:rsid w:val="00D47488"/>
    <w:rsid w:val="00D53D80"/>
    <w:rsid w:val="00D54E6C"/>
    <w:rsid w:val="00D63B8C"/>
    <w:rsid w:val="00D6462D"/>
    <w:rsid w:val="00D64752"/>
    <w:rsid w:val="00D65ACF"/>
    <w:rsid w:val="00D7008A"/>
    <w:rsid w:val="00D725E5"/>
    <w:rsid w:val="00D739CC"/>
    <w:rsid w:val="00D7421A"/>
    <w:rsid w:val="00D7707B"/>
    <w:rsid w:val="00D77EC9"/>
    <w:rsid w:val="00D8093D"/>
    <w:rsid w:val="00D8108C"/>
    <w:rsid w:val="00D82320"/>
    <w:rsid w:val="00D83307"/>
    <w:rsid w:val="00D839E1"/>
    <w:rsid w:val="00D842AE"/>
    <w:rsid w:val="00D8665E"/>
    <w:rsid w:val="00D91130"/>
    <w:rsid w:val="00D912D5"/>
    <w:rsid w:val="00D91902"/>
    <w:rsid w:val="00D9211C"/>
    <w:rsid w:val="00D923D0"/>
    <w:rsid w:val="00D92483"/>
    <w:rsid w:val="00D9588D"/>
    <w:rsid w:val="00D95B97"/>
    <w:rsid w:val="00D95D13"/>
    <w:rsid w:val="00D96AB4"/>
    <w:rsid w:val="00D97A06"/>
    <w:rsid w:val="00DA1BCA"/>
    <w:rsid w:val="00DA73D6"/>
    <w:rsid w:val="00DB31CC"/>
    <w:rsid w:val="00DB465F"/>
    <w:rsid w:val="00DB5674"/>
    <w:rsid w:val="00DB6883"/>
    <w:rsid w:val="00DB6E53"/>
    <w:rsid w:val="00DB73D0"/>
    <w:rsid w:val="00DB766E"/>
    <w:rsid w:val="00DC0A25"/>
    <w:rsid w:val="00DC1520"/>
    <w:rsid w:val="00DC1AF9"/>
    <w:rsid w:val="00DC46FF"/>
    <w:rsid w:val="00DD08E3"/>
    <w:rsid w:val="00DD0BF4"/>
    <w:rsid w:val="00DD1A4F"/>
    <w:rsid w:val="00DD23D7"/>
    <w:rsid w:val="00DD3EB4"/>
    <w:rsid w:val="00DD482B"/>
    <w:rsid w:val="00DD4FBE"/>
    <w:rsid w:val="00DD7C2C"/>
    <w:rsid w:val="00DD7F8F"/>
    <w:rsid w:val="00DE1CF2"/>
    <w:rsid w:val="00DE2C19"/>
    <w:rsid w:val="00DE2DEC"/>
    <w:rsid w:val="00DE4C43"/>
    <w:rsid w:val="00DE4F50"/>
    <w:rsid w:val="00DF07B8"/>
    <w:rsid w:val="00DF1166"/>
    <w:rsid w:val="00DF6D5C"/>
    <w:rsid w:val="00E01F4C"/>
    <w:rsid w:val="00E06797"/>
    <w:rsid w:val="00E06940"/>
    <w:rsid w:val="00E07AFA"/>
    <w:rsid w:val="00E107DC"/>
    <w:rsid w:val="00E12223"/>
    <w:rsid w:val="00E14BFD"/>
    <w:rsid w:val="00E15497"/>
    <w:rsid w:val="00E16054"/>
    <w:rsid w:val="00E17AC1"/>
    <w:rsid w:val="00E204AE"/>
    <w:rsid w:val="00E20ECD"/>
    <w:rsid w:val="00E21C83"/>
    <w:rsid w:val="00E26967"/>
    <w:rsid w:val="00E275CF"/>
    <w:rsid w:val="00E332FE"/>
    <w:rsid w:val="00E33DB1"/>
    <w:rsid w:val="00E4551C"/>
    <w:rsid w:val="00E464D9"/>
    <w:rsid w:val="00E46D9A"/>
    <w:rsid w:val="00E47E06"/>
    <w:rsid w:val="00E50C92"/>
    <w:rsid w:val="00E5223B"/>
    <w:rsid w:val="00E52C83"/>
    <w:rsid w:val="00E53986"/>
    <w:rsid w:val="00E54F65"/>
    <w:rsid w:val="00E55129"/>
    <w:rsid w:val="00E565FF"/>
    <w:rsid w:val="00E639B4"/>
    <w:rsid w:val="00E63B6D"/>
    <w:rsid w:val="00E642EA"/>
    <w:rsid w:val="00E64BA0"/>
    <w:rsid w:val="00E65388"/>
    <w:rsid w:val="00E66888"/>
    <w:rsid w:val="00E66A89"/>
    <w:rsid w:val="00E7245D"/>
    <w:rsid w:val="00E75C85"/>
    <w:rsid w:val="00E81155"/>
    <w:rsid w:val="00E85B7D"/>
    <w:rsid w:val="00E86061"/>
    <w:rsid w:val="00E861A7"/>
    <w:rsid w:val="00E86D36"/>
    <w:rsid w:val="00E900EF"/>
    <w:rsid w:val="00E9040D"/>
    <w:rsid w:val="00E9062E"/>
    <w:rsid w:val="00E9121B"/>
    <w:rsid w:val="00E92AEF"/>
    <w:rsid w:val="00E93A9C"/>
    <w:rsid w:val="00E95262"/>
    <w:rsid w:val="00E95F44"/>
    <w:rsid w:val="00E97DC9"/>
    <w:rsid w:val="00EA0653"/>
    <w:rsid w:val="00EA21DC"/>
    <w:rsid w:val="00EA39E5"/>
    <w:rsid w:val="00EA3FD3"/>
    <w:rsid w:val="00EA48FD"/>
    <w:rsid w:val="00EA49D7"/>
    <w:rsid w:val="00EA4D69"/>
    <w:rsid w:val="00EA557B"/>
    <w:rsid w:val="00EA5FC3"/>
    <w:rsid w:val="00EA6646"/>
    <w:rsid w:val="00EA7EAF"/>
    <w:rsid w:val="00EB018C"/>
    <w:rsid w:val="00EB2BE8"/>
    <w:rsid w:val="00EB3A3E"/>
    <w:rsid w:val="00EB4CEE"/>
    <w:rsid w:val="00EB61B3"/>
    <w:rsid w:val="00EB6BA0"/>
    <w:rsid w:val="00EB72F4"/>
    <w:rsid w:val="00EC1111"/>
    <w:rsid w:val="00EC2399"/>
    <w:rsid w:val="00EC3192"/>
    <w:rsid w:val="00EC3F42"/>
    <w:rsid w:val="00EC43A9"/>
    <w:rsid w:val="00EC470B"/>
    <w:rsid w:val="00EC4BAB"/>
    <w:rsid w:val="00EC51E2"/>
    <w:rsid w:val="00EC58F2"/>
    <w:rsid w:val="00EC5A46"/>
    <w:rsid w:val="00EC637D"/>
    <w:rsid w:val="00EC63E2"/>
    <w:rsid w:val="00EC7DD9"/>
    <w:rsid w:val="00EC7FED"/>
    <w:rsid w:val="00ED44D7"/>
    <w:rsid w:val="00ED4D94"/>
    <w:rsid w:val="00EE0629"/>
    <w:rsid w:val="00EE1E5E"/>
    <w:rsid w:val="00EE337C"/>
    <w:rsid w:val="00EE34F1"/>
    <w:rsid w:val="00EE4079"/>
    <w:rsid w:val="00EE5F40"/>
    <w:rsid w:val="00EF048D"/>
    <w:rsid w:val="00EF0BDF"/>
    <w:rsid w:val="00EF22B3"/>
    <w:rsid w:val="00EF3558"/>
    <w:rsid w:val="00EF4B77"/>
    <w:rsid w:val="00EF4CE3"/>
    <w:rsid w:val="00EF52FE"/>
    <w:rsid w:val="00EF56F8"/>
    <w:rsid w:val="00EF600C"/>
    <w:rsid w:val="00EF60CB"/>
    <w:rsid w:val="00EF63D8"/>
    <w:rsid w:val="00EF69EB"/>
    <w:rsid w:val="00F113DA"/>
    <w:rsid w:val="00F117BB"/>
    <w:rsid w:val="00F11A65"/>
    <w:rsid w:val="00F15B6E"/>
    <w:rsid w:val="00F160B6"/>
    <w:rsid w:val="00F20673"/>
    <w:rsid w:val="00F21CE3"/>
    <w:rsid w:val="00F22BC0"/>
    <w:rsid w:val="00F279A7"/>
    <w:rsid w:val="00F27B24"/>
    <w:rsid w:val="00F27B53"/>
    <w:rsid w:val="00F27F7F"/>
    <w:rsid w:val="00F37DC8"/>
    <w:rsid w:val="00F43C2E"/>
    <w:rsid w:val="00F449B2"/>
    <w:rsid w:val="00F44BFE"/>
    <w:rsid w:val="00F46A82"/>
    <w:rsid w:val="00F476D3"/>
    <w:rsid w:val="00F50968"/>
    <w:rsid w:val="00F541DA"/>
    <w:rsid w:val="00F5547D"/>
    <w:rsid w:val="00F558C8"/>
    <w:rsid w:val="00F55FB2"/>
    <w:rsid w:val="00F576B7"/>
    <w:rsid w:val="00F60962"/>
    <w:rsid w:val="00F60E0A"/>
    <w:rsid w:val="00F6300A"/>
    <w:rsid w:val="00F650C3"/>
    <w:rsid w:val="00F655A1"/>
    <w:rsid w:val="00F65FC9"/>
    <w:rsid w:val="00F669F6"/>
    <w:rsid w:val="00F71A78"/>
    <w:rsid w:val="00F72612"/>
    <w:rsid w:val="00F740DA"/>
    <w:rsid w:val="00F7476C"/>
    <w:rsid w:val="00F8091E"/>
    <w:rsid w:val="00F80DDA"/>
    <w:rsid w:val="00F81F7A"/>
    <w:rsid w:val="00F845F5"/>
    <w:rsid w:val="00F84C95"/>
    <w:rsid w:val="00F8615C"/>
    <w:rsid w:val="00F86362"/>
    <w:rsid w:val="00F900D1"/>
    <w:rsid w:val="00F903CE"/>
    <w:rsid w:val="00F90E99"/>
    <w:rsid w:val="00F917A7"/>
    <w:rsid w:val="00F91C42"/>
    <w:rsid w:val="00F921F1"/>
    <w:rsid w:val="00FA07D1"/>
    <w:rsid w:val="00FA317B"/>
    <w:rsid w:val="00FA3746"/>
    <w:rsid w:val="00FA4C12"/>
    <w:rsid w:val="00FA7E40"/>
    <w:rsid w:val="00FB094F"/>
    <w:rsid w:val="00FB1DB3"/>
    <w:rsid w:val="00FB2BA3"/>
    <w:rsid w:val="00FB4C52"/>
    <w:rsid w:val="00FB6816"/>
    <w:rsid w:val="00FB6DBD"/>
    <w:rsid w:val="00FC22FD"/>
    <w:rsid w:val="00FC478C"/>
    <w:rsid w:val="00FC6535"/>
    <w:rsid w:val="00FD05E5"/>
    <w:rsid w:val="00FD4683"/>
    <w:rsid w:val="00FD520D"/>
    <w:rsid w:val="00FD5860"/>
    <w:rsid w:val="00FD5F27"/>
    <w:rsid w:val="00FD7EC2"/>
    <w:rsid w:val="00FE1505"/>
    <w:rsid w:val="00FE2234"/>
    <w:rsid w:val="00FE352D"/>
    <w:rsid w:val="00FE42B8"/>
    <w:rsid w:val="00FE44EB"/>
    <w:rsid w:val="00FE461A"/>
    <w:rsid w:val="00FE46C6"/>
    <w:rsid w:val="00FE624C"/>
    <w:rsid w:val="00FE7D62"/>
    <w:rsid w:val="00FF2709"/>
    <w:rsid w:val="00FF3AF1"/>
    <w:rsid w:val="00FF40AE"/>
    <w:rsid w:val="00FF4CBA"/>
    <w:rsid w:val="00FF5938"/>
    <w:rsid w:val="00FF5F3C"/>
    <w:rsid w:val="00FF7C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iPriority="99"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pool"/>
    <w:next w:val="NormalNonumber"/>
    <w:uiPriority w:val="99"/>
    <w:qFormat/>
    <w:rsid w:val="0031269C"/>
    <w:pPr>
      <w:tabs>
        <w:tab w:val="left" w:pos="1247"/>
        <w:tab w:val="left" w:pos="1814"/>
        <w:tab w:val="left" w:pos="2381"/>
        <w:tab w:val="left" w:pos="2948"/>
        <w:tab w:val="left" w:pos="3515"/>
      </w:tabs>
    </w:pPr>
    <w:rPr>
      <w:lang w:val="en-GB"/>
    </w:rPr>
  </w:style>
  <w:style w:type="paragraph" w:styleId="Heading1">
    <w:name w:val="heading 1"/>
    <w:basedOn w:val="Normal"/>
    <w:next w:val="Normalnumber"/>
    <w:link w:val="Heading1Char"/>
    <w:qFormat/>
    <w:rsid w:val="00B405B7"/>
    <w:pPr>
      <w:keepNext/>
      <w:spacing w:before="240" w:after="120"/>
      <w:ind w:left="1247" w:hanging="680"/>
      <w:outlineLvl w:val="0"/>
    </w:pPr>
    <w:rPr>
      <w:b/>
      <w:sz w:val="28"/>
    </w:rPr>
  </w:style>
  <w:style w:type="paragraph" w:styleId="Heading2">
    <w:name w:val="heading 2"/>
    <w:aliases w:val="SubPara (a),Heading 2 Char,Heading 2 Char1 Char,Heading 2 Char Char Char,SubPara (a) Char Char Char,Heading 2 Char1 Char Char Char,Heading 2 Char Char Char Char Char,Heading 2 Char1 Char1 Char Char Char Char,SubPara (a) Char"/>
    <w:basedOn w:val="Normal"/>
    <w:next w:val="Normalnumber"/>
    <w:link w:val="Heading2Char1"/>
    <w:qFormat/>
    <w:rsid w:val="00B405B7"/>
    <w:pPr>
      <w:keepNext/>
      <w:spacing w:before="240" w:after="120"/>
      <w:ind w:left="1247" w:hanging="680"/>
      <w:outlineLvl w:val="1"/>
    </w:pPr>
    <w:rPr>
      <w:b/>
      <w:sz w:val="24"/>
      <w:szCs w:val="24"/>
    </w:rPr>
  </w:style>
  <w:style w:type="paragraph" w:styleId="Heading3">
    <w:name w:val="heading 3"/>
    <w:aliases w:val="Char"/>
    <w:basedOn w:val="Normal"/>
    <w:next w:val="Normalnumber"/>
    <w:link w:val="Heading3Char"/>
    <w:qFormat/>
    <w:rsid w:val="00200D58"/>
    <w:pPr>
      <w:spacing w:after="120"/>
      <w:ind w:left="1247" w:hanging="680"/>
      <w:outlineLvl w:val="2"/>
    </w:pPr>
    <w:rPr>
      <w:b/>
    </w:rPr>
  </w:style>
  <w:style w:type="paragraph" w:styleId="Heading4">
    <w:name w:val="heading 4"/>
    <w:basedOn w:val="Heading3"/>
    <w:next w:val="Normalnumber"/>
    <w:link w:val="Heading4Char"/>
    <w:qFormat/>
    <w:rsid w:val="00715E88"/>
    <w:pPr>
      <w:keepNext/>
      <w:outlineLvl w:val="3"/>
    </w:pPr>
  </w:style>
  <w:style w:type="paragraph" w:styleId="Heading5">
    <w:name w:val="heading 5"/>
    <w:basedOn w:val="Normal"/>
    <w:next w:val="Normal"/>
    <w:link w:val="Heading5Char"/>
    <w:qFormat/>
    <w:rsid w:val="00247707"/>
    <w:pPr>
      <w:keepNext/>
      <w:outlineLvl w:val="4"/>
    </w:pPr>
    <w:rPr>
      <w:rFonts w:ascii="Univers" w:hAnsi="Univers"/>
      <w:b/>
      <w:sz w:val="24"/>
    </w:rPr>
  </w:style>
  <w:style w:type="paragraph" w:styleId="Heading6">
    <w:name w:val="heading 6"/>
    <w:basedOn w:val="Normal"/>
    <w:next w:val="Normal"/>
    <w:link w:val="Heading6Char"/>
    <w:qFormat/>
    <w:rsid w:val="00247707"/>
    <w:pPr>
      <w:keepNext/>
      <w:ind w:left="578"/>
      <w:outlineLvl w:val="5"/>
    </w:pPr>
    <w:rPr>
      <w:b/>
      <w:bCs/>
      <w:sz w:val="24"/>
    </w:rPr>
  </w:style>
  <w:style w:type="paragraph" w:styleId="Heading7">
    <w:name w:val="heading 7"/>
    <w:basedOn w:val="Normal"/>
    <w:next w:val="Normal"/>
    <w:link w:val="Heading7Char"/>
    <w:qFormat/>
    <w:rsid w:val="00247707"/>
    <w:pPr>
      <w:keepNext/>
      <w:widowControl w:val="0"/>
      <w:jc w:val="center"/>
      <w:outlineLvl w:val="6"/>
    </w:pPr>
    <w:rPr>
      <w:snapToGrid w:val="0"/>
      <w:u w:val="single"/>
      <w:lang w:val="en-US"/>
    </w:rPr>
  </w:style>
  <w:style w:type="paragraph" w:styleId="Heading8">
    <w:name w:val="heading 8"/>
    <w:basedOn w:val="Normal"/>
    <w:next w:val="Normal"/>
    <w:link w:val="Heading8Char"/>
    <w:qFormat/>
    <w:rsid w:val="00247707"/>
    <w:pPr>
      <w:keepNext/>
      <w:widowControl w:val="0"/>
      <w:numPr>
        <w:numId w:val="1"/>
      </w:numPr>
      <w:tabs>
        <w:tab w:val="left" w:pos="-1440"/>
        <w:tab w:val="left" w:pos="-720"/>
      </w:tabs>
      <w:suppressAutoHyphens/>
      <w:ind w:hanging="360"/>
      <w:jc w:val="center"/>
      <w:outlineLvl w:val="7"/>
    </w:pPr>
    <w:rPr>
      <w:snapToGrid w:val="0"/>
      <w:u w:val="single"/>
      <w:lang w:val="en-US"/>
    </w:rPr>
  </w:style>
  <w:style w:type="paragraph" w:styleId="Heading9">
    <w:name w:val="heading 9"/>
    <w:basedOn w:val="Normal"/>
    <w:next w:val="Normal"/>
    <w:link w:val="Heading9Char"/>
    <w:qFormat/>
    <w:rsid w:val="00247707"/>
    <w:pPr>
      <w:keepNext/>
      <w:widowControl w:val="0"/>
      <w:numPr>
        <w:numId w:val="2"/>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AB5340"/>
    <w:rPr>
      <w:rFonts w:ascii="Times New Roman" w:hAnsi="Times New Roman"/>
      <w:b/>
      <w:sz w:val="18"/>
    </w:rPr>
  </w:style>
  <w:style w:type="table" w:customStyle="1" w:styleId="Tabledocright">
    <w:name w:val="Table_doc_right"/>
    <w:basedOn w:val="TableNormal"/>
    <w:rsid w:val="00E21C83"/>
    <w:pPr>
      <w:spacing w:before="40" w:after="40"/>
    </w:pPr>
    <w:rPr>
      <w:sz w:val="18"/>
      <w:szCs w:val="18"/>
    </w:rPr>
    <w:tblPr>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autoRedefine/>
    <w:semiHidden/>
    <w:rsid w:val="002C2C3E"/>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2C2C3E"/>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2C2C3E"/>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2C2C3E"/>
    <w:pPr>
      <w:tabs>
        <w:tab w:val="clear" w:pos="1814"/>
        <w:tab w:val="clear" w:pos="2381"/>
        <w:tab w:val="clear" w:pos="2948"/>
        <w:tab w:val="clear" w:pos="3515"/>
      </w:tabs>
      <w:ind w:left="1600"/>
    </w:pPr>
    <w:rPr>
      <w:sz w:val="18"/>
      <w:szCs w:val="18"/>
    </w:rPr>
  </w:style>
  <w:style w:type="paragraph" w:customStyle="1" w:styleId="Titlefigure">
    <w:name w:val="Title_figure"/>
    <w:basedOn w:val="Titletable"/>
    <w:next w:val="NormalNonumber"/>
    <w:rsid w:val="000247B0"/>
    <w:rPr>
      <w:bCs w:val="0"/>
    </w:rPr>
  </w:style>
  <w:style w:type="paragraph" w:styleId="TableofFigures">
    <w:name w:val="table of figures"/>
    <w:basedOn w:val="Normal"/>
    <w:next w:val="Normal"/>
    <w:autoRedefine/>
    <w:semiHidden/>
    <w:rsid w:val="002A237D"/>
    <w:pPr>
      <w:tabs>
        <w:tab w:val="clear" w:pos="1814"/>
        <w:tab w:val="clear" w:pos="2381"/>
        <w:tab w:val="clear" w:pos="2948"/>
        <w:tab w:val="clear" w:pos="3515"/>
      </w:tabs>
      <w:ind w:left="1814" w:hanging="567"/>
    </w:pPr>
  </w:style>
  <w:style w:type="paragraph" w:customStyle="1" w:styleId="CH1">
    <w:name w:val="CH1"/>
    <w:basedOn w:val="Normal"/>
    <w:next w:val="CH2"/>
    <w:link w:val="CH1Char"/>
    <w:uiPriority w:val="99"/>
    <w:rsid w:val="006303B4"/>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
    <w:next w:val="Normalnumber"/>
    <w:link w:val="CH2Char"/>
    <w:rsid w:val="00CE524C"/>
    <w:pPr>
      <w:keepNext/>
      <w:keepLines/>
      <w:tabs>
        <w:tab w:val="right" w:pos="851"/>
      </w:tabs>
      <w:suppressAutoHyphens/>
      <w:spacing w:before="80" w:after="120"/>
      <w:ind w:left="1247" w:right="284" w:hanging="1247"/>
    </w:pPr>
    <w:rPr>
      <w:b/>
      <w:sz w:val="24"/>
      <w:szCs w:val="24"/>
    </w:rPr>
  </w:style>
  <w:style w:type="paragraph" w:customStyle="1" w:styleId="CH3">
    <w:name w:val="CH3"/>
    <w:basedOn w:val="Normal"/>
    <w:next w:val="Normalnumber"/>
    <w:link w:val="CH3Char"/>
    <w:rsid w:val="006303B4"/>
    <w:pPr>
      <w:keepNext/>
      <w:keepLines/>
      <w:tabs>
        <w:tab w:val="right" w:pos="851"/>
      </w:tabs>
      <w:suppressAutoHyphens/>
      <w:spacing w:after="120"/>
      <w:ind w:left="1247" w:right="284" w:hanging="1247"/>
    </w:pPr>
    <w:rPr>
      <w:b/>
    </w:rPr>
  </w:style>
  <w:style w:type="paragraph" w:customStyle="1" w:styleId="CH4">
    <w:name w:val="CH4"/>
    <w:basedOn w:val="Normal"/>
    <w:next w:val="Normalnumber"/>
    <w:rsid w:val="004C5C96"/>
    <w:pPr>
      <w:keepNext/>
      <w:keepLines/>
      <w:tabs>
        <w:tab w:val="right" w:pos="851"/>
      </w:tabs>
      <w:suppressAutoHyphens/>
      <w:spacing w:after="120"/>
      <w:ind w:left="1247" w:right="284" w:hanging="1247"/>
    </w:pPr>
    <w:rPr>
      <w:b/>
    </w:rPr>
  </w:style>
  <w:style w:type="table" w:customStyle="1" w:styleId="Footertable">
    <w:name w:val="Footer_table"/>
    <w:basedOn w:val="TableNormal"/>
    <w:semiHidden/>
    <w:rsid w:val="001F75DE"/>
    <w:rPr>
      <w:rFonts w:ascii="Arial" w:hAnsi="Arial"/>
      <w:sz w:val="16"/>
    </w:rPr>
    <w:tblPr>
      <w:jc w:val="right"/>
      <w:tblInd w:w="0" w:type="dxa"/>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
    <w:trPr>
      <w:jc w:val="right"/>
    </w:trPr>
    <w:tcPr>
      <w:tcMar>
        <w:top w:w="28" w:type="dxa"/>
        <w:bottom w:w="28" w:type="dxa"/>
      </w:tcMar>
    </w:tcPr>
  </w:style>
  <w:style w:type="paragraph" w:customStyle="1" w:styleId="CH5">
    <w:name w:val="CH5"/>
    <w:basedOn w:val="Normal"/>
    <w:next w:val="Normalnumber"/>
    <w:rsid w:val="00D8108C"/>
    <w:pPr>
      <w:keepNext/>
      <w:keepLines/>
      <w:tabs>
        <w:tab w:val="right" w:pos="851"/>
      </w:tabs>
      <w:suppressAutoHyphens/>
      <w:spacing w:after="120"/>
      <w:ind w:left="1247" w:right="284" w:hanging="1247"/>
    </w:pPr>
    <w:rPr>
      <w:b/>
    </w:rPr>
  </w:style>
  <w:style w:type="character" w:styleId="FootnoteReference">
    <w:name w:val="footnote reference"/>
    <w:aliases w:val="Footnote text,16 Point,Superscript 6 Point,Footnote Text1,Footnote Text2"/>
    <w:basedOn w:val="DefaultParagraphFont"/>
    <w:semiHidden/>
    <w:rsid w:val="009B4A0F"/>
    <w:rPr>
      <w:rFonts w:ascii="Times New Roman" w:hAnsi="Times New Roman"/>
      <w:color w:val="auto"/>
      <w:sz w:val="20"/>
      <w:szCs w:val="18"/>
      <w:vertAlign w:val="superscript"/>
    </w:rPr>
  </w:style>
  <w:style w:type="paragraph" w:styleId="FootnoteText">
    <w:name w:val="footnote text"/>
    <w:aliases w:val="Fußnotentextf"/>
    <w:basedOn w:val="Normal"/>
    <w:link w:val="FootnoteTextChar"/>
    <w:uiPriority w:val="99"/>
    <w:rsid w:val="00247707"/>
    <w:pPr>
      <w:spacing w:before="20" w:after="40"/>
      <w:ind w:left="1247"/>
    </w:pPr>
    <w:rPr>
      <w:sz w:val="18"/>
    </w:rPr>
  </w:style>
  <w:style w:type="table" w:customStyle="1" w:styleId="AATable">
    <w:name w:val="AA_Table"/>
    <w:basedOn w:val="TableNormal"/>
    <w:rsid w:val="00651BFA"/>
    <w:tblPr>
      <w:tblStyleRowBandSize w:val="1"/>
      <w:tblStyleColBandSize w:val="1"/>
      <w:jc w:val="right"/>
      <w:tblInd w:w="0" w:type="dxa"/>
      <w:tblCellMar>
        <w:top w:w="0" w:type="dxa"/>
        <w:left w:w="108" w:type="dxa"/>
        <w:bottom w:w="0" w:type="dxa"/>
        <w:right w:w="108" w:type="dxa"/>
      </w:tblCellMar>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1600" w:afterAutospacing="0"/>
        <w:ind w:rightChars="0" w:right="0"/>
      </w:pPr>
      <w:rPr>
        <w:rFonts w:ascii="Times New Roman" w:hAnsi="Times New Roman"/>
      </w:rPr>
    </w:tblStylePr>
  </w:style>
  <w:style w:type="paragraph" w:customStyle="1" w:styleId="AATitle">
    <w:name w:val="AA_Title"/>
    <w:basedOn w:val="Normal"/>
    <w:rsid w:val="00A469FA"/>
    <w:pPr>
      <w:keepNext/>
      <w:keepLines/>
      <w:suppressAutoHyphens/>
      <w:ind w:right="3402"/>
    </w:pPr>
    <w:rPr>
      <w:b/>
    </w:rPr>
  </w:style>
  <w:style w:type="paragraph" w:customStyle="1" w:styleId="AATitle2">
    <w:name w:val="AA_Title2"/>
    <w:basedOn w:val="AATitle"/>
    <w:rsid w:val="006431A6"/>
    <w:pPr>
      <w:spacing w:before="120" w:after="120"/>
      <w:ind w:right="1701"/>
    </w:pPr>
  </w:style>
  <w:style w:type="paragraph" w:customStyle="1" w:styleId="BBTitle">
    <w:name w:val="BB_Title"/>
    <w:basedOn w:val="Normal"/>
    <w:link w:val="BBTitleChar"/>
    <w:rsid w:val="0009640C"/>
    <w:pPr>
      <w:keepNext/>
      <w:keepLines/>
      <w:suppressAutoHyphens/>
      <w:spacing w:before="320" w:after="240"/>
      <w:ind w:left="1247" w:right="567"/>
    </w:pPr>
    <w:rPr>
      <w:b/>
      <w:sz w:val="28"/>
      <w:szCs w:val="28"/>
    </w:rPr>
  </w:style>
  <w:style w:type="paragraph" w:styleId="Footer">
    <w:name w:val="footer"/>
    <w:aliases w:val="Footer-pool"/>
    <w:basedOn w:val="Normal"/>
    <w:link w:val="FooterChar"/>
    <w:uiPriority w:val="99"/>
    <w:rsid w:val="002A6864"/>
    <w:pPr>
      <w:tabs>
        <w:tab w:val="clear" w:pos="1247"/>
        <w:tab w:val="center" w:pos="4320"/>
        <w:tab w:val="right" w:pos="8640"/>
      </w:tabs>
      <w:spacing w:before="60" w:after="120"/>
    </w:pPr>
  </w:style>
  <w:style w:type="paragraph" w:styleId="Header">
    <w:name w:val="header"/>
    <w:aliases w:val="Header-pool,EthylHeader"/>
    <w:basedOn w:val="Normal"/>
    <w:link w:val="HeaderChar"/>
    <w:rsid w:val="00AB5340"/>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basedOn w:val="DefaultParagraphFont"/>
    <w:semiHidden/>
    <w:rsid w:val="00715E88"/>
    <w:rPr>
      <w:rFonts w:ascii="Times New Roman" w:hAnsi="Times New Roman"/>
      <w:color w:val="auto"/>
      <w:sz w:val="20"/>
      <w:szCs w:val="20"/>
      <w:u w:val="none"/>
      <w:lang w:val="fr-FR"/>
    </w:rPr>
  </w:style>
  <w:style w:type="numbering" w:customStyle="1" w:styleId="Normallist">
    <w:name w:val="Normal_list"/>
    <w:basedOn w:val="NoList"/>
    <w:rsid w:val="00071886"/>
    <w:pPr>
      <w:numPr>
        <w:numId w:val="3"/>
      </w:numPr>
    </w:pPr>
  </w:style>
  <w:style w:type="paragraph" w:customStyle="1" w:styleId="NormalNonumber">
    <w:name w:val="Normal_No_number"/>
    <w:basedOn w:val="Normal"/>
    <w:link w:val="NormalNonumberChar"/>
    <w:rsid w:val="004C5C96"/>
    <w:pPr>
      <w:spacing w:after="120"/>
      <w:ind w:left="1247"/>
    </w:pPr>
  </w:style>
  <w:style w:type="paragraph" w:customStyle="1" w:styleId="Normalnumber">
    <w:name w:val="Normal_number"/>
    <w:basedOn w:val="Normal"/>
    <w:link w:val="NormalnumberChar"/>
    <w:rsid w:val="00071886"/>
    <w:pPr>
      <w:numPr>
        <w:numId w:val="4"/>
      </w:numPr>
      <w:spacing w:after="120"/>
    </w:pPr>
  </w:style>
  <w:style w:type="paragraph" w:customStyle="1" w:styleId="Titletable">
    <w:name w:val="Title_table"/>
    <w:basedOn w:val="Normal"/>
    <w:rsid w:val="000247B0"/>
    <w:pPr>
      <w:keepNext/>
      <w:keepLines/>
      <w:suppressAutoHyphens/>
      <w:spacing w:after="60"/>
      <w:ind w:left="1247"/>
    </w:pPr>
    <w:rPr>
      <w:b/>
      <w:bCs/>
    </w:rPr>
  </w:style>
  <w:style w:type="paragraph" w:styleId="TOC1">
    <w:name w:val="toc 1"/>
    <w:basedOn w:val="Normal"/>
    <w:next w:val="Normal"/>
    <w:rsid w:val="003F0E85"/>
    <w:pPr>
      <w:tabs>
        <w:tab w:val="clear" w:pos="2381"/>
        <w:tab w:val="clear" w:pos="2948"/>
        <w:tab w:val="clear" w:pos="3515"/>
        <w:tab w:val="right" w:leader="dot" w:pos="9486"/>
      </w:tabs>
      <w:spacing w:before="120" w:after="120"/>
      <w:ind w:left="1814" w:hanging="567"/>
    </w:pPr>
    <w:rPr>
      <w:bCs/>
    </w:rPr>
  </w:style>
  <w:style w:type="paragraph" w:styleId="TOC2">
    <w:name w:val="toc 2"/>
    <w:basedOn w:val="Normal"/>
    <w:next w:val="Normal"/>
    <w:rsid w:val="002C2C3E"/>
    <w:pPr>
      <w:tabs>
        <w:tab w:val="clear" w:pos="1814"/>
        <w:tab w:val="clear" w:pos="2948"/>
        <w:tab w:val="clear" w:pos="3515"/>
        <w:tab w:val="right" w:leader="dot" w:pos="9486"/>
      </w:tabs>
      <w:ind w:left="2381" w:hanging="567"/>
    </w:pPr>
  </w:style>
  <w:style w:type="paragraph" w:styleId="TOC3">
    <w:name w:val="toc 3"/>
    <w:basedOn w:val="Normal"/>
    <w:next w:val="Normal"/>
    <w:rsid w:val="002929D8"/>
    <w:pPr>
      <w:tabs>
        <w:tab w:val="clear" w:pos="1814"/>
        <w:tab w:val="clear" w:pos="2381"/>
        <w:tab w:val="clear" w:pos="2948"/>
        <w:tab w:val="clear" w:pos="3515"/>
        <w:tab w:val="right" w:leader="dot" w:pos="9486"/>
      </w:tabs>
      <w:ind w:left="2948" w:hanging="567"/>
    </w:pPr>
    <w:rPr>
      <w:iCs/>
    </w:rPr>
  </w:style>
  <w:style w:type="paragraph" w:styleId="TOC4">
    <w:name w:val="toc 4"/>
    <w:basedOn w:val="Normal"/>
    <w:next w:val="Normal"/>
    <w:rsid w:val="002929D8"/>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247707"/>
    <w:pPr>
      <w:tabs>
        <w:tab w:val="clear" w:pos="1814"/>
        <w:tab w:val="clear" w:pos="2381"/>
        <w:tab w:val="clear" w:pos="2948"/>
        <w:tab w:val="clear" w:pos="3515"/>
      </w:tabs>
      <w:ind w:left="800"/>
    </w:pPr>
    <w:rPr>
      <w:sz w:val="18"/>
      <w:szCs w:val="18"/>
    </w:rPr>
  </w:style>
  <w:style w:type="paragraph" w:customStyle="1" w:styleId="ZZAnxheader">
    <w:name w:val="ZZ_Anx_header"/>
    <w:basedOn w:val="Normal"/>
    <w:rsid w:val="00715E88"/>
    <w:rPr>
      <w:b/>
      <w:bCs/>
      <w:sz w:val="28"/>
      <w:szCs w:val="22"/>
    </w:rPr>
  </w:style>
  <w:style w:type="paragraph" w:customStyle="1" w:styleId="ZZAnxtitle">
    <w:name w:val="ZZ_Anx_title"/>
    <w:basedOn w:val="Normal"/>
    <w:link w:val="ZZAnxtitleChar"/>
    <w:rsid w:val="00715E88"/>
    <w:pPr>
      <w:spacing w:before="360" w:after="120"/>
      <w:ind w:left="1247"/>
    </w:pPr>
    <w:rPr>
      <w:b/>
      <w:bCs/>
      <w:sz w:val="28"/>
      <w:szCs w:val="26"/>
    </w:rPr>
  </w:style>
  <w:style w:type="table" w:styleId="TableGrid">
    <w:name w:val="Table Grid"/>
    <w:basedOn w:val="TableNormal"/>
    <w:rsid w:val="003126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pool">
    <w:name w:val="Normal_pool"/>
    <w:link w:val="NormalpoolChar"/>
    <w:rsid w:val="0031269C"/>
    <w:pPr>
      <w:tabs>
        <w:tab w:val="left" w:pos="1253"/>
        <w:tab w:val="left" w:pos="1814"/>
        <w:tab w:val="left" w:pos="2376"/>
        <w:tab w:val="left" w:pos="2952"/>
        <w:tab w:val="left" w:pos="3514"/>
      </w:tabs>
    </w:pPr>
    <w:rPr>
      <w:lang w:val="en-GB"/>
    </w:rPr>
  </w:style>
  <w:style w:type="character" w:customStyle="1" w:styleId="NormalpoolChar">
    <w:name w:val="Normal_pool Char"/>
    <w:link w:val="Normalpool"/>
    <w:locked/>
    <w:rsid w:val="0031269C"/>
    <w:rPr>
      <w:lang w:val="en-GB"/>
    </w:rPr>
  </w:style>
  <w:style w:type="character" w:customStyle="1" w:styleId="BBTitleChar">
    <w:name w:val="BB_Title Char"/>
    <w:link w:val="BBTitle"/>
    <w:rsid w:val="0031269C"/>
    <w:rPr>
      <w:b/>
      <w:sz w:val="28"/>
      <w:szCs w:val="28"/>
      <w:lang w:val="en-GB"/>
    </w:rPr>
  </w:style>
  <w:style w:type="paragraph" w:styleId="BalloonText">
    <w:name w:val="Balloon Text"/>
    <w:basedOn w:val="Normal"/>
    <w:link w:val="BalloonTextChar"/>
    <w:rsid w:val="0074431D"/>
    <w:rPr>
      <w:rFonts w:ascii="Tahoma" w:hAnsi="Tahoma" w:cs="Tahoma"/>
      <w:sz w:val="16"/>
      <w:szCs w:val="16"/>
    </w:rPr>
  </w:style>
  <w:style w:type="character" w:customStyle="1" w:styleId="BalloonTextChar">
    <w:name w:val="Balloon Text Char"/>
    <w:basedOn w:val="DefaultParagraphFont"/>
    <w:link w:val="BalloonText"/>
    <w:rsid w:val="0074431D"/>
    <w:rPr>
      <w:rFonts w:ascii="Tahoma" w:hAnsi="Tahoma" w:cs="Tahoma"/>
      <w:sz w:val="16"/>
      <w:szCs w:val="16"/>
      <w:lang w:val="en-GB"/>
    </w:rPr>
  </w:style>
  <w:style w:type="character" w:customStyle="1" w:styleId="HeaderChar">
    <w:name w:val="Header Char"/>
    <w:aliases w:val="Header-pool Char,EthylHeader Char"/>
    <w:link w:val="Header"/>
    <w:uiPriority w:val="99"/>
    <w:rsid w:val="006923A3"/>
    <w:rPr>
      <w:b/>
      <w:sz w:val="18"/>
      <w:lang w:val="en-GB"/>
    </w:rPr>
  </w:style>
  <w:style w:type="character" w:customStyle="1" w:styleId="tgc">
    <w:name w:val="_tgc"/>
    <w:rsid w:val="006923A3"/>
  </w:style>
  <w:style w:type="character" w:customStyle="1" w:styleId="CH1Char">
    <w:name w:val="CH1 Char"/>
    <w:link w:val="CH1"/>
    <w:uiPriority w:val="99"/>
    <w:locked/>
    <w:rsid w:val="00210198"/>
    <w:rPr>
      <w:b/>
      <w:sz w:val="28"/>
      <w:szCs w:val="28"/>
      <w:lang w:val="en-GB"/>
    </w:rPr>
  </w:style>
  <w:style w:type="character" w:customStyle="1" w:styleId="NormalnumberChar">
    <w:name w:val="Normal_number Char"/>
    <w:link w:val="Normalnumber"/>
    <w:locked/>
    <w:rsid w:val="00210198"/>
    <w:rPr>
      <w:lang w:val="en-GB"/>
    </w:rPr>
  </w:style>
  <w:style w:type="character" w:customStyle="1" w:styleId="CH2Char">
    <w:name w:val="CH2 Char"/>
    <w:link w:val="CH2"/>
    <w:locked/>
    <w:rsid w:val="000E7DB2"/>
    <w:rPr>
      <w:b/>
      <w:sz w:val="24"/>
      <w:szCs w:val="24"/>
      <w:lang w:val="en-GB"/>
    </w:rPr>
  </w:style>
  <w:style w:type="character" w:styleId="CommentReference">
    <w:name w:val="annotation reference"/>
    <w:basedOn w:val="DefaultParagraphFont"/>
    <w:semiHidden/>
    <w:unhideWhenUsed/>
    <w:rsid w:val="0079584B"/>
    <w:rPr>
      <w:sz w:val="16"/>
      <w:szCs w:val="16"/>
    </w:rPr>
  </w:style>
  <w:style w:type="paragraph" w:styleId="CommentText">
    <w:name w:val="annotation text"/>
    <w:basedOn w:val="Normal"/>
    <w:link w:val="CommentTextChar"/>
    <w:semiHidden/>
    <w:unhideWhenUsed/>
    <w:rsid w:val="0079584B"/>
  </w:style>
  <w:style w:type="character" w:customStyle="1" w:styleId="CommentTextChar">
    <w:name w:val="Comment Text Char"/>
    <w:basedOn w:val="DefaultParagraphFont"/>
    <w:link w:val="CommentText"/>
    <w:semiHidden/>
    <w:rsid w:val="0079584B"/>
    <w:rPr>
      <w:lang w:val="en-GB"/>
    </w:rPr>
  </w:style>
  <w:style w:type="paragraph" w:styleId="CommentSubject">
    <w:name w:val="annotation subject"/>
    <w:basedOn w:val="CommentText"/>
    <w:next w:val="CommentText"/>
    <w:link w:val="CommentSubjectChar"/>
    <w:semiHidden/>
    <w:unhideWhenUsed/>
    <w:rsid w:val="0079584B"/>
    <w:rPr>
      <w:b/>
      <w:bCs/>
    </w:rPr>
  </w:style>
  <w:style w:type="character" w:customStyle="1" w:styleId="CommentSubjectChar">
    <w:name w:val="Comment Subject Char"/>
    <w:basedOn w:val="CommentTextChar"/>
    <w:link w:val="CommentSubject"/>
    <w:semiHidden/>
    <w:rsid w:val="0079584B"/>
    <w:rPr>
      <w:b/>
      <w:bCs/>
      <w:lang w:val="en-GB"/>
    </w:rPr>
  </w:style>
  <w:style w:type="paragraph" w:styleId="Caption">
    <w:name w:val="caption"/>
    <w:basedOn w:val="Normal"/>
    <w:next w:val="Normal"/>
    <w:qFormat/>
    <w:rsid w:val="00154589"/>
    <w:pPr>
      <w:widowControl w:val="0"/>
      <w:tabs>
        <w:tab w:val="clear" w:pos="1247"/>
        <w:tab w:val="clear" w:pos="1814"/>
        <w:tab w:val="clear" w:pos="2381"/>
        <w:tab w:val="clear" w:pos="2948"/>
        <w:tab w:val="clear" w:pos="3515"/>
      </w:tabs>
    </w:pPr>
    <w:rPr>
      <w:snapToGrid w:val="0"/>
      <w:sz w:val="24"/>
    </w:rPr>
  </w:style>
  <w:style w:type="paragraph" w:customStyle="1" w:styleId="Normal-num">
    <w:name w:val="Normal-num"/>
    <w:basedOn w:val="Normal"/>
    <w:next w:val="Normal"/>
    <w:rsid w:val="00154589"/>
    <w:pPr>
      <w:numPr>
        <w:numId w:val="5"/>
      </w:numPr>
      <w:tabs>
        <w:tab w:val="clear" w:pos="1247"/>
        <w:tab w:val="clear" w:pos="1814"/>
        <w:tab w:val="clear" w:pos="2381"/>
        <w:tab w:val="clear" w:pos="2948"/>
        <w:tab w:val="clear" w:pos="3515"/>
      </w:tabs>
      <w:suppressAutoHyphens/>
      <w:spacing w:after="120"/>
    </w:pPr>
    <w:rPr>
      <w:szCs w:val="22"/>
      <w:lang w:eastAsia="zh-CN"/>
    </w:rPr>
  </w:style>
  <w:style w:type="paragraph" w:styleId="Title">
    <w:name w:val="Title"/>
    <w:basedOn w:val="Normal"/>
    <w:link w:val="TitleChar"/>
    <w:autoRedefine/>
    <w:qFormat/>
    <w:rsid w:val="00154589"/>
    <w:pPr>
      <w:tabs>
        <w:tab w:val="clear" w:pos="1247"/>
        <w:tab w:val="clear" w:pos="1814"/>
        <w:tab w:val="clear" w:pos="2381"/>
        <w:tab w:val="clear" w:pos="2948"/>
        <w:tab w:val="clear" w:pos="3515"/>
      </w:tabs>
      <w:spacing w:before="360" w:after="240"/>
      <w:ind w:left="1247" w:right="567"/>
      <w:outlineLvl w:val="0"/>
    </w:pPr>
    <w:rPr>
      <w:rFonts w:cs="Arial"/>
      <w:b/>
      <w:bCs/>
      <w:color w:val="000000"/>
      <w:kern w:val="28"/>
      <w:sz w:val="28"/>
      <w:szCs w:val="28"/>
    </w:rPr>
  </w:style>
  <w:style w:type="character" w:customStyle="1" w:styleId="TitleChar">
    <w:name w:val="Title Char"/>
    <w:basedOn w:val="DefaultParagraphFont"/>
    <w:link w:val="Title"/>
    <w:rsid w:val="00154589"/>
    <w:rPr>
      <w:rFonts w:cs="Arial"/>
      <w:b/>
      <w:bCs/>
      <w:color w:val="000000"/>
      <w:kern w:val="28"/>
      <w:sz w:val="28"/>
      <w:szCs w:val="28"/>
      <w:lang w:val="en-GB"/>
    </w:rPr>
  </w:style>
  <w:style w:type="paragraph" w:customStyle="1" w:styleId="Anxhead">
    <w:name w:val="Anx head"/>
    <w:basedOn w:val="Normal"/>
    <w:rsid w:val="00154589"/>
    <w:pPr>
      <w:tabs>
        <w:tab w:val="clear" w:pos="1247"/>
        <w:tab w:val="clear" w:pos="1814"/>
        <w:tab w:val="clear" w:pos="2381"/>
        <w:tab w:val="clear" w:pos="2948"/>
        <w:tab w:val="clear" w:pos="3515"/>
      </w:tabs>
    </w:pPr>
    <w:rPr>
      <w:b/>
      <w:bCs/>
      <w:sz w:val="28"/>
      <w:szCs w:val="22"/>
    </w:rPr>
  </w:style>
  <w:style w:type="paragraph" w:customStyle="1" w:styleId="Anxsubhead">
    <w:name w:val="Anx subhead"/>
    <w:basedOn w:val="Normal"/>
    <w:rsid w:val="00154589"/>
    <w:pPr>
      <w:tabs>
        <w:tab w:val="clear" w:pos="1814"/>
        <w:tab w:val="clear" w:pos="2381"/>
        <w:tab w:val="clear" w:pos="2948"/>
        <w:tab w:val="clear" w:pos="3515"/>
      </w:tabs>
      <w:ind w:left="1247"/>
    </w:pPr>
    <w:rPr>
      <w:b/>
      <w:bCs/>
      <w:sz w:val="24"/>
      <w:szCs w:val="24"/>
    </w:rPr>
  </w:style>
  <w:style w:type="paragraph" w:customStyle="1" w:styleId="Anxtitle">
    <w:name w:val="Anx title"/>
    <w:basedOn w:val="Normal"/>
    <w:rsid w:val="00154589"/>
    <w:pPr>
      <w:tabs>
        <w:tab w:val="clear" w:pos="1247"/>
        <w:tab w:val="clear" w:pos="1814"/>
        <w:tab w:val="clear" w:pos="2381"/>
        <w:tab w:val="clear" w:pos="2948"/>
        <w:tab w:val="clear" w:pos="3515"/>
      </w:tabs>
      <w:ind w:left="1247"/>
    </w:pPr>
    <w:rPr>
      <w:b/>
      <w:bCs/>
      <w:sz w:val="28"/>
      <w:szCs w:val="26"/>
    </w:rPr>
  </w:style>
  <w:style w:type="paragraph" w:customStyle="1" w:styleId="Paralevel1">
    <w:name w:val="Para level1"/>
    <w:basedOn w:val="Normal"/>
    <w:link w:val="Paralevel1Char"/>
    <w:uiPriority w:val="99"/>
    <w:rsid w:val="00154589"/>
    <w:pPr>
      <w:numPr>
        <w:numId w:val="6"/>
      </w:numPr>
      <w:tabs>
        <w:tab w:val="clear" w:pos="360"/>
        <w:tab w:val="clear" w:pos="1247"/>
        <w:tab w:val="clear" w:pos="1814"/>
        <w:tab w:val="clear" w:pos="2381"/>
        <w:tab w:val="clear" w:pos="2948"/>
        <w:tab w:val="clear" w:pos="3515"/>
      </w:tabs>
      <w:spacing w:after="120"/>
      <w:ind w:left="1247"/>
    </w:pPr>
  </w:style>
  <w:style w:type="paragraph" w:customStyle="1" w:styleId="Paralevel2">
    <w:name w:val="Para level2"/>
    <w:basedOn w:val="Paralevel1"/>
    <w:rsid w:val="00154589"/>
    <w:pPr>
      <w:numPr>
        <w:numId w:val="7"/>
      </w:numPr>
      <w:tabs>
        <w:tab w:val="clear" w:pos="938"/>
        <w:tab w:val="num" w:pos="567"/>
      </w:tabs>
      <w:ind w:left="1247" w:firstLine="0"/>
    </w:pPr>
  </w:style>
  <w:style w:type="paragraph" w:customStyle="1" w:styleId="Paralevel3">
    <w:name w:val="Para level3"/>
    <w:basedOn w:val="Paralevel2"/>
    <w:rsid w:val="00154589"/>
    <w:pPr>
      <w:numPr>
        <w:numId w:val="8"/>
      </w:numPr>
      <w:tabs>
        <w:tab w:val="clear" w:pos="2892"/>
        <w:tab w:val="num" w:pos="567"/>
      </w:tabs>
      <w:ind w:left="1247" w:firstLine="0"/>
    </w:pPr>
  </w:style>
  <w:style w:type="paragraph" w:customStyle="1" w:styleId="Subtitle">
    <w:name w:val="Sub title"/>
    <w:basedOn w:val="Heading2"/>
    <w:rsid w:val="00154589"/>
    <w:pPr>
      <w:tabs>
        <w:tab w:val="clear" w:pos="1247"/>
        <w:tab w:val="clear" w:pos="1814"/>
        <w:tab w:val="clear" w:pos="2381"/>
        <w:tab w:val="clear" w:pos="2948"/>
        <w:tab w:val="clear" w:pos="3515"/>
      </w:tabs>
      <w:spacing w:before="0" w:after="0"/>
      <w:ind w:firstLine="0"/>
    </w:pPr>
  </w:style>
  <w:style w:type="paragraph" w:customStyle="1" w:styleId="Level1">
    <w:name w:val="Level1"/>
    <w:basedOn w:val="Normal"/>
    <w:rsid w:val="00154589"/>
    <w:pPr>
      <w:tabs>
        <w:tab w:val="clear" w:pos="1247"/>
        <w:tab w:val="clear" w:pos="1814"/>
        <w:tab w:val="clear" w:pos="2381"/>
        <w:tab w:val="clear" w:pos="2948"/>
        <w:tab w:val="clear" w:pos="3515"/>
        <w:tab w:val="left" w:pos="578"/>
        <w:tab w:val="left" w:pos="1157"/>
      </w:tabs>
      <w:spacing w:after="240"/>
    </w:pPr>
  </w:style>
  <w:style w:type="paragraph" w:styleId="BodyText">
    <w:name w:val="Body Text"/>
    <w:basedOn w:val="Normal"/>
    <w:link w:val="BodyTextChar"/>
    <w:rsid w:val="00154589"/>
    <w:pPr>
      <w:tabs>
        <w:tab w:val="clear" w:pos="1247"/>
        <w:tab w:val="clear" w:pos="1814"/>
        <w:tab w:val="clear" w:pos="2381"/>
        <w:tab w:val="clear" w:pos="2948"/>
        <w:tab w:val="clear" w:pos="3515"/>
      </w:tabs>
      <w:jc w:val="center"/>
    </w:pPr>
  </w:style>
  <w:style w:type="character" w:customStyle="1" w:styleId="BodyTextChar">
    <w:name w:val="Body Text Char"/>
    <w:basedOn w:val="DefaultParagraphFont"/>
    <w:link w:val="BodyText"/>
    <w:rsid w:val="00154589"/>
    <w:rPr>
      <w:lang w:val="en-GB"/>
    </w:rPr>
  </w:style>
  <w:style w:type="paragraph" w:styleId="BodyTextIndent">
    <w:name w:val="Body Text Indent"/>
    <w:basedOn w:val="Normal"/>
    <w:link w:val="BodyTextIndentChar"/>
    <w:rsid w:val="00154589"/>
    <w:pPr>
      <w:tabs>
        <w:tab w:val="clear" w:pos="1247"/>
        <w:tab w:val="clear" w:pos="1814"/>
        <w:tab w:val="clear" w:pos="2381"/>
        <w:tab w:val="clear" w:pos="2948"/>
        <w:tab w:val="clear" w:pos="3515"/>
      </w:tabs>
      <w:ind w:left="720" w:hanging="720"/>
    </w:pPr>
    <w:rPr>
      <w:snapToGrid w:val="0"/>
      <w:color w:val="000000"/>
      <w:lang w:val="en-US"/>
    </w:rPr>
  </w:style>
  <w:style w:type="character" w:customStyle="1" w:styleId="BodyTextIndentChar">
    <w:name w:val="Body Text Indent Char"/>
    <w:basedOn w:val="DefaultParagraphFont"/>
    <w:link w:val="BodyTextIndent"/>
    <w:rsid w:val="00154589"/>
    <w:rPr>
      <w:snapToGrid w:val="0"/>
      <w:color w:val="000000"/>
    </w:rPr>
  </w:style>
  <w:style w:type="paragraph" w:styleId="BodyText2">
    <w:name w:val="Body Text 2"/>
    <w:basedOn w:val="Normal"/>
    <w:link w:val="BodyText2Char"/>
    <w:rsid w:val="00154589"/>
    <w:pPr>
      <w:tabs>
        <w:tab w:val="clear" w:pos="1247"/>
        <w:tab w:val="clear" w:pos="1814"/>
        <w:tab w:val="clear" w:pos="2381"/>
        <w:tab w:val="clear" w:pos="2948"/>
        <w:tab w:val="clear" w:pos="3515"/>
      </w:tabs>
    </w:pPr>
    <w:rPr>
      <w:color w:val="FF0000"/>
    </w:rPr>
  </w:style>
  <w:style w:type="character" w:customStyle="1" w:styleId="BodyText2Char">
    <w:name w:val="Body Text 2 Char"/>
    <w:basedOn w:val="DefaultParagraphFont"/>
    <w:link w:val="BodyText2"/>
    <w:rsid w:val="00154589"/>
    <w:rPr>
      <w:color w:val="FF0000"/>
      <w:lang w:val="en-GB"/>
    </w:rPr>
  </w:style>
  <w:style w:type="paragraph" w:customStyle="1" w:styleId="Default">
    <w:name w:val="Default"/>
    <w:rsid w:val="00154589"/>
    <w:pPr>
      <w:autoSpaceDE w:val="0"/>
      <w:autoSpaceDN w:val="0"/>
      <w:adjustRightInd w:val="0"/>
    </w:pPr>
    <w:rPr>
      <w:rFonts w:eastAsia="Calibri"/>
      <w:color w:val="000000"/>
      <w:sz w:val="24"/>
      <w:szCs w:val="24"/>
    </w:rPr>
  </w:style>
  <w:style w:type="paragraph" w:customStyle="1" w:styleId="ColorfulList-Accent11">
    <w:name w:val="Colorful List - Accent 11"/>
    <w:basedOn w:val="Normal"/>
    <w:uiPriority w:val="34"/>
    <w:qFormat/>
    <w:rsid w:val="00154589"/>
    <w:pPr>
      <w:tabs>
        <w:tab w:val="clear" w:pos="1247"/>
        <w:tab w:val="clear" w:pos="1814"/>
        <w:tab w:val="clear" w:pos="2381"/>
        <w:tab w:val="clear" w:pos="2948"/>
        <w:tab w:val="clear" w:pos="3515"/>
      </w:tabs>
      <w:spacing w:after="200" w:line="276" w:lineRule="auto"/>
      <w:ind w:left="720"/>
    </w:pPr>
    <w:rPr>
      <w:rFonts w:ascii="Calibri" w:eastAsia="Calibri" w:hAnsi="Calibri"/>
      <w:szCs w:val="22"/>
      <w:lang w:val="en-US"/>
    </w:rPr>
  </w:style>
  <w:style w:type="paragraph" w:styleId="NormalWeb">
    <w:name w:val="Normal (Web)"/>
    <w:basedOn w:val="Normal"/>
    <w:uiPriority w:val="99"/>
    <w:unhideWhenUsed/>
    <w:rsid w:val="00154589"/>
    <w:pPr>
      <w:tabs>
        <w:tab w:val="clear" w:pos="1247"/>
        <w:tab w:val="clear" w:pos="1814"/>
        <w:tab w:val="clear" w:pos="2381"/>
        <w:tab w:val="clear" w:pos="2948"/>
        <w:tab w:val="clear" w:pos="3515"/>
      </w:tabs>
      <w:spacing w:before="100" w:beforeAutospacing="1" w:after="100" w:afterAutospacing="1"/>
    </w:pPr>
    <w:rPr>
      <w:rFonts w:eastAsia="Calibri"/>
      <w:sz w:val="24"/>
      <w:szCs w:val="24"/>
      <w:lang w:eastAsia="en-GB"/>
    </w:rPr>
  </w:style>
  <w:style w:type="character" w:customStyle="1" w:styleId="Heading2Char1">
    <w:name w:val="Heading 2 Char1"/>
    <w:aliases w:val="SubPara (a) Char1,Heading 2 Char Char,Heading 2 Char1 Char Char,Heading 2 Char Char Char Char,SubPara (a) Char Char Char Char,Heading 2 Char1 Char Char Char Char,Heading 2 Char Char Char Char Char Char,SubPara (a) Char Char"/>
    <w:link w:val="Heading2"/>
    <w:rsid w:val="00154589"/>
    <w:rPr>
      <w:b/>
      <w:sz w:val="24"/>
      <w:szCs w:val="24"/>
      <w:lang w:val="en-GB"/>
    </w:rPr>
  </w:style>
  <w:style w:type="paragraph" w:customStyle="1" w:styleId="T1">
    <w:name w:val="T1"/>
    <w:basedOn w:val="Header"/>
    <w:rsid w:val="00154589"/>
    <w:pPr>
      <w:pBdr>
        <w:bottom w:val="none" w:sz="0" w:space="0" w:color="auto"/>
      </w:pBdr>
      <w:tabs>
        <w:tab w:val="clear" w:pos="1247"/>
        <w:tab w:val="clear" w:pos="4536"/>
        <w:tab w:val="clear" w:pos="9072"/>
      </w:tabs>
      <w:spacing w:line="240" w:lineRule="atLeast"/>
      <w:jc w:val="both"/>
    </w:pPr>
    <w:rPr>
      <w:rFonts w:ascii="Arial" w:hAnsi="Arial" w:cs="Arial"/>
      <w:bCs/>
      <w:sz w:val="24"/>
      <w:szCs w:val="24"/>
      <w:lang w:eastAsia="de-DE"/>
    </w:rPr>
  </w:style>
  <w:style w:type="character" w:customStyle="1" w:styleId="style2">
    <w:name w:val="style2"/>
    <w:basedOn w:val="DefaultParagraphFont"/>
    <w:rsid w:val="00154589"/>
  </w:style>
  <w:style w:type="paragraph" w:styleId="ListParagraph">
    <w:name w:val="List Paragraph"/>
    <w:basedOn w:val="Normal"/>
    <w:uiPriority w:val="34"/>
    <w:qFormat/>
    <w:rsid w:val="00154589"/>
    <w:pPr>
      <w:tabs>
        <w:tab w:val="clear" w:pos="1247"/>
        <w:tab w:val="clear" w:pos="1814"/>
        <w:tab w:val="clear" w:pos="2381"/>
        <w:tab w:val="clear" w:pos="2948"/>
        <w:tab w:val="clear" w:pos="3515"/>
      </w:tabs>
      <w:ind w:left="708"/>
    </w:pPr>
    <w:rPr>
      <w:sz w:val="24"/>
      <w:szCs w:val="24"/>
      <w:lang w:val="en-US"/>
    </w:rPr>
  </w:style>
  <w:style w:type="paragraph" w:customStyle="1" w:styleId="Level2">
    <w:name w:val="Level2"/>
    <w:basedOn w:val="Normal"/>
    <w:autoRedefine/>
    <w:rsid w:val="00154589"/>
    <w:pPr>
      <w:numPr>
        <w:numId w:val="9"/>
      </w:numPr>
      <w:tabs>
        <w:tab w:val="clear" w:pos="1247"/>
        <w:tab w:val="clear" w:pos="1814"/>
        <w:tab w:val="clear" w:pos="2381"/>
        <w:tab w:val="clear" w:pos="2948"/>
        <w:tab w:val="clear" w:pos="3515"/>
        <w:tab w:val="left" w:pos="578"/>
        <w:tab w:val="left" w:pos="1157"/>
      </w:tabs>
      <w:spacing w:after="240" w:line="288" w:lineRule="auto"/>
    </w:pPr>
  </w:style>
  <w:style w:type="paragraph" w:customStyle="1" w:styleId="Level3">
    <w:name w:val="Level3"/>
    <w:basedOn w:val="Level2"/>
    <w:autoRedefine/>
    <w:rsid w:val="00154589"/>
    <w:pPr>
      <w:keepNext/>
      <w:keepLines/>
      <w:numPr>
        <w:numId w:val="0"/>
      </w:numPr>
      <w:tabs>
        <w:tab w:val="clear" w:pos="578"/>
        <w:tab w:val="clear" w:pos="1157"/>
      </w:tabs>
      <w:spacing w:before="60" w:after="60" w:line="240" w:lineRule="auto"/>
    </w:pPr>
    <w:rPr>
      <w:i/>
      <w:sz w:val="18"/>
    </w:rPr>
  </w:style>
  <w:style w:type="paragraph" w:customStyle="1" w:styleId="H1">
    <w:name w:val="_ H_1"/>
    <w:basedOn w:val="Normal"/>
    <w:next w:val="Normal"/>
    <w:rsid w:val="00154589"/>
    <w:pPr>
      <w:keepNext/>
      <w:keepLines/>
      <w:tabs>
        <w:tab w:val="clear" w:pos="1247"/>
        <w:tab w:val="clear" w:pos="1814"/>
        <w:tab w:val="clear" w:pos="2381"/>
        <w:tab w:val="clear" w:pos="2948"/>
        <w:tab w:val="clear" w:pos="3515"/>
      </w:tabs>
      <w:suppressAutoHyphens/>
      <w:spacing w:line="270" w:lineRule="exact"/>
      <w:outlineLvl w:val="0"/>
    </w:pPr>
    <w:rPr>
      <w:b/>
      <w:spacing w:val="4"/>
      <w:w w:val="103"/>
      <w:kern w:val="14"/>
      <w:sz w:val="24"/>
    </w:rPr>
  </w:style>
  <w:style w:type="paragraph" w:customStyle="1" w:styleId="HeadingSub">
    <w:name w:val="Heading: Sub"/>
    <w:basedOn w:val="Normal"/>
    <w:rsid w:val="00154589"/>
    <w:pPr>
      <w:widowControl w:val="0"/>
      <w:tabs>
        <w:tab w:val="clear" w:pos="1247"/>
        <w:tab w:val="clear" w:pos="1814"/>
        <w:tab w:val="clear" w:pos="2381"/>
        <w:tab w:val="clear" w:pos="2948"/>
        <w:tab w:val="clear" w:pos="3515"/>
      </w:tabs>
      <w:spacing w:line="240" w:lineRule="exact"/>
      <w:ind w:left="567" w:hanging="567"/>
    </w:pPr>
    <w:rPr>
      <w:rFonts w:ascii="Futura" w:hAnsi="Futura"/>
      <w:color w:val="000000"/>
    </w:rPr>
  </w:style>
  <w:style w:type="paragraph" w:customStyle="1" w:styleId="Footnote">
    <w:name w:val="Footnote"/>
    <w:basedOn w:val="Normal"/>
    <w:rsid w:val="00154589"/>
    <w:pPr>
      <w:tabs>
        <w:tab w:val="clear" w:pos="1247"/>
        <w:tab w:val="clear" w:pos="1814"/>
        <w:tab w:val="clear" w:pos="2381"/>
        <w:tab w:val="clear" w:pos="2948"/>
        <w:tab w:val="clear" w:pos="3515"/>
      </w:tabs>
      <w:spacing w:line="200" w:lineRule="exact"/>
      <w:ind w:left="426" w:hanging="426"/>
    </w:pPr>
    <w:rPr>
      <w:rFonts w:ascii="Times" w:hAnsi="Times"/>
      <w:color w:val="000000"/>
      <w:sz w:val="16"/>
    </w:rPr>
  </w:style>
  <w:style w:type="paragraph" w:customStyle="1" w:styleId="HeadingSection">
    <w:name w:val="Heading: Section"/>
    <w:basedOn w:val="Normal"/>
    <w:rsid w:val="00154589"/>
    <w:pPr>
      <w:widowControl w:val="0"/>
      <w:tabs>
        <w:tab w:val="clear" w:pos="1247"/>
        <w:tab w:val="clear" w:pos="1814"/>
        <w:tab w:val="clear" w:pos="2381"/>
        <w:tab w:val="clear" w:pos="2948"/>
        <w:tab w:val="clear" w:pos="3515"/>
        <w:tab w:val="left" w:pos="3969"/>
      </w:tabs>
      <w:spacing w:line="360" w:lineRule="exact"/>
      <w:ind w:left="1701" w:hanging="1701"/>
    </w:pPr>
    <w:rPr>
      <w:rFonts w:ascii="H Futura Heavy" w:hAnsi="H Futura Heavy"/>
      <w:color w:val="000000"/>
      <w:sz w:val="24"/>
    </w:rPr>
  </w:style>
  <w:style w:type="paragraph" w:customStyle="1" w:styleId="HeadingChapterNumber">
    <w:name w:val="Heading: Chapter Number"/>
    <w:basedOn w:val="HeadingSection"/>
    <w:rsid w:val="00154589"/>
    <w:pPr>
      <w:pBdr>
        <w:bottom w:val="single" w:sz="6" w:space="1" w:color="auto"/>
      </w:pBdr>
      <w:spacing w:line="480" w:lineRule="exact"/>
      <w:ind w:left="1134" w:right="1126" w:firstLine="0"/>
      <w:jc w:val="center"/>
    </w:pPr>
    <w:rPr>
      <w:sz w:val="36"/>
    </w:rPr>
  </w:style>
  <w:style w:type="character" w:customStyle="1" w:styleId="FooterChar">
    <w:name w:val="Footer Char"/>
    <w:aliases w:val="Footer-pool Char"/>
    <w:link w:val="Footer"/>
    <w:uiPriority w:val="99"/>
    <w:locked/>
    <w:rsid w:val="00154589"/>
    <w:rPr>
      <w:lang w:val="en-GB"/>
    </w:rPr>
  </w:style>
  <w:style w:type="character" w:customStyle="1" w:styleId="yiv315943952343535721-12072011">
    <w:name w:val="yiv315943952343535721-12072011"/>
    <w:rsid w:val="00154589"/>
    <w:rPr>
      <w:rFonts w:ascii="Times New Roman" w:hAnsi="Times New Roman"/>
    </w:rPr>
  </w:style>
  <w:style w:type="character" w:customStyle="1" w:styleId="Paralevel1Char">
    <w:name w:val="Para level1 Char"/>
    <w:link w:val="Paralevel1"/>
    <w:uiPriority w:val="99"/>
    <w:rsid w:val="00154589"/>
    <w:rPr>
      <w:lang w:val="en-GB"/>
    </w:rPr>
  </w:style>
  <w:style w:type="character" w:customStyle="1" w:styleId="Paralevel1CharChar">
    <w:name w:val="Para level1 Char Char"/>
    <w:rsid w:val="00154589"/>
    <w:rPr>
      <w:bCs/>
      <w:color w:val="000000"/>
      <w:sz w:val="22"/>
      <w:szCs w:val="22"/>
    </w:rPr>
  </w:style>
  <w:style w:type="paragraph" w:customStyle="1" w:styleId="Bullets">
    <w:name w:val="Bullets"/>
    <w:basedOn w:val="Normal"/>
    <w:rsid w:val="00154589"/>
    <w:pPr>
      <w:numPr>
        <w:numId w:val="10"/>
      </w:numPr>
      <w:tabs>
        <w:tab w:val="clear" w:pos="1247"/>
        <w:tab w:val="clear" w:pos="1814"/>
        <w:tab w:val="clear" w:pos="2381"/>
        <w:tab w:val="clear" w:pos="2948"/>
        <w:tab w:val="clear" w:pos="3515"/>
      </w:tabs>
    </w:pPr>
    <w:rPr>
      <w:rFonts w:ascii="Cambria" w:eastAsia="Cambria" w:hAnsi="Cambria"/>
      <w:sz w:val="24"/>
      <w:szCs w:val="24"/>
    </w:rPr>
  </w:style>
  <w:style w:type="character" w:customStyle="1" w:styleId="CH3Char">
    <w:name w:val="CH3 Char"/>
    <w:link w:val="CH3"/>
    <w:rsid w:val="00154589"/>
    <w:rPr>
      <w:b/>
      <w:lang w:val="en-GB"/>
    </w:rPr>
  </w:style>
  <w:style w:type="paragraph" w:customStyle="1" w:styleId="ColorfulList-Accent12">
    <w:name w:val="Colorful List - Accent 12"/>
    <w:basedOn w:val="Normal"/>
    <w:qFormat/>
    <w:rsid w:val="00154589"/>
    <w:pPr>
      <w:ind w:left="720"/>
      <w:contextualSpacing/>
    </w:pPr>
    <w:rPr>
      <w:rFonts w:ascii="Cambria" w:eastAsia="MS Mincho" w:hAnsi="Cambria"/>
      <w:sz w:val="24"/>
      <w:szCs w:val="24"/>
      <w:lang w:val="en-US"/>
    </w:rPr>
  </w:style>
  <w:style w:type="paragraph" w:styleId="NormalIndent">
    <w:name w:val="Normal Indent"/>
    <w:basedOn w:val="Normal"/>
    <w:semiHidden/>
    <w:rsid w:val="00154589"/>
    <w:pPr>
      <w:ind w:left="1247"/>
    </w:pPr>
  </w:style>
  <w:style w:type="paragraph" w:customStyle="1" w:styleId="font6">
    <w:name w:val="font6"/>
    <w:basedOn w:val="Normal"/>
    <w:rsid w:val="00154589"/>
    <w:pPr>
      <w:tabs>
        <w:tab w:val="clear" w:pos="1247"/>
        <w:tab w:val="clear" w:pos="1814"/>
        <w:tab w:val="clear" w:pos="2381"/>
        <w:tab w:val="clear" w:pos="2948"/>
        <w:tab w:val="clear" w:pos="3515"/>
      </w:tabs>
      <w:spacing w:before="100" w:beforeAutospacing="1" w:after="100" w:afterAutospacing="1"/>
    </w:pPr>
    <w:rPr>
      <w:rFonts w:ascii="Arial Narrow" w:hAnsi="Arial Narrow"/>
      <w:b/>
      <w:bCs/>
      <w:lang w:val="en-US"/>
    </w:rPr>
  </w:style>
  <w:style w:type="character" w:customStyle="1" w:styleId="yshortcuts">
    <w:name w:val="yshortcuts"/>
    <w:basedOn w:val="DefaultParagraphFont"/>
    <w:rsid w:val="00154589"/>
  </w:style>
  <w:style w:type="character" w:customStyle="1" w:styleId="FootnoteCharacters">
    <w:name w:val="Footnote Characters"/>
    <w:uiPriority w:val="99"/>
    <w:rsid w:val="00154589"/>
    <w:rPr>
      <w:rFonts w:ascii="@MS Mincho" w:eastAsia="@MS Mincho"/>
      <w:color w:val="auto"/>
      <w:sz w:val="18"/>
      <w:vertAlign w:val="superscript"/>
    </w:rPr>
  </w:style>
  <w:style w:type="character" w:styleId="FollowedHyperlink">
    <w:name w:val="FollowedHyperlink"/>
    <w:uiPriority w:val="99"/>
    <w:rsid w:val="00154589"/>
    <w:rPr>
      <w:color w:val="800080"/>
      <w:u w:val="single"/>
    </w:rPr>
  </w:style>
  <w:style w:type="paragraph" w:customStyle="1" w:styleId="xl65">
    <w:name w:val="xl65"/>
    <w:basedOn w:val="Normal"/>
    <w:rsid w:val="00154589"/>
    <w:pP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b/>
      <w:bCs/>
      <w:sz w:val="24"/>
      <w:szCs w:val="24"/>
      <w:lang w:val="en-US"/>
    </w:rPr>
  </w:style>
  <w:style w:type="paragraph" w:customStyle="1" w:styleId="xl66">
    <w:name w:val="xl66"/>
    <w:basedOn w:val="Normal"/>
    <w:rsid w:val="00154589"/>
    <w:pPr>
      <w:pBdr>
        <w:top w:val="single" w:sz="12" w:space="0" w:color="auto"/>
        <w:left w:val="single" w:sz="12" w:space="0" w:color="auto"/>
        <w:bottom w:val="single" w:sz="12"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b/>
      <w:bCs/>
      <w:sz w:val="24"/>
      <w:szCs w:val="24"/>
      <w:lang w:val="en-US"/>
    </w:rPr>
  </w:style>
  <w:style w:type="paragraph" w:customStyle="1" w:styleId="xl67">
    <w:name w:val="xl67"/>
    <w:basedOn w:val="Normal"/>
    <w:rsid w:val="00154589"/>
    <w:pPr>
      <w:pBdr>
        <w:top w:val="single" w:sz="12" w:space="0" w:color="auto"/>
        <w:left w:val="single" w:sz="12" w:space="0" w:color="auto"/>
        <w:bottom w:val="single" w:sz="12" w:space="0" w:color="auto"/>
        <w:right w:val="single" w:sz="12"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b/>
      <w:bCs/>
      <w:sz w:val="24"/>
      <w:szCs w:val="24"/>
      <w:lang w:val="en-US"/>
    </w:rPr>
  </w:style>
  <w:style w:type="paragraph" w:customStyle="1" w:styleId="xl68">
    <w:name w:val="xl68"/>
    <w:basedOn w:val="Normal"/>
    <w:rsid w:val="00154589"/>
    <w:pP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b/>
      <w:bCs/>
      <w:sz w:val="24"/>
      <w:szCs w:val="24"/>
      <w:lang w:val="en-US"/>
    </w:rPr>
  </w:style>
  <w:style w:type="paragraph" w:customStyle="1" w:styleId="xl70">
    <w:name w:val="xl70"/>
    <w:basedOn w:val="Normal"/>
    <w:rsid w:val="00154589"/>
    <w:pPr>
      <w:pBdr>
        <w:top w:val="single" w:sz="4" w:space="0" w:color="auto"/>
        <w:left w:val="single" w:sz="12"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en-US"/>
    </w:rPr>
  </w:style>
  <w:style w:type="paragraph" w:customStyle="1" w:styleId="xl71">
    <w:name w:val="xl71"/>
    <w:basedOn w:val="Normal"/>
    <w:rsid w:val="00154589"/>
    <w:pPr>
      <w:pBdr>
        <w:top w:val="single" w:sz="4" w:space="0" w:color="auto"/>
        <w:left w:val="single" w:sz="4" w:space="9"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ascii="Arial Narrow" w:hAnsi="Arial Narrow"/>
      <w:b/>
      <w:bCs/>
      <w:sz w:val="24"/>
      <w:szCs w:val="24"/>
      <w:lang w:val="en-US"/>
    </w:rPr>
  </w:style>
  <w:style w:type="paragraph" w:customStyle="1" w:styleId="xl72">
    <w:name w:val="xl72"/>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ascii="Arial Narrow" w:hAnsi="Arial Narrow"/>
      <w:b/>
      <w:bCs/>
      <w:sz w:val="24"/>
      <w:szCs w:val="24"/>
      <w:lang w:val="en-US"/>
    </w:rPr>
  </w:style>
  <w:style w:type="paragraph" w:customStyle="1" w:styleId="xl73">
    <w:name w:val="xl73"/>
    <w:basedOn w:val="Normal"/>
    <w:rsid w:val="00154589"/>
    <w:pPr>
      <w:pBdr>
        <w:top w:val="single" w:sz="4" w:space="0" w:color="auto"/>
        <w:left w:val="single" w:sz="4" w:space="0" w:color="auto"/>
        <w:bottom w:val="single" w:sz="4" w:space="0" w:color="auto"/>
        <w:right w:val="single" w:sz="12"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ascii="Arial Narrow" w:hAnsi="Arial Narrow"/>
      <w:b/>
      <w:bCs/>
      <w:sz w:val="24"/>
      <w:szCs w:val="24"/>
      <w:lang w:val="en-US"/>
    </w:rPr>
  </w:style>
  <w:style w:type="paragraph" w:customStyle="1" w:styleId="xl74">
    <w:name w:val="xl74"/>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Narrow" w:hAnsi="Arial Narrow"/>
      <w:b/>
      <w:bCs/>
      <w:sz w:val="24"/>
      <w:szCs w:val="24"/>
      <w:lang w:val="en-US"/>
    </w:rPr>
  </w:style>
  <w:style w:type="paragraph" w:customStyle="1" w:styleId="xl75">
    <w:name w:val="xl75"/>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rFonts w:ascii="Arial Narrow" w:hAnsi="Arial Narrow"/>
      <w:b/>
      <w:bCs/>
      <w:sz w:val="24"/>
      <w:szCs w:val="24"/>
      <w:lang w:val="en-US"/>
    </w:rPr>
  </w:style>
  <w:style w:type="paragraph" w:customStyle="1" w:styleId="xl76">
    <w:name w:val="xl76"/>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rFonts w:ascii="Arial Narrow" w:hAnsi="Arial Narrow"/>
      <w:b/>
      <w:bCs/>
      <w:sz w:val="24"/>
      <w:szCs w:val="24"/>
      <w:lang w:val="en-US"/>
    </w:rPr>
  </w:style>
  <w:style w:type="paragraph" w:customStyle="1" w:styleId="xl77">
    <w:name w:val="xl77"/>
    <w:basedOn w:val="Normal"/>
    <w:rsid w:val="00154589"/>
    <w:pPr>
      <w:pBdr>
        <w:top w:val="single" w:sz="4" w:space="0" w:color="auto"/>
        <w:left w:val="single" w:sz="4" w:space="0" w:color="auto"/>
        <w:bottom w:val="single" w:sz="4" w:space="0" w:color="auto"/>
        <w:right w:val="single" w:sz="12" w:space="0" w:color="auto"/>
      </w:pBdr>
      <w:tabs>
        <w:tab w:val="clear" w:pos="1247"/>
        <w:tab w:val="clear" w:pos="1814"/>
        <w:tab w:val="clear" w:pos="2381"/>
        <w:tab w:val="clear" w:pos="2948"/>
        <w:tab w:val="clear" w:pos="3515"/>
      </w:tabs>
      <w:spacing w:before="100" w:beforeAutospacing="1" w:after="100" w:afterAutospacing="1"/>
      <w:jc w:val="right"/>
    </w:pPr>
    <w:rPr>
      <w:rFonts w:ascii="Arial Narrow" w:hAnsi="Arial Narrow"/>
      <w:b/>
      <w:bCs/>
      <w:sz w:val="24"/>
      <w:szCs w:val="24"/>
      <w:lang w:val="en-US"/>
    </w:rPr>
  </w:style>
  <w:style w:type="paragraph" w:customStyle="1" w:styleId="xl78">
    <w:name w:val="xl78"/>
    <w:basedOn w:val="Normal"/>
    <w:rsid w:val="00154589"/>
    <w:pPr>
      <w:pBdr>
        <w:top w:val="single" w:sz="4" w:space="0" w:color="auto"/>
        <w:left w:val="single" w:sz="4" w:space="0" w:color="auto"/>
        <w:bottom w:val="single" w:sz="4" w:space="0" w:color="auto"/>
        <w:right w:val="single" w:sz="4" w:space="0" w:color="auto"/>
      </w:pBdr>
      <w:shd w:val="clear" w:color="auto" w:fill="FFFFFF"/>
      <w:tabs>
        <w:tab w:val="clear" w:pos="1247"/>
        <w:tab w:val="clear" w:pos="1814"/>
        <w:tab w:val="clear" w:pos="2381"/>
        <w:tab w:val="clear" w:pos="2948"/>
        <w:tab w:val="clear" w:pos="3515"/>
      </w:tabs>
      <w:spacing w:before="100" w:beforeAutospacing="1" w:after="100" w:afterAutospacing="1"/>
    </w:pPr>
    <w:rPr>
      <w:rFonts w:ascii="Arial Narrow" w:hAnsi="Arial Narrow"/>
      <w:b/>
      <w:bCs/>
      <w:sz w:val="24"/>
      <w:szCs w:val="24"/>
      <w:lang w:val="en-US"/>
    </w:rPr>
  </w:style>
  <w:style w:type="paragraph" w:customStyle="1" w:styleId="xl79">
    <w:name w:val="xl79"/>
    <w:basedOn w:val="Normal"/>
    <w:rsid w:val="00154589"/>
    <w:pPr>
      <w:pBdr>
        <w:top w:val="single" w:sz="4" w:space="0" w:color="auto"/>
        <w:left w:val="single" w:sz="4" w:space="0" w:color="auto"/>
        <w:bottom w:val="single" w:sz="4" w:space="0" w:color="auto"/>
        <w:right w:val="single" w:sz="4" w:space="0" w:color="auto"/>
      </w:pBdr>
      <w:shd w:val="clear" w:color="auto" w:fill="FFFFFF"/>
      <w:tabs>
        <w:tab w:val="clear" w:pos="1247"/>
        <w:tab w:val="clear" w:pos="1814"/>
        <w:tab w:val="clear" w:pos="2381"/>
        <w:tab w:val="clear" w:pos="2948"/>
        <w:tab w:val="clear" w:pos="3515"/>
      </w:tabs>
      <w:spacing w:before="100" w:beforeAutospacing="1" w:after="100" w:afterAutospacing="1"/>
      <w:jc w:val="right"/>
    </w:pPr>
    <w:rPr>
      <w:rFonts w:ascii="Arial Narrow" w:hAnsi="Arial Narrow"/>
      <w:b/>
      <w:bCs/>
      <w:sz w:val="24"/>
      <w:szCs w:val="24"/>
      <w:lang w:val="en-US"/>
    </w:rPr>
  </w:style>
  <w:style w:type="paragraph" w:customStyle="1" w:styleId="xl80">
    <w:name w:val="xl80"/>
    <w:basedOn w:val="Normal"/>
    <w:rsid w:val="00154589"/>
    <w:pPr>
      <w:pBdr>
        <w:top w:val="single" w:sz="4" w:space="0" w:color="auto"/>
        <w:left w:val="single" w:sz="4" w:space="0" w:color="auto"/>
        <w:bottom w:val="single" w:sz="4" w:space="0" w:color="auto"/>
        <w:right w:val="single" w:sz="4" w:space="0" w:color="auto"/>
      </w:pBdr>
      <w:shd w:val="clear" w:color="auto" w:fill="FFFFFF"/>
      <w:tabs>
        <w:tab w:val="clear" w:pos="1247"/>
        <w:tab w:val="clear" w:pos="1814"/>
        <w:tab w:val="clear" w:pos="2381"/>
        <w:tab w:val="clear" w:pos="2948"/>
        <w:tab w:val="clear" w:pos="3515"/>
      </w:tabs>
      <w:spacing w:before="100" w:beforeAutospacing="1" w:after="100" w:afterAutospacing="1"/>
      <w:jc w:val="right"/>
    </w:pPr>
    <w:rPr>
      <w:rFonts w:ascii="Arial Narrow" w:hAnsi="Arial Narrow"/>
      <w:b/>
      <w:bCs/>
      <w:sz w:val="24"/>
      <w:szCs w:val="24"/>
      <w:lang w:val="en-US"/>
    </w:rPr>
  </w:style>
  <w:style w:type="paragraph" w:customStyle="1" w:styleId="xl81">
    <w:name w:val="xl81"/>
    <w:basedOn w:val="Normal"/>
    <w:rsid w:val="00154589"/>
    <w:pPr>
      <w:pBdr>
        <w:top w:val="single" w:sz="4" w:space="0" w:color="auto"/>
        <w:left w:val="single" w:sz="4" w:space="9"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ascii="Arial" w:hAnsi="Arial" w:cs="Arial"/>
      <w:b/>
      <w:bCs/>
      <w:sz w:val="24"/>
      <w:szCs w:val="24"/>
      <w:lang w:val="en-US"/>
    </w:rPr>
  </w:style>
  <w:style w:type="paragraph" w:customStyle="1" w:styleId="xl82">
    <w:name w:val="xl82"/>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b/>
      <w:bCs/>
      <w:sz w:val="24"/>
      <w:szCs w:val="24"/>
      <w:lang w:val="en-US"/>
    </w:rPr>
  </w:style>
  <w:style w:type="paragraph" w:customStyle="1" w:styleId="xl83">
    <w:name w:val="xl83"/>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b/>
      <w:bCs/>
      <w:sz w:val="24"/>
      <w:szCs w:val="24"/>
      <w:lang w:val="en-US"/>
    </w:rPr>
  </w:style>
  <w:style w:type="paragraph" w:customStyle="1" w:styleId="xl84">
    <w:name w:val="xl84"/>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b/>
      <w:bCs/>
      <w:sz w:val="24"/>
      <w:szCs w:val="24"/>
      <w:lang w:val="en-US"/>
    </w:rPr>
  </w:style>
  <w:style w:type="paragraph" w:customStyle="1" w:styleId="xl85">
    <w:name w:val="xl85"/>
    <w:basedOn w:val="Normal"/>
    <w:rsid w:val="00154589"/>
    <w:pPr>
      <w:pBdr>
        <w:top w:val="single" w:sz="4" w:space="0" w:color="auto"/>
        <w:left w:val="single" w:sz="4" w:space="0" w:color="auto"/>
        <w:bottom w:val="single" w:sz="4" w:space="0" w:color="auto"/>
        <w:right w:val="single" w:sz="12"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b/>
      <w:bCs/>
      <w:sz w:val="24"/>
      <w:szCs w:val="24"/>
      <w:lang w:val="en-US"/>
    </w:rPr>
  </w:style>
  <w:style w:type="paragraph" w:customStyle="1" w:styleId="xl86">
    <w:name w:val="xl86"/>
    <w:basedOn w:val="Normal"/>
    <w:rsid w:val="00154589"/>
    <w:pPr>
      <w:pBdr>
        <w:left w:val="single" w:sz="12" w:space="9"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100" w:firstLine="100"/>
    </w:pPr>
    <w:rPr>
      <w:rFonts w:ascii="Arial Narrow" w:hAnsi="Arial Narrow"/>
      <w:sz w:val="24"/>
      <w:szCs w:val="24"/>
      <w:lang w:val="en-US"/>
    </w:rPr>
  </w:style>
  <w:style w:type="paragraph" w:customStyle="1" w:styleId="xl87">
    <w:name w:val="xl87"/>
    <w:basedOn w:val="Normal"/>
    <w:rsid w:val="00154589"/>
    <w:pPr>
      <w:pBdr>
        <w:top w:val="single" w:sz="4" w:space="0" w:color="auto"/>
        <w:left w:val="single" w:sz="12" w:space="9"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100" w:firstLine="100"/>
    </w:pPr>
    <w:rPr>
      <w:rFonts w:ascii="Arial Narrow" w:hAnsi="Arial Narrow"/>
      <w:sz w:val="24"/>
      <w:szCs w:val="24"/>
      <w:lang w:val="en-US"/>
    </w:rPr>
  </w:style>
  <w:style w:type="paragraph" w:customStyle="1" w:styleId="xl88">
    <w:name w:val="xl88"/>
    <w:basedOn w:val="Normal"/>
    <w:rsid w:val="00154589"/>
    <w:pPr>
      <w:pBdr>
        <w:top w:val="single" w:sz="4" w:space="0" w:color="auto"/>
        <w:left w:val="single" w:sz="12" w:space="9"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100" w:firstLine="100"/>
    </w:pPr>
    <w:rPr>
      <w:rFonts w:ascii="Arial Narrow" w:hAnsi="Arial Narrow"/>
      <w:color w:val="000000"/>
      <w:sz w:val="24"/>
      <w:szCs w:val="24"/>
      <w:lang w:val="en-US"/>
    </w:rPr>
  </w:style>
  <w:style w:type="paragraph" w:customStyle="1" w:styleId="xl89">
    <w:name w:val="xl89"/>
    <w:basedOn w:val="Normal"/>
    <w:rsid w:val="00154589"/>
    <w:pPr>
      <w:pBdr>
        <w:top w:val="single" w:sz="4" w:space="0" w:color="auto"/>
        <w:left w:val="single" w:sz="12" w:space="9"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100" w:firstLine="100"/>
    </w:pPr>
    <w:rPr>
      <w:rFonts w:ascii="Arial Narrow" w:hAnsi="Arial Narrow"/>
      <w:color w:val="000000"/>
      <w:sz w:val="24"/>
      <w:szCs w:val="24"/>
      <w:lang w:val="en-US"/>
    </w:rPr>
  </w:style>
  <w:style w:type="paragraph" w:customStyle="1" w:styleId="xl90">
    <w:name w:val="xl90"/>
    <w:basedOn w:val="Normal"/>
    <w:rsid w:val="00154589"/>
    <w:pPr>
      <w:pBdr>
        <w:top w:val="single" w:sz="4" w:space="0" w:color="auto"/>
        <w:left w:val="single" w:sz="12" w:space="9" w:color="auto"/>
        <w:bottom w:val="single" w:sz="4" w:space="0" w:color="auto"/>
      </w:pBdr>
      <w:shd w:val="clear" w:color="auto" w:fill="FFFFFF"/>
      <w:tabs>
        <w:tab w:val="clear" w:pos="1247"/>
        <w:tab w:val="clear" w:pos="1814"/>
        <w:tab w:val="clear" w:pos="2381"/>
        <w:tab w:val="clear" w:pos="2948"/>
        <w:tab w:val="clear" w:pos="3515"/>
      </w:tabs>
      <w:spacing w:before="100" w:beforeAutospacing="1" w:after="100" w:afterAutospacing="1"/>
      <w:ind w:firstLineChars="100" w:firstLine="100"/>
    </w:pPr>
    <w:rPr>
      <w:rFonts w:ascii="Arial Narrow" w:hAnsi="Arial Narrow"/>
      <w:color w:val="000000"/>
      <w:sz w:val="24"/>
      <w:szCs w:val="24"/>
      <w:lang w:val="en-US"/>
    </w:rPr>
  </w:style>
  <w:style w:type="paragraph" w:customStyle="1" w:styleId="xl91">
    <w:name w:val="xl91"/>
    <w:basedOn w:val="Normal"/>
    <w:rsid w:val="00154589"/>
    <w:pPr>
      <w:pBdr>
        <w:top w:val="single" w:sz="4" w:space="0" w:color="auto"/>
        <w:left w:val="single" w:sz="12" w:space="9" w:color="auto"/>
      </w:pBdr>
      <w:tabs>
        <w:tab w:val="clear" w:pos="1247"/>
        <w:tab w:val="clear" w:pos="1814"/>
        <w:tab w:val="clear" w:pos="2381"/>
        <w:tab w:val="clear" w:pos="2948"/>
        <w:tab w:val="clear" w:pos="3515"/>
      </w:tabs>
      <w:spacing w:before="100" w:beforeAutospacing="1" w:after="100" w:afterAutospacing="1"/>
      <w:ind w:firstLineChars="100" w:firstLine="100"/>
    </w:pPr>
    <w:rPr>
      <w:rFonts w:ascii="Arial Narrow" w:hAnsi="Arial Narrow"/>
      <w:color w:val="000000"/>
      <w:sz w:val="24"/>
      <w:szCs w:val="24"/>
      <w:lang w:val="en-US"/>
    </w:rPr>
  </w:style>
  <w:style w:type="paragraph" w:customStyle="1" w:styleId="xl92">
    <w:name w:val="xl92"/>
    <w:basedOn w:val="Normal"/>
    <w:rsid w:val="00154589"/>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ascii="Arial Narrow" w:hAnsi="Arial Narrow"/>
      <w:b/>
      <w:bCs/>
      <w:sz w:val="24"/>
      <w:szCs w:val="24"/>
      <w:lang w:val="en-US"/>
    </w:rPr>
  </w:style>
  <w:style w:type="paragraph" w:customStyle="1" w:styleId="xl93">
    <w:name w:val="xl93"/>
    <w:basedOn w:val="Normal"/>
    <w:rsid w:val="00154589"/>
    <w:pPr>
      <w:pBdr>
        <w:left w:val="single" w:sz="4" w:space="0" w:color="auto"/>
        <w:bottom w:val="single" w:sz="4" w:space="0" w:color="auto"/>
      </w:pBdr>
      <w:shd w:val="clear" w:color="auto" w:fill="FFFFFF"/>
      <w:tabs>
        <w:tab w:val="clear" w:pos="1247"/>
        <w:tab w:val="clear" w:pos="1814"/>
        <w:tab w:val="clear" w:pos="2381"/>
        <w:tab w:val="clear" w:pos="2948"/>
        <w:tab w:val="clear" w:pos="3515"/>
      </w:tabs>
      <w:spacing w:before="100" w:beforeAutospacing="1" w:after="100" w:afterAutospacing="1"/>
    </w:pPr>
    <w:rPr>
      <w:rFonts w:ascii="Arial Narrow" w:hAnsi="Arial Narrow"/>
      <w:b/>
      <w:bCs/>
      <w:sz w:val="24"/>
      <w:szCs w:val="24"/>
      <w:lang w:val="en-US"/>
    </w:rPr>
  </w:style>
  <w:style w:type="paragraph" w:customStyle="1" w:styleId="xl94">
    <w:name w:val="xl94"/>
    <w:basedOn w:val="Normal"/>
    <w:rsid w:val="00154589"/>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pPr>
    <w:rPr>
      <w:rFonts w:ascii="Arial Narrow" w:hAnsi="Arial Narrow"/>
      <w:b/>
      <w:bCs/>
      <w:sz w:val="24"/>
      <w:szCs w:val="24"/>
      <w:lang w:val="en-US"/>
    </w:rPr>
  </w:style>
  <w:style w:type="paragraph" w:customStyle="1" w:styleId="xl95">
    <w:name w:val="xl95"/>
    <w:basedOn w:val="Normal"/>
    <w:rsid w:val="00154589"/>
    <w:pPr>
      <w:pBdr>
        <w:top w:val="single" w:sz="4" w:space="0" w:color="auto"/>
        <w:left w:val="single" w:sz="12" w:space="9"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100" w:firstLine="100"/>
    </w:pPr>
    <w:rPr>
      <w:rFonts w:ascii="Arial Narrow" w:hAnsi="Arial Narrow"/>
      <w:sz w:val="24"/>
      <w:szCs w:val="24"/>
      <w:lang w:val="en-US"/>
    </w:rPr>
  </w:style>
  <w:style w:type="paragraph" w:customStyle="1" w:styleId="xl96">
    <w:name w:val="xl96"/>
    <w:basedOn w:val="Normal"/>
    <w:rsid w:val="00154589"/>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rFonts w:ascii="Arial Narrow" w:hAnsi="Arial Narrow"/>
      <w:b/>
      <w:bCs/>
      <w:sz w:val="24"/>
      <w:szCs w:val="24"/>
      <w:lang w:val="en-US"/>
    </w:rPr>
  </w:style>
  <w:style w:type="paragraph" w:customStyle="1" w:styleId="xl97">
    <w:name w:val="xl97"/>
    <w:basedOn w:val="Normal"/>
    <w:rsid w:val="00154589"/>
    <w:pPr>
      <w:pBdr>
        <w:right w:val="single" w:sz="4" w:space="0" w:color="auto"/>
      </w:pBdr>
      <w:tabs>
        <w:tab w:val="clear" w:pos="1247"/>
        <w:tab w:val="clear" w:pos="1814"/>
        <w:tab w:val="clear" w:pos="2381"/>
        <w:tab w:val="clear" w:pos="2948"/>
        <w:tab w:val="clear" w:pos="3515"/>
      </w:tabs>
      <w:spacing w:before="100" w:beforeAutospacing="1" w:after="100" w:afterAutospacing="1"/>
      <w:jc w:val="right"/>
    </w:pPr>
    <w:rPr>
      <w:rFonts w:ascii="Arial Narrow" w:hAnsi="Arial Narrow"/>
      <w:b/>
      <w:bCs/>
      <w:sz w:val="24"/>
      <w:szCs w:val="24"/>
      <w:lang w:val="en-US"/>
    </w:rPr>
  </w:style>
  <w:style w:type="paragraph" w:customStyle="1" w:styleId="font5">
    <w:name w:val="font5"/>
    <w:basedOn w:val="Normal"/>
    <w:rsid w:val="00154589"/>
    <w:pPr>
      <w:tabs>
        <w:tab w:val="clear" w:pos="1247"/>
        <w:tab w:val="clear" w:pos="1814"/>
        <w:tab w:val="clear" w:pos="2381"/>
        <w:tab w:val="clear" w:pos="2948"/>
        <w:tab w:val="clear" w:pos="3515"/>
      </w:tabs>
      <w:spacing w:before="100" w:beforeAutospacing="1" w:after="100" w:afterAutospacing="1"/>
    </w:pPr>
    <w:rPr>
      <w:sz w:val="18"/>
      <w:szCs w:val="18"/>
      <w:lang w:val="en-US"/>
    </w:rPr>
  </w:style>
  <w:style w:type="paragraph" w:customStyle="1" w:styleId="font7">
    <w:name w:val="font7"/>
    <w:basedOn w:val="Normal"/>
    <w:rsid w:val="00154589"/>
    <w:pPr>
      <w:tabs>
        <w:tab w:val="clear" w:pos="1247"/>
        <w:tab w:val="clear" w:pos="1814"/>
        <w:tab w:val="clear" w:pos="2381"/>
        <w:tab w:val="clear" w:pos="2948"/>
        <w:tab w:val="clear" w:pos="3515"/>
      </w:tabs>
      <w:spacing w:before="100" w:beforeAutospacing="1" w:after="100" w:afterAutospacing="1"/>
    </w:pPr>
    <w:rPr>
      <w:color w:val="000000"/>
      <w:sz w:val="18"/>
      <w:szCs w:val="18"/>
      <w:lang w:val="en-US"/>
    </w:rPr>
  </w:style>
  <w:style w:type="paragraph" w:customStyle="1" w:styleId="font8">
    <w:name w:val="font8"/>
    <w:basedOn w:val="Normal"/>
    <w:rsid w:val="00154589"/>
    <w:pPr>
      <w:tabs>
        <w:tab w:val="clear" w:pos="1247"/>
        <w:tab w:val="clear" w:pos="1814"/>
        <w:tab w:val="clear" w:pos="2381"/>
        <w:tab w:val="clear" w:pos="2948"/>
        <w:tab w:val="clear" w:pos="3515"/>
      </w:tabs>
      <w:spacing w:before="100" w:beforeAutospacing="1" w:after="100" w:afterAutospacing="1"/>
    </w:pPr>
    <w:rPr>
      <w:b/>
      <w:bCs/>
      <w:color w:val="000000"/>
      <w:sz w:val="18"/>
      <w:szCs w:val="18"/>
      <w:lang w:val="en-US"/>
    </w:rPr>
  </w:style>
  <w:style w:type="paragraph" w:customStyle="1" w:styleId="font9">
    <w:name w:val="font9"/>
    <w:basedOn w:val="Normal"/>
    <w:rsid w:val="00154589"/>
    <w:pPr>
      <w:tabs>
        <w:tab w:val="clear" w:pos="1247"/>
        <w:tab w:val="clear" w:pos="1814"/>
        <w:tab w:val="clear" w:pos="2381"/>
        <w:tab w:val="clear" w:pos="2948"/>
        <w:tab w:val="clear" w:pos="3515"/>
      </w:tabs>
      <w:spacing w:before="100" w:beforeAutospacing="1" w:after="100" w:afterAutospacing="1"/>
    </w:pPr>
    <w:rPr>
      <w:sz w:val="18"/>
      <w:szCs w:val="18"/>
      <w:lang w:val="en-US"/>
    </w:rPr>
  </w:style>
  <w:style w:type="paragraph" w:customStyle="1" w:styleId="xl69">
    <w:name w:val="xl69"/>
    <w:basedOn w:val="Normal"/>
    <w:rsid w:val="00154589"/>
    <w:pP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rPr>
  </w:style>
  <w:style w:type="paragraph" w:customStyle="1" w:styleId="xl98">
    <w:name w:val="xl98"/>
    <w:basedOn w:val="Normal"/>
    <w:rsid w:val="00154589"/>
    <w:pPr>
      <w:shd w:val="clear" w:color="auto" w:fill="FFFFFF"/>
      <w:tabs>
        <w:tab w:val="clear" w:pos="1247"/>
        <w:tab w:val="clear" w:pos="1814"/>
        <w:tab w:val="clear" w:pos="2381"/>
        <w:tab w:val="clear" w:pos="2948"/>
        <w:tab w:val="clear" w:pos="3515"/>
      </w:tabs>
      <w:spacing w:before="100" w:beforeAutospacing="1" w:after="100" w:afterAutospacing="1"/>
      <w:textAlignment w:val="center"/>
    </w:pPr>
    <w:rPr>
      <w:sz w:val="18"/>
      <w:szCs w:val="18"/>
      <w:lang w:val="en-US"/>
    </w:rPr>
  </w:style>
  <w:style w:type="paragraph" w:customStyle="1" w:styleId="xl99">
    <w:name w:val="xl99"/>
    <w:basedOn w:val="Normal"/>
    <w:rsid w:val="00154589"/>
    <w:pP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rPr>
  </w:style>
  <w:style w:type="paragraph" w:customStyle="1" w:styleId="xl100">
    <w:name w:val="xl100"/>
    <w:basedOn w:val="Normal"/>
    <w:rsid w:val="00154589"/>
    <w:pPr>
      <w:tabs>
        <w:tab w:val="clear" w:pos="1247"/>
        <w:tab w:val="clear" w:pos="1814"/>
        <w:tab w:val="clear" w:pos="2381"/>
        <w:tab w:val="clear" w:pos="2948"/>
        <w:tab w:val="clear" w:pos="3515"/>
      </w:tabs>
      <w:spacing w:before="100" w:beforeAutospacing="1" w:after="100" w:afterAutospacing="1"/>
      <w:textAlignment w:val="center"/>
    </w:pPr>
    <w:rPr>
      <w:sz w:val="18"/>
      <w:szCs w:val="18"/>
      <w:lang w:val="en-US"/>
    </w:rPr>
  </w:style>
  <w:style w:type="paragraph" w:customStyle="1" w:styleId="xl101">
    <w:name w:val="xl101"/>
    <w:basedOn w:val="Normal"/>
    <w:rsid w:val="00154589"/>
    <w:pPr>
      <w:tabs>
        <w:tab w:val="clear" w:pos="1247"/>
        <w:tab w:val="clear" w:pos="1814"/>
        <w:tab w:val="clear" w:pos="2381"/>
        <w:tab w:val="clear" w:pos="2948"/>
        <w:tab w:val="clear" w:pos="3515"/>
      </w:tabs>
      <w:spacing w:before="100" w:beforeAutospacing="1" w:after="100" w:afterAutospacing="1"/>
      <w:textAlignment w:val="center"/>
    </w:pPr>
    <w:rPr>
      <w:i/>
      <w:iCs/>
      <w:sz w:val="18"/>
      <w:szCs w:val="18"/>
      <w:lang w:val="en-US"/>
    </w:rPr>
  </w:style>
  <w:style w:type="paragraph" w:customStyle="1" w:styleId="xl102">
    <w:name w:val="xl102"/>
    <w:basedOn w:val="Normal"/>
    <w:rsid w:val="00154589"/>
    <w:pPr>
      <w:tabs>
        <w:tab w:val="clear" w:pos="1247"/>
        <w:tab w:val="clear" w:pos="1814"/>
        <w:tab w:val="clear" w:pos="2381"/>
        <w:tab w:val="clear" w:pos="2948"/>
        <w:tab w:val="clear" w:pos="3515"/>
      </w:tabs>
      <w:spacing w:before="100" w:beforeAutospacing="1" w:after="100" w:afterAutospacing="1"/>
    </w:pPr>
    <w:rPr>
      <w:b/>
      <w:bCs/>
      <w:sz w:val="18"/>
      <w:szCs w:val="18"/>
      <w:lang w:val="en-US"/>
    </w:rPr>
  </w:style>
  <w:style w:type="paragraph" w:customStyle="1" w:styleId="xl103">
    <w:name w:val="xl103"/>
    <w:basedOn w:val="Normal"/>
    <w:rsid w:val="00154589"/>
    <w:pPr>
      <w:shd w:val="clear" w:color="auto" w:fill="FFFFFF"/>
      <w:tabs>
        <w:tab w:val="clear" w:pos="1247"/>
        <w:tab w:val="clear" w:pos="1814"/>
        <w:tab w:val="clear" w:pos="2381"/>
        <w:tab w:val="clear" w:pos="2948"/>
        <w:tab w:val="clear" w:pos="3515"/>
      </w:tabs>
      <w:spacing w:before="100" w:beforeAutospacing="1" w:after="100" w:afterAutospacing="1"/>
      <w:textAlignment w:val="center"/>
    </w:pPr>
    <w:rPr>
      <w:color w:val="000000"/>
      <w:sz w:val="18"/>
      <w:szCs w:val="18"/>
      <w:lang w:val="en-US"/>
    </w:rPr>
  </w:style>
  <w:style w:type="paragraph" w:customStyle="1" w:styleId="xl104">
    <w:name w:val="xl104"/>
    <w:basedOn w:val="Normal"/>
    <w:rsid w:val="00154589"/>
    <w:pP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rPr>
  </w:style>
  <w:style w:type="paragraph" w:customStyle="1" w:styleId="xl105">
    <w:name w:val="xl105"/>
    <w:basedOn w:val="Normal"/>
    <w:rsid w:val="00154589"/>
    <w:pPr>
      <w:tabs>
        <w:tab w:val="clear" w:pos="1247"/>
        <w:tab w:val="clear" w:pos="1814"/>
        <w:tab w:val="clear" w:pos="2381"/>
        <w:tab w:val="clear" w:pos="2948"/>
        <w:tab w:val="clear" w:pos="3515"/>
      </w:tabs>
      <w:spacing w:before="100" w:beforeAutospacing="1" w:after="100" w:afterAutospacing="1"/>
      <w:textAlignment w:val="center"/>
    </w:pPr>
    <w:rPr>
      <w:b/>
      <w:bCs/>
      <w:color w:val="000000"/>
      <w:sz w:val="18"/>
      <w:szCs w:val="18"/>
      <w:lang w:val="en-US"/>
    </w:rPr>
  </w:style>
  <w:style w:type="paragraph" w:customStyle="1" w:styleId="xl106">
    <w:name w:val="xl106"/>
    <w:basedOn w:val="Normal"/>
    <w:rsid w:val="00154589"/>
    <w:pPr>
      <w:tabs>
        <w:tab w:val="clear" w:pos="1247"/>
        <w:tab w:val="clear" w:pos="1814"/>
        <w:tab w:val="clear" w:pos="2381"/>
        <w:tab w:val="clear" w:pos="2948"/>
        <w:tab w:val="clear" w:pos="3515"/>
      </w:tabs>
      <w:spacing w:before="100" w:beforeAutospacing="1" w:after="100" w:afterAutospacing="1"/>
      <w:textAlignment w:val="center"/>
    </w:pPr>
    <w:rPr>
      <w:b/>
      <w:bCs/>
      <w:i/>
      <w:iCs/>
      <w:sz w:val="18"/>
      <w:szCs w:val="18"/>
      <w:lang w:val="en-US"/>
    </w:rPr>
  </w:style>
  <w:style w:type="paragraph" w:customStyle="1" w:styleId="xl107">
    <w:name w:val="xl107"/>
    <w:basedOn w:val="Normal"/>
    <w:rsid w:val="00154589"/>
    <w:pPr>
      <w:tabs>
        <w:tab w:val="clear" w:pos="1247"/>
        <w:tab w:val="clear" w:pos="1814"/>
        <w:tab w:val="clear" w:pos="2381"/>
        <w:tab w:val="clear" w:pos="2948"/>
        <w:tab w:val="clear" w:pos="3515"/>
      </w:tabs>
      <w:spacing w:before="100" w:beforeAutospacing="1" w:after="100" w:afterAutospacing="1"/>
      <w:textAlignment w:val="center"/>
    </w:pPr>
    <w:rPr>
      <w:b/>
      <w:bCs/>
      <w:i/>
      <w:iCs/>
      <w:sz w:val="18"/>
      <w:szCs w:val="18"/>
      <w:lang w:val="en-US"/>
    </w:rPr>
  </w:style>
  <w:style w:type="paragraph" w:customStyle="1" w:styleId="xl108">
    <w:name w:val="xl108"/>
    <w:basedOn w:val="Normal"/>
    <w:rsid w:val="00154589"/>
    <w:pPr>
      <w:tabs>
        <w:tab w:val="clear" w:pos="1247"/>
        <w:tab w:val="clear" w:pos="1814"/>
        <w:tab w:val="clear" w:pos="2381"/>
        <w:tab w:val="clear" w:pos="2948"/>
        <w:tab w:val="clear" w:pos="3515"/>
      </w:tabs>
      <w:spacing w:before="100" w:beforeAutospacing="1" w:after="100" w:afterAutospacing="1"/>
      <w:textAlignment w:val="center"/>
    </w:pPr>
    <w:rPr>
      <w:b/>
      <w:bCs/>
      <w:i/>
      <w:iCs/>
      <w:sz w:val="18"/>
      <w:szCs w:val="18"/>
      <w:lang w:val="en-US"/>
    </w:rPr>
  </w:style>
  <w:style w:type="paragraph" w:customStyle="1" w:styleId="xl109">
    <w:name w:val="xl109"/>
    <w:basedOn w:val="Normal"/>
    <w:rsid w:val="00154589"/>
    <w:pPr>
      <w:tabs>
        <w:tab w:val="clear" w:pos="1247"/>
        <w:tab w:val="clear" w:pos="1814"/>
        <w:tab w:val="clear" w:pos="2381"/>
        <w:tab w:val="clear" w:pos="2948"/>
        <w:tab w:val="clear" w:pos="3515"/>
      </w:tabs>
      <w:spacing w:before="100" w:beforeAutospacing="1" w:after="100" w:afterAutospacing="1"/>
      <w:textAlignment w:val="center"/>
    </w:pPr>
    <w:rPr>
      <w:b/>
      <w:bCs/>
      <w:color w:val="000000"/>
      <w:sz w:val="18"/>
      <w:szCs w:val="18"/>
      <w:lang w:val="en-US"/>
    </w:rPr>
  </w:style>
  <w:style w:type="paragraph" w:customStyle="1" w:styleId="xl110">
    <w:name w:val="xl110"/>
    <w:basedOn w:val="Normal"/>
    <w:rsid w:val="00154589"/>
    <w:pPr>
      <w:tabs>
        <w:tab w:val="clear" w:pos="1247"/>
        <w:tab w:val="clear" w:pos="1814"/>
        <w:tab w:val="clear" w:pos="2381"/>
        <w:tab w:val="clear" w:pos="2948"/>
        <w:tab w:val="clear" w:pos="3515"/>
      </w:tabs>
      <w:spacing w:before="100" w:beforeAutospacing="1" w:after="100" w:afterAutospacing="1"/>
    </w:pPr>
    <w:rPr>
      <w:b/>
      <w:bCs/>
      <w:color w:val="000000"/>
      <w:sz w:val="18"/>
      <w:szCs w:val="18"/>
      <w:lang w:val="en-US"/>
    </w:rPr>
  </w:style>
  <w:style w:type="paragraph" w:customStyle="1" w:styleId="xl111">
    <w:name w:val="xl111"/>
    <w:basedOn w:val="Normal"/>
    <w:rsid w:val="00154589"/>
    <w:pPr>
      <w:tabs>
        <w:tab w:val="clear" w:pos="1247"/>
        <w:tab w:val="clear" w:pos="1814"/>
        <w:tab w:val="clear" w:pos="2381"/>
        <w:tab w:val="clear" w:pos="2948"/>
        <w:tab w:val="clear" w:pos="3515"/>
      </w:tabs>
      <w:spacing w:before="100" w:beforeAutospacing="1" w:after="100" w:afterAutospacing="1"/>
      <w:textAlignment w:val="center"/>
    </w:pPr>
    <w:rPr>
      <w:b/>
      <w:bCs/>
      <w:color w:val="000000"/>
      <w:sz w:val="18"/>
      <w:szCs w:val="18"/>
      <w:lang w:val="en-US"/>
    </w:rPr>
  </w:style>
  <w:style w:type="paragraph" w:customStyle="1" w:styleId="xl112">
    <w:name w:val="xl112"/>
    <w:basedOn w:val="Normal"/>
    <w:rsid w:val="00154589"/>
    <w:pPr>
      <w:shd w:val="clear" w:color="auto" w:fill="FFFFFF"/>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rPr>
  </w:style>
  <w:style w:type="paragraph" w:customStyle="1" w:styleId="xl113">
    <w:name w:val="xl113"/>
    <w:basedOn w:val="Normal"/>
    <w:rsid w:val="00154589"/>
    <w:pPr>
      <w:tabs>
        <w:tab w:val="clear" w:pos="1247"/>
        <w:tab w:val="clear" w:pos="1814"/>
        <w:tab w:val="clear" w:pos="2381"/>
        <w:tab w:val="clear" w:pos="2948"/>
        <w:tab w:val="clear" w:pos="3515"/>
      </w:tabs>
      <w:spacing w:before="100" w:beforeAutospacing="1" w:after="100" w:afterAutospacing="1"/>
      <w:textAlignment w:val="top"/>
    </w:pPr>
    <w:rPr>
      <w:b/>
      <w:bCs/>
      <w:sz w:val="18"/>
      <w:szCs w:val="18"/>
      <w:lang w:val="en-US"/>
    </w:rPr>
  </w:style>
  <w:style w:type="paragraph" w:customStyle="1" w:styleId="xl114">
    <w:name w:val="xl114"/>
    <w:basedOn w:val="Normal"/>
    <w:rsid w:val="00154589"/>
    <w:pP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rPr>
  </w:style>
  <w:style w:type="paragraph" w:customStyle="1" w:styleId="xl115">
    <w:name w:val="xl115"/>
    <w:basedOn w:val="Normal"/>
    <w:rsid w:val="00154589"/>
    <w:pPr>
      <w:tabs>
        <w:tab w:val="clear" w:pos="1247"/>
        <w:tab w:val="clear" w:pos="1814"/>
        <w:tab w:val="clear" w:pos="2381"/>
        <w:tab w:val="clear" w:pos="2948"/>
        <w:tab w:val="clear" w:pos="3515"/>
      </w:tabs>
      <w:spacing w:before="100" w:beforeAutospacing="1" w:after="100" w:afterAutospacing="1"/>
      <w:textAlignment w:val="center"/>
    </w:pPr>
    <w:rPr>
      <w:b/>
      <w:bCs/>
      <w:color w:val="000000"/>
      <w:sz w:val="18"/>
      <w:szCs w:val="18"/>
      <w:lang w:val="en-US"/>
    </w:rPr>
  </w:style>
  <w:style w:type="paragraph" w:customStyle="1" w:styleId="xl116">
    <w:name w:val="xl116"/>
    <w:basedOn w:val="Normal"/>
    <w:rsid w:val="00154589"/>
    <w:pPr>
      <w:tabs>
        <w:tab w:val="clear" w:pos="1247"/>
        <w:tab w:val="clear" w:pos="1814"/>
        <w:tab w:val="clear" w:pos="2381"/>
        <w:tab w:val="clear" w:pos="2948"/>
        <w:tab w:val="clear" w:pos="3515"/>
      </w:tabs>
      <w:spacing w:before="100" w:beforeAutospacing="1" w:after="100" w:afterAutospacing="1"/>
      <w:jc w:val="right"/>
      <w:textAlignment w:val="center"/>
    </w:pPr>
    <w:rPr>
      <w:b/>
      <w:bCs/>
      <w:color w:val="000000"/>
      <w:sz w:val="18"/>
      <w:szCs w:val="18"/>
      <w:lang w:val="en-US"/>
    </w:rPr>
  </w:style>
  <w:style w:type="paragraph" w:customStyle="1" w:styleId="xl117">
    <w:name w:val="xl117"/>
    <w:basedOn w:val="Normal"/>
    <w:rsid w:val="00154589"/>
    <w:pPr>
      <w:tabs>
        <w:tab w:val="clear" w:pos="1247"/>
        <w:tab w:val="clear" w:pos="1814"/>
        <w:tab w:val="clear" w:pos="2381"/>
        <w:tab w:val="clear" w:pos="2948"/>
        <w:tab w:val="clear" w:pos="3515"/>
      </w:tabs>
      <w:spacing w:before="100" w:beforeAutospacing="1" w:after="100" w:afterAutospacing="1"/>
      <w:jc w:val="right"/>
      <w:textAlignment w:val="center"/>
    </w:pPr>
    <w:rPr>
      <w:color w:val="000000"/>
      <w:sz w:val="18"/>
      <w:szCs w:val="18"/>
      <w:lang w:val="en-US"/>
    </w:rPr>
  </w:style>
  <w:style w:type="paragraph" w:customStyle="1" w:styleId="xl118">
    <w:name w:val="xl118"/>
    <w:basedOn w:val="Normal"/>
    <w:rsid w:val="00154589"/>
    <w:pP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rPr>
  </w:style>
  <w:style w:type="paragraph" w:customStyle="1" w:styleId="xl119">
    <w:name w:val="xl119"/>
    <w:basedOn w:val="Normal"/>
    <w:rsid w:val="00154589"/>
    <w:pPr>
      <w:tabs>
        <w:tab w:val="clear" w:pos="1247"/>
        <w:tab w:val="clear" w:pos="1814"/>
        <w:tab w:val="clear" w:pos="2381"/>
        <w:tab w:val="clear" w:pos="2948"/>
        <w:tab w:val="clear" w:pos="3515"/>
      </w:tabs>
      <w:spacing w:before="100" w:beforeAutospacing="1" w:after="100" w:afterAutospacing="1"/>
    </w:pPr>
    <w:rPr>
      <w:sz w:val="18"/>
      <w:szCs w:val="18"/>
      <w:lang w:val="en-US"/>
    </w:rPr>
  </w:style>
  <w:style w:type="paragraph" w:customStyle="1" w:styleId="xl120">
    <w:name w:val="xl120"/>
    <w:basedOn w:val="Normal"/>
    <w:rsid w:val="00154589"/>
    <w:pPr>
      <w:tabs>
        <w:tab w:val="clear" w:pos="1247"/>
        <w:tab w:val="clear" w:pos="1814"/>
        <w:tab w:val="clear" w:pos="2381"/>
        <w:tab w:val="clear" w:pos="2948"/>
        <w:tab w:val="clear" w:pos="3515"/>
      </w:tabs>
      <w:spacing w:before="100" w:beforeAutospacing="1" w:after="100" w:afterAutospacing="1"/>
    </w:pPr>
    <w:rPr>
      <w:sz w:val="18"/>
      <w:szCs w:val="18"/>
      <w:lang w:val="en-US"/>
    </w:rPr>
  </w:style>
  <w:style w:type="character" w:customStyle="1" w:styleId="Normal-poolChar">
    <w:name w:val="Normal-pool Char"/>
    <w:uiPriority w:val="99"/>
    <w:locked/>
    <w:rsid w:val="00154589"/>
    <w:rPr>
      <w:lang w:val="en-GB"/>
    </w:rPr>
  </w:style>
  <w:style w:type="character" w:customStyle="1" w:styleId="NormalNonumberChar">
    <w:name w:val="Normal_No_number Char"/>
    <w:link w:val="NormalNonumber"/>
    <w:locked/>
    <w:rsid w:val="00154589"/>
    <w:rPr>
      <w:lang w:val="en-GB"/>
    </w:rPr>
  </w:style>
  <w:style w:type="character" w:customStyle="1" w:styleId="Heading1Char">
    <w:name w:val="Heading 1 Char"/>
    <w:link w:val="Heading1"/>
    <w:rsid w:val="00154589"/>
    <w:rPr>
      <w:b/>
      <w:sz w:val="28"/>
      <w:lang w:val="en-GB"/>
    </w:rPr>
  </w:style>
  <w:style w:type="character" w:customStyle="1" w:styleId="Heading3Char">
    <w:name w:val="Heading 3 Char"/>
    <w:aliases w:val="Char Char"/>
    <w:link w:val="Heading3"/>
    <w:rsid w:val="00154589"/>
    <w:rPr>
      <w:b/>
      <w:lang w:val="en-GB"/>
    </w:rPr>
  </w:style>
  <w:style w:type="character" w:customStyle="1" w:styleId="Heading4Char">
    <w:name w:val="Heading 4 Char"/>
    <w:link w:val="Heading4"/>
    <w:rsid w:val="00154589"/>
    <w:rPr>
      <w:b/>
      <w:lang w:val="en-GB"/>
    </w:rPr>
  </w:style>
  <w:style w:type="character" w:customStyle="1" w:styleId="Heading5Char">
    <w:name w:val="Heading 5 Char"/>
    <w:link w:val="Heading5"/>
    <w:rsid w:val="00154589"/>
    <w:rPr>
      <w:rFonts w:ascii="Univers" w:hAnsi="Univers"/>
      <w:b/>
      <w:sz w:val="24"/>
      <w:lang w:val="en-GB"/>
    </w:rPr>
  </w:style>
  <w:style w:type="character" w:customStyle="1" w:styleId="Heading6Char">
    <w:name w:val="Heading 6 Char"/>
    <w:link w:val="Heading6"/>
    <w:rsid w:val="00154589"/>
    <w:rPr>
      <w:b/>
      <w:bCs/>
      <w:sz w:val="24"/>
      <w:lang w:val="en-GB"/>
    </w:rPr>
  </w:style>
  <w:style w:type="character" w:customStyle="1" w:styleId="Heading7Char">
    <w:name w:val="Heading 7 Char"/>
    <w:link w:val="Heading7"/>
    <w:rsid w:val="00154589"/>
    <w:rPr>
      <w:snapToGrid w:val="0"/>
      <w:u w:val="single"/>
    </w:rPr>
  </w:style>
  <w:style w:type="character" w:customStyle="1" w:styleId="Heading8Char">
    <w:name w:val="Heading 8 Char"/>
    <w:link w:val="Heading8"/>
    <w:rsid w:val="00154589"/>
    <w:rPr>
      <w:snapToGrid w:val="0"/>
      <w:u w:val="single"/>
    </w:rPr>
  </w:style>
  <w:style w:type="character" w:customStyle="1" w:styleId="Heading9Char">
    <w:name w:val="Heading 9 Char"/>
    <w:link w:val="Heading9"/>
    <w:rsid w:val="00154589"/>
    <w:rPr>
      <w:snapToGrid w:val="0"/>
      <w:u w:val="single"/>
    </w:rPr>
  </w:style>
  <w:style w:type="character" w:customStyle="1" w:styleId="FootnoteTextChar">
    <w:name w:val="Footnote Text Char"/>
    <w:aliases w:val="Fußnotentextf Char"/>
    <w:link w:val="FootnoteText"/>
    <w:uiPriority w:val="99"/>
    <w:rsid w:val="00154589"/>
    <w:rPr>
      <w:sz w:val="18"/>
      <w:lang w:val="en-GB"/>
    </w:rPr>
  </w:style>
  <w:style w:type="paragraph" w:styleId="BodyText3">
    <w:name w:val="Body Text 3"/>
    <w:basedOn w:val="Normal"/>
    <w:link w:val="BodyText3Char"/>
    <w:uiPriority w:val="99"/>
    <w:rsid w:val="00154589"/>
    <w:pPr>
      <w:tabs>
        <w:tab w:val="left" w:pos="540"/>
      </w:tabs>
    </w:pPr>
    <w:rPr>
      <w:rFonts w:ascii="Arial" w:hAnsi="Arial" w:cs="Arial"/>
    </w:rPr>
  </w:style>
  <w:style w:type="character" w:customStyle="1" w:styleId="BodyText3Char">
    <w:name w:val="Body Text 3 Char"/>
    <w:basedOn w:val="DefaultParagraphFont"/>
    <w:link w:val="BodyText3"/>
    <w:uiPriority w:val="99"/>
    <w:rsid w:val="00154589"/>
    <w:rPr>
      <w:rFonts w:ascii="Arial" w:hAnsi="Arial" w:cs="Arial"/>
      <w:lang w:val="en-GB"/>
    </w:rPr>
  </w:style>
  <w:style w:type="numbering" w:customStyle="1" w:styleId="NoList1">
    <w:name w:val="No List1"/>
    <w:next w:val="NoList"/>
    <w:uiPriority w:val="99"/>
    <w:semiHidden/>
    <w:unhideWhenUsed/>
    <w:rsid w:val="00154589"/>
  </w:style>
  <w:style w:type="numbering" w:customStyle="1" w:styleId="NoList11">
    <w:name w:val="No List11"/>
    <w:next w:val="NoList"/>
    <w:uiPriority w:val="99"/>
    <w:semiHidden/>
    <w:unhideWhenUsed/>
    <w:rsid w:val="00154589"/>
  </w:style>
  <w:style w:type="paragraph" w:customStyle="1" w:styleId="xl121">
    <w:name w:val="xl121"/>
    <w:basedOn w:val="Normal"/>
    <w:rsid w:val="00154589"/>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sz w:val="24"/>
      <w:szCs w:val="24"/>
      <w:lang w:val="fr-FR" w:eastAsia="fr-FR"/>
    </w:rPr>
  </w:style>
  <w:style w:type="paragraph" w:customStyle="1" w:styleId="xl122">
    <w:name w:val="xl122"/>
    <w:basedOn w:val="Normal"/>
    <w:rsid w:val="00154589"/>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sz w:val="24"/>
      <w:szCs w:val="24"/>
      <w:lang w:val="fr-FR" w:eastAsia="fr-FR"/>
    </w:rPr>
  </w:style>
  <w:style w:type="paragraph" w:customStyle="1" w:styleId="xl123">
    <w:name w:val="xl123"/>
    <w:basedOn w:val="Normal"/>
    <w:rsid w:val="00154589"/>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sz w:val="24"/>
      <w:szCs w:val="24"/>
      <w:lang w:val="fr-FR" w:eastAsia="fr-FR"/>
    </w:rPr>
  </w:style>
  <w:style w:type="paragraph" w:customStyle="1" w:styleId="xl124">
    <w:name w:val="xl124"/>
    <w:basedOn w:val="Normal"/>
    <w:rsid w:val="00154589"/>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fr-FR" w:eastAsia="fr-FR"/>
    </w:rPr>
  </w:style>
  <w:style w:type="paragraph" w:customStyle="1" w:styleId="xl125">
    <w:name w:val="xl125"/>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ascii="Arial" w:hAnsi="Arial" w:cs="Arial"/>
      <w:sz w:val="24"/>
      <w:szCs w:val="24"/>
      <w:lang w:val="fr-FR" w:eastAsia="fr-FR"/>
    </w:rPr>
  </w:style>
  <w:style w:type="paragraph" w:customStyle="1" w:styleId="xl126">
    <w:name w:val="xl126"/>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sz w:val="24"/>
      <w:szCs w:val="24"/>
      <w:lang w:val="fr-FR" w:eastAsia="fr-FR"/>
    </w:rPr>
  </w:style>
  <w:style w:type="paragraph" w:customStyle="1" w:styleId="xl127">
    <w:name w:val="xl127"/>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color w:val="DD0806"/>
      <w:sz w:val="24"/>
      <w:szCs w:val="24"/>
      <w:lang w:val="fr-FR" w:eastAsia="fr-FR"/>
    </w:rPr>
  </w:style>
  <w:style w:type="paragraph" w:customStyle="1" w:styleId="xl128">
    <w:name w:val="xl128"/>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sz w:val="24"/>
      <w:szCs w:val="24"/>
      <w:lang w:val="fr-FR" w:eastAsia="fr-FR"/>
    </w:rPr>
  </w:style>
  <w:style w:type="paragraph" w:customStyle="1" w:styleId="xl129">
    <w:name w:val="xl129"/>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sz w:val="24"/>
      <w:szCs w:val="24"/>
      <w:lang w:val="fr-FR" w:eastAsia="fr-FR"/>
    </w:rPr>
  </w:style>
  <w:style w:type="paragraph" w:customStyle="1" w:styleId="xl130">
    <w:name w:val="xl130"/>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sz w:val="24"/>
      <w:szCs w:val="24"/>
      <w:lang w:val="fr-FR" w:eastAsia="fr-FR"/>
    </w:rPr>
  </w:style>
  <w:style w:type="paragraph" w:customStyle="1" w:styleId="xl131">
    <w:name w:val="xl131"/>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ascii="Arial" w:hAnsi="Arial" w:cs="Arial"/>
      <w:color w:val="000000"/>
      <w:sz w:val="24"/>
      <w:szCs w:val="24"/>
      <w:lang w:val="fr-FR" w:eastAsia="fr-FR"/>
    </w:rPr>
  </w:style>
  <w:style w:type="paragraph" w:customStyle="1" w:styleId="xl132">
    <w:name w:val="xl132"/>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color w:val="000000"/>
      <w:sz w:val="24"/>
      <w:szCs w:val="24"/>
      <w:lang w:val="fr-FR" w:eastAsia="fr-FR"/>
    </w:rPr>
  </w:style>
  <w:style w:type="paragraph" w:customStyle="1" w:styleId="xl133">
    <w:name w:val="xl133"/>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ascii="Arial" w:hAnsi="Arial" w:cs="Arial"/>
      <w:sz w:val="24"/>
      <w:szCs w:val="24"/>
      <w:lang w:val="fr-FR" w:eastAsia="fr-FR"/>
    </w:rPr>
  </w:style>
  <w:style w:type="paragraph" w:customStyle="1" w:styleId="xl134">
    <w:name w:val="xl134"/>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sz w:val="24"/>
      <w:szCs w:val="24"/>
      <w:lang w:val="fr-FR" w:eastAsia="fr-FR"/>
    </w:rPr>
  </w:style>
  <w:style w:type="paragraph" w:customStyle="1" w:styleId="xl135">
    <w:name w:val="xl135"/>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color w:val="DD0806"/>
      <w:sz w:val="24"/>
      <w:szCs w:val="24"/>
      <w:lang w:val="fr-FR" w:eastAsia="fr-FR"/>
    </w:rPr>
  </w:style>
  <w:style w:type="paragraph" w:customStyle="1" w:styleId="xl136">
    <w:name w:val="xl136"/>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sz w:val="24"/>
      <w:szCs w:val="24"/>
      <w:lang w:val="fr-FR" w:eastAsia="fr-FR"/>
    </w:rPr>
  </w:style>
  <w:style w:type="paragraph" w:customStyle="1" w:styleId="xl137">
    <w:name w:val="xl137"/>
    <w:basedOn w:val="Normal"/>
    <w:rsid w:val="00154589"/>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sz w:val="24"/>
      <w:szCs w:val="24"/>
      <w:lang w:val="fr-FR" w:eastAsia="fr-FR"/>
    </w:rPr>
  </w:style>
  <w:style w:type="paragraph" w:customStyle="1" w:styleId="xl138">
    <w:name w:val="xl138"/>
    <w:basedOn w:val="Normal"/>
    <w:rsid w:val="00154589"/>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rFonts w:ascii="Arial" w:hAnsi="Arial" w:cs="Arial"/>
      <w:sz w:val="24"/>
      <w:szCs w:val="24"/>
      <w:lang w:val="fr-FR" w:eastAsia="fr-FR"/>
    </w:rPr>
  </w:style>
  <w:style w:type="paragraph" w:customStyle="1" w:styleId="xl139">
    <w:name w:val="xl139"/>
    <w:basedOn w:val="Normal"/>
    <w:rsid w:val="00154589"/>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color w:val="DD0806"/>
      <w:sz w:val="24"/>
      <w:szCs w:val="24"/>
      <w:lang w:val="fr-FR" w:eastAsia="fr-FR"/>
    </w:rPr>
  </w:style>
  <w:style w:type="paragraph" w:customStyle="1" w:styleId="xl140">
    <w:name w:val="xl140"/>
    <w:basedOn w:val="Normal"/>
    <w:rsid w:val="00154589"/>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sz w:val="24"/>
      <w:szCs w:val="24"/>
      <w:lang w:val="fr-FR" w:eastAsia="fr-FR"/>
    </w:rPr>
  </w:style>
  <w:style w:type="paragraph" w:customStyle="1" w:styleId="xl141">
    <w:name w:val="xl141"/>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sz w:val="24"/>
      <w:szCs w:val="24"/>
      <w:lang w:val="fr-FR" w:eastAsia="fr-FR"/>
    </w:rPr>
  </w:style>
  <w:style w:type="paragraph" w:customStyle="1" w:styleId="xl142">
    <w:name w:val="xl142"/>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i/>
      <w:iCs/>
      <w:sz w:val="24"/>
      <w:szCs w:val="24"/>
      <w:lang w:val="fr-FR" w:eastAsia="fr-FR"/>
    </w:rPr>
  </w:style>
  <w:style w:type="paragraph" w:customStyle="1" w:styleId="xl143">
    <w:name w:val="xl143"/>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i/>
      <w:iCs/>
      <w:sz w:val="24"/>
      <w:szCs w:val="24"/>
      <w:lang w:val="fr-FR" w:eastAsia="fr-FR"/>
    </w:rPr>
  </w:style>
  <w:style w:type="paragraph" w:customStyle="1" w:styleId="xl144">
    <w:name w:val="xl144"/>
    <w:basedOn w:val="Normal"/>
    <w:rsid w:val="00154589"/>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color w:val="000000"/>
      <w:sz w:val="24"/>
      <w:szCs w:val="24"/>
      <w:lang w:val="fr-FR" w:eastAsia="fr-FR"/>
    </w:rPr>
  </w:style>
  <w:style w:type="paragraph" w:customStyle="1" w:styleId="xl145">
    <w:name w:val="xl145"/>
    <w:basedOn w:val="Normal"/>
    <w:rsid w:val="00154589"/>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color w:val="000000"/>
      <w:sz w:val="24"/>
      <w:szCs w:val="24"/>
      <w:lang w:val="fr-FR" w:eastAsia="fr-FR"/>
    </w:rPr>
  </w:style>
  <w:style w:type="paragraph" w:customStyle="1" w:styleId="xl146">
    <w:name w:val="xl146"/>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24"/>
      <w:szCs w:val="24"/>
      <w:lang w:val="fr-FR" w:eastAsia="fr-FR"/>
    </w:rPr>
  </w:style>
  <w:style w:type="paragraph" w:customStyle="1" w:styleId="xl147">
    <w:name w:val="xl147"/>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fr-FR" w:eastAsia="fr-FR"/>
    </w:rPr>
  </w:style>
  <w:style w:type="paragraph" w:customStyle="1" w:styleId="xl148">
    <w:name w:val="xl148"/>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24"/>
      <w:szCs w:val="24"/>
      <w:lang w:val="fr-FR" w:eastAsia="fr-FR"/>
    </w:rPr>
  </w:style>
  <w:style w:type="paragraph" w:customStyle="1" w:styleId="xl149">
    <w:name w:val="xl149"/>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24"/>
      <w:szCs w:val="24"/>
      <w:lang w:val="fr-FR" w:eastAsia="fr-FR"/>
    </w:rPr>
  </w:style>
  <w:style w:type="paragraph" w:customStyle="1" w:styleId="xl150">
    <w:name w:val="xl150"/>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color w:val="000000"/>
      <w:sz w:val="24"/>
      <w:szCs w:val="24"/>
      <w:lang w:val="fr-FR" w:eastAsia="fr-FR"/>
    </w:rPr>
  </w:style>
  <w:style w:type="paragraph" w:customStyle="1" w:styleId="xl151">
    <w:name w:val="xl151"/>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i/>
      <w:iCs/>
      <w:sz w:val="24"/>
      <w:szCs w:val="24"/>
      <w:lang w:val="fr-FR" w:eastAsia="fr-FR"/>
    </w:rPr>
  </w:style>
  <w:style w:type="paragraph" w:customStyle="1" w:styleId="xl152">
    <w:name w:val="xl152"/>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color w:val="DD0806"/>
      <w:sz w:val="24"/>
      <w:szCs w:val="24"/>
      <w:lang w:val="fr-FR" w:eastAsia="fr-FR"/>
    </w:rPr>
  </w:style>
  <w:style w:type="paragraph" w:customStyle="1" w:styleId="xl153">
    <w:name w:val="xl153"/>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i/>
      <w:iCs/>
      <w:sz w:val="24"/>
      <w:szCs w:val="24"/>
      <w:lang w:val="fr-FR" w:eastAsia="fr-FR"/>
    </w:rPr>
  </w:style>
  <w:style w:type="paragraph" w:customStyle="1" w:styleId="xl154">
    <w:name w:val="xl154"/>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rFonts w:ascii="Arial" w:hAnsi="Arial" w:cs="Arial"/>
      <w:sz w:val="24"/>
      <w:szCs w:val="24"/>
      <w:lang w:val="fr-FR" w:eastAsia="fr-FR"/>
    </w:rPr>
  </w:style>
  <w:style w:type="paragraph" w:customStyle="1" w:styleId="xl155">
    <w:name w:val="xl155"/>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sz w:val="24"/>
      <w:szCs w:val="24"/>
      <w:lang w:val="fr-FR" w:eastAsia="fr-FR"/>
    </w:rPr>
  </w:style>
  <w:style w:type="paragraph" w:customStyle="1" w:styleId="xl156">
    <w:name w:val="xl156"/>
    <w:basedOn w:val="Normal"/>
    <w:rsid w:val="00154589"/>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i/>
      <w:iCs/>
      <w:sz w:val="24"/>
      <w:szCs w:val="24"/>
      <w:lang w:val="fr-FR" w:eastAsia="fr-FR"/>
    </w:rPr>
  </w:style>
  <w:style w:type="paragraph" w:customStyle="1" w:styleId="xl157">
    <w:name w:val="xl157"/>
    <w:basedOn w:val="Normal"/>
    <w:rsid w:val="00154589"/>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color w:val="DD0806"/>
      <w:sz w:val="24"/>
      <w:szCs w:val="24"/>
      <w:lang w:val="fr-FR" w:eastAsia="fr-FR"/>
    </w:rPr>
  </w:style>
  <w:style w:type="paragraph" w:customStyle="1" w:styleId="xl158">
    <w:name w:val="xl158"/>
    <w:basedOn w:val="Normal"/>
    <w:rsid w:val="00154589"/>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i/>
      <w:iCs/>
      <w:sz w:val="24"/>
      <w:szCs w:val="24"/>
      <w:lang w:val="fr-FR" w:eastAsia="fr-FR"/>
    </w:rPr>
  </w:style>
  <w:style w:type="paragraph" w:customStyle="1" w:styleId="xl159">
    <w:name w:val="xl159"/>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sz w:val="24"/>
      <w:szCs w:val="24"/>
      <w:lang w:val="fr-FR" w:eastAsia="fr-FR"/>
    </w:rPr>
  </w:style>
  <w:style w:type="paragraph" w:customStyle="1" w:styleId="xl160">
    <w:name w:val="xl160"/>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color w:val="DD0806"/>
      <w:sz w:val="24"/>
      <w:szCs w:val="24"/>
      <w:lang w:val="fr-FR" w:eastAsia="fr-FR"/>
    </w:rPr>
  </w:style>
  <w:style w:type="paragraph" w:customStyle="1" w:styleId="xl161">
    <w:name w:val="xl161"/>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sz w:val="24"/>
      <w:szCs w:val="24"/>
      <w:lang w:val="fr-FR" w:eastAsia="fr-FR"/>
    </w:rPr>
  </w:style>
  <w:style w:type="paragraph" w:customStyle="1" w:styleId="xl162">
    <w:name w:val="xl162"/>
    <w:basedOn w:val="Normal"/>
    <w:rsid w:val="00154589"/>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color w:val="000000"/>
      <w:sz w:val="24"/>
      <w:szCs w:val="24"/>
      <w:lang w:val="fr-FR" w:eastAsia="fr-FR"/>
    </w:rPr>
  </w:style>
  <w:style w:type="paragraph" w:customStyle="1" w:styleId="xl163">
    <w:name w:val="xl163"/>
    <w:basedOn w:val="Normal"/>
    <w:rsid w:val="00154589"/>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24"/>
      <w:szCs w:val="24"/>
      <w:lang w:val="fr-FR" w:eastAsia="fr-FR"/>
    </w:rPr>
  </w:style>
  <w:style w:type="paragraph" w:customStyle="1" w:styleId="xl164">
    <w:name w:val="xl164"/>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color w:val="000000"/>
      <w:sz w:val="24"/>
      <w:szCs w:val="24"/>
      <w:lang w:val="fr-FR" w:eastAsia="fr-FR"/>
    </w:rPr>
  </w:style>
  <w:style w:type="paragraph" w:customStyle="1" w:styleId="xl165">
    <w:name w:val="xl165"/>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color w:val="000000"/>
      <w:sz w:val="24"/>
      <w:szCs w:val="24"/>
      <w:lang w:val="fr-FR" w:eastAsia="fr-FR"/>
    </w:rPr>
  </w:style>
  <w:style w:type="paragraph" w:customStyle="1" w:styleId="xl166">
    <w:name w:val="xl166"/>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fr-FR" w:eastAsia="fr-FR"/>
    </w:rPr>
  </w:style>
  <w:style w:type="paragraph" w:customStyle="1" w:styleId="xl167">
    <w:name w:val="xl167"/>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24"/>
      <w:szCs w:val="24"/>
      <w:lang w:val="fr-FR" w:eastAsia="fr-FR"/>
    </w:rPr>
  </w:style>
  <w:style w:type="paragraph" w:customStyle="1" w:styleId="xl168">
    <w:name w:val="xl168"/>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b/>
      <w:bCs/>
      <w:sz w:val="24"/>
      <w:szCs w:val="24"/>
      <w:lang w:val="fr-FR" w:eastAsia="fr-FR"/>
    </w:rPr>
  </w:style>
  <w:style w:type="paragraph" w:customStyle="1" w:styleId="xl169">
    <w:name w:val="xl169"/>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i/>
      <w:iCs/>
      <w:sz w:val="24"/>
      <w:szCs w:val="24"/>
      <w:lang w:val="fr-FR" w:eastAsia="fr-FR"/>
    </w:rPr>
  </w:style>
  <w:style w:type="paragraph" w:customStyle="1" w:styleId="xl170">
    <w:name w:val="xl170"/>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sz w:val="24"/>
      <w:szCs w:val="24"/>
      <w:lang w:val="fr-FR" w:eastAsia="fr-FR"/>
    </w:rPr>
  </w:style>
  <w:style w:type="paragraph" w:customStyle="1" w:styleId="xl171">
    <w:name w:val="xl171"/>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fr-FR" w:eastAsia="fr-FR"/>
    </w:rPr>
  </w:style>
  <w:style w:type="paragraph" w:customStyle="1" w:styleId="xl172">
    <w:name w:val="xl172"/>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24"/>
      <w:szCs w:val="24"/>
      <w:lang w:val="fr-FR" w:eastAsia="fr-FR"/>
    </w:rPr>
  </w:style>
  <w:style w:type="paragraph" w:customStyle="1" w:styleId="xl173">
    <w:name w:val="xl173"/>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24"/>
      <w:szCs w:val="24"/>
      <w:lang w:val="fr-FR" w:eastAsia="fr-FR"/>
    </w:rPr>
  </w:style>
  <w:style w:type="paragraph" w:customStyle="1" w:styleId="xl174">
    <w:name w:val="xl174"/>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24"/>
      <w:szCs w:val="24"/>
      <w:lang w:val="fr-FR" w:eastAsia="fr-FR"/>
    </w:rPr>
  </w:style>
  <w:style w:type="paragraph" w:customStyle="1" w:styleId="xl175">
    <w:name w:val="xl175"/>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fr-FR" w:eastAsia="fr-FR"/>
    </w:rPr>
  </w:style>
  <w:style w:type="paragraph" w:customStyle="1" w:styleId="xl176">
    <w:name w:val="xl176"/>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24"/>
      <w:szCs w:val="24"/>
      <w:lang w:val="fr-FR" w:eastAsia="fr-FR"/>
    </w:rPr>
  </w:style>
  <w:style w:type="paragraph" w:customStyle="1" w:styleId="xl177">
    <w:name w:val="xl177"/>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fr-FR" w:eastAsia="fr-FR"/>
    </w:rPr>
  </w:style>
  <w:style w:type="paragraph" w:customStyle="1" w:styleId="xl178">
    <w:name w:val="xl178"/>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b/>
      <w:bCs/>
      <w:sz w:val="24"/>
      <w:szCs w:val="24"/>
      <w:lang w:val="fr-FR" w:eastAsia="fr-FR"/>
    </w:rPr>
  </w:style>
  <w:style w:type="paragraph" w:customStyle="1" w:styleId="xl179">
    <w:name w:val="xl179"/>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color w:val="DD0806"/>
      <w:sz w:val="24"/>
      <w:szCs w:val="24"/>
      <w:lang w:val="fr-FR" w:eastAsia="fr-FR"/>
    </w:rPr>
  </w:style>
  <w:style w:type="paragraph" w:customStyle="1" w:styleId="xl180">
    <w:name w:val="xl180"/>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b/>
      <w:bCs/>
      <w:i/>
      <w:iCs/>
      <w:sz w:val="24"/>
      <w:szCs w:val="24"/>
      <w:lang w:val="fr-FR" w:eastAsia="fr-FR"/>
    </w:rPr>
  </w:style>
  <w:style w:type="paragraph" w:customStyle="1" w:styleId="xl181">
    <w:name w:val="xl181"/>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b/>
      <w:bCs/>
      <w:sz w:val="24"/>
      <w:szCs w:val="24"/>
      <w:lang w:val="fr-FR" w:eastAsia="fr-FR"/>
    </w:rPr>
  </w:style>
  <w:style w:type="paragraph" w:customStyle="1" w:styleId="xl182">
    <w:name w:val="xl182"/>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ascii="Arial" w:hAnsi="Arial" w:cs="Arial"/>
      <w:sz w:val="24"/>
      <w:szCs w:val="24"/>
      <w:lang w:val="fr-FR" w:eastAsia="fr-FR"/>
    </w:rPr>
  </w:style>
  <w:style w:type="paragraph" w:customStyle="1" w:styleId="xl183">
    <w:name w:val="xl183"/>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ascii="Arial" w:hAnsi="Arial" w:cs="Arial"/>
      <w:color w:val="000000"/>
      <w:sz w:val="24"/>
      <w:szCs w:val="24"/>
      <w:lang w:val="fr-FR" w:eastAsia="fr-FR"/>
    </w:rPr>
  </w:style>
  <w:style w:type="paragraph" w:customStyle="1" w:styleId="xl184">
    <w:name w:val="xl184"/>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24"/>
      <w:szCs w:val="24"/>
      <w:lang w:val="fr-FR" w:eastAsia="fr-FR"/>
    </w:rPr>
  </w:style>
  <w:style w:type="paragraph" w:customStyle="1" w:styleId="xl185">
    <w:name w:val="xl185"/>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24"/>
      <w:szCs w:val="24"/>
      <w:lang w:val="fr-FR" w:eastAsia="fr-FR"/>
    </w:rPr>
  </w:style>
  <w:style w:type="paragraph" w:customStyle="1" w:styleId="xl186">
    <w:name w:val="xl186"/>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rFonts w:ascii="Arial" w:hAnsi="Arial" w:cs="Arial"/>
      <w:b/>
      <w:bCs/>
      <w:sz w:val="24"/>
      <w:szCs w:val="24"/>
      <w:lang w:val="fr-FR" w:eastAsia="fr-FR"/>
    </w:rPr>
  </w:style>
  <w:style w:type="paragraph" w:customStyle="1" w:styleId="xl187">
    <w:name w:val="xl187"/>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ascii="Arial" w:hAnsi="Arial" w:cs="Arial"/>
      <w:b/>
      <w:bCs/>
      <w:sz w:val="24"/>
      <w:szCs w:val="24"/>
      <w:lang w:val="fr-FR" w:eastAsia="fr-FR"/>
    </w:rPr>
  </w:style>
  <w:style w:type="paragraph" w:customStyle="1" w:styleId="xl188">
    <w:name w:val="xl188"/>
    <w:basedOn w:val="Normal"/>
    <w:rsid w:val="00154589"/>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b/>
      <w:bCs/>
      <w:sz w:val="24"/>
      <w:szCs w:val="24"/>
      <w:lang w:val="fr-FR" w:eastAsia="fr-FR"/>
    </w:rPr>
  </w:style>
  <w:style w:type="numbering" w:customStyle="1" w:styleId="NoList2">
    <w:name w:val="No List2"/>
    <w:next w:val="NoList"/>
    <w:uiPriority w:val="99"/>
    <w:semiHidden/>
    <w:unhideWhenUsed/>
    <w:rsid w:val="00154589"/>
  </w:style>
  <w:style w:type="numbering" w:customStyle="1" w:styleId="NoList12">
    <w:name w:val="No List12"/>
    <w:next w:val="NoList"/>
    <w:uiPriority w:val="99"/>
    <w:semiHidden/>
    <w:unhideWhenUsed/>
    <w:rsid w:val="00154589"/>
  </w:style>
  <w:style w:type="paragraph" w:customStyle="1" w:styleId="Footerpool">
    <w:name w:val="Footer_pool"/>
    <w:basedOn w:val="Normal"/>
    <w:next w:val="Normal"/>
    <w:semiHidden/>
    <w:rsid w:val="00154589"/>
    <w:pPr>
      <w:tabs>
        <w:tab w:val="clear" w:pos="1247"/>
        <w:tab w:val="clear" w:pos="1814"/>
        <w:tab w:val="clear" w:pos="2381"/>
        <w:tab w:val="clear" w:pos="2948"/>
        <w:tab w:val="clear" w:pos="3515"/>
        <w:tab w:val="left" w:pos="4321"/>
        <w:tab w:val="right" w:pos="8641"/>
      </w:tabs>
      <w:spacing w:before="60" w:after="120"/>
    </w:pPr>
    <w:rPr>
      <w:rFonts w:eastAsia="Calibri"/>
      <w:b/>
      <w:sz w:val="18"/>
      <w:lang w:val="en-US"/>
    </w:rPr>
  </w:style>
  <w:style w:type="paragraph" w:customStyle="1" w:styleId="Headerpool">
    <w:name w:val="Header_pool"/>
    <w:basedOn w:val="Normal"/>
    <w:next w:val="Normal"/>
    <w:semiHidden/>
    <w:rsid w:val="00154589"/>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Calibri"/>
      <w:b/>
      <w:sz w:val="18"/>
      <w:lang w:val="en-US"/>
    </w:rPr>
  </w:style>
  <w:style w:type="paragraph" w:customStyle="1" w:styleId="xl63">
    <w:name w:val="xl63"/>
    <w:basedOn w:val="Normal"/>
    <w:rsid w:val="00154589"/>
    <w:pPr>
      <w:pBdr>
        <w:top w:val="single" w:sz="4" w:space="0" w:color="auto"/>
        <w:left w:val="single" w:sz="12"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fr-FR" w:eastAsia="fr-FR"/>
    </w:rPr>
  </w:style>
  <w:style w:type="paragraph" w:customStyle="1" w:styleId="xl64">
    <w:name w:val="xl64"/>
    <w:basedOn w:val="Normal"/>
    <w:rsid w:val="00154589"/>
    <w:pPr>
      <w:pBdr>
        <w:top w:val="single" w:sz="4" w:space="0" w:color="auto"/>
        <w:left w:val="single" w:sz="4" w:space="9"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ascii="Arial Narrow" w:hAnsi="Arial Narrow"/>
      <w:b/>
      <w:bCs/>
      <w:sz w:val="24"/>
      <w:szCs w:val="24"/>
      <w:lang w:val="fr-FR" w:eastAsia="fr-FR"/>
    </w:rPr>
  </w:style>
  <w:style w:type="paragraph" w:styleId="NoSpacing">
    <w:name w:val="No Spacing"/>
    <w:uiPriority w:val="1"/>
    <w:qFormat/>
    <w:rsid w:val="00154589"/>
    <w:rPr>
      <w:rFonts w:ascii="Calibri" w:eastAsia="Calibri" w:hAnsi="Calibri"/>
      <w:sz w:val="22"/>
      <w:szCs w:val="22"/>
      <w:lang w:val="en-AU"/>
    </w:rPr>
  </w:style>
  <w:style w:type="character" w:customStyle="1" w:styleId="HeaderChar1">
    <w:name w:val="Header Char1"/>
    <w:uiPriority w:val="99"/>
    <w:semiHidden/>
    <w:rsid w:val="00154589"/>
    <w:rPr>
      <w:szCs w:val="24"/>
    </w:rPr>
  </w:style>
  <w:style w:type="character" w:customStyle="1" w:styleId="ZZAnxtitleChar">
    <w:name w:val="ZZ_Anx_title Char"/>
    <w:link w:val="ZZAnxtitle"/>
    <w:rsid w:val="00154589"/>
    <w:rPr>
      <w:b/>
      <w:bCs/>
      <w:sz w:val="28"/>
      <w:szCs w:val="26"/>
      <w:lang w:val="en-GB"/>
    </w:rPr>
  </w:style>
  <w:style w:type="paragraph" w:styleId="Revision">
    <w:name w:val="Revision"/>
    <w:hidden/>
    <w:uiPriority w:val="99"/>
    <w:rsid w:val="00154589"/>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iPriority="99"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pool"/>
    <w:next w:val="NormalNonumber"/>
    <w:uiPriority w:val="99"/>
    <w:qFormat/>
    <w:rsid w:val="0031269C"/>
    <w:pPr>
      <w:tabs>
        <w:tab w:val="left" w:pos="1247"/>
        <w:tab w:val="left" w:pos="1814"/>
        <w:tab w:val="left" w:pos="2381"/>
        <w:tab w:val="left" w:pos="2948"/>
        <w:tab w:val="left" w:pos="3515"/>
      </w:tabs>
    </w:pPr>
    <w:rPr>
      <w:lang w:val="en-GB"/>
    </w:rPr>
  </w:style>
  <w:style w:type="paragraph" w:styleId="Heading1">
    <w:name w:val="heading 1"/>
    <w:basedOn w:val="Normal"/>
    <w:next w:val="Normalnumber"/>
    <w:link w:val="Heading1Char"/>
    <w:qFormat/>
    <w:rsid w:val="00B405B7"/>
    <w:pPr>
      <w:keepNext/>
      <w:spacing w:before="240" w:after="120"/>
      <w:ind w:left="1247" w:hanging="680"/>
      <w:outlineLvl w:val="0"/>
    </w:pPr>
    <w:rPr>
      <w:b/>
      <w:sz w:val="28"/>
    </w:rPr>
  </w:style>
  <w:style w:type="paragraph" w:styleId="Heading2">
    <w:name w:val="heading 2"/>
    <w:aliases w:val="SubPara (a),Heading 2 Char,Heading 2 Char1 Char,Heading 2 Char Char Char,SubPara (a) Char Char Char,Heading 2 Char1 Char Char Char,Heading 2 Char Char Char Char Char,Heading 2 Char1 Char1 Char Char Char Char,SubPara (a) Char"/>
    <w:basedOn w:val="Normal"/>
    <w:next w:val="Normalnumber"/>
    <w:link w:val="Heading2Char1"/>
    <w:qFormat/>
    <w:rsid w:val="00B405B7"/>
    <w:pPr>
      <w:keepNext/>
      <w:spacing w:before="240" w:after="120"/>
      <w:ind w:left="1247" w:hanging="680"/>
      <w:outlineLvl w:val="1"/>
    </w:pPr>
    <w:rPr>
      <w:b/>
      <w:sz w:val="24"/>
      <w:szCs w:val="24"/>
    </w:rPr>
  </w:style>
  <w:style w:type="paragraph" w:styleId="Heading3">
    <w:name w:val="heading 3"/>
    <w:aliases w:val="Char"/>
    <w:basedOn w:val="Normal"/>
    <w:next w:val="Normalnumber"/>
    <w:link w:val="Heading3Char"/>
    <w:qFormat/>
    <w:rsid w:val="00200D58"/>
    <w:pPr>
      <w:spacing w:after="120"/>
      <w:ind w:left="1247" w:hanging="680"/>
      <w:outlineLvl w:val="2"/>
    </w:pPr>
    <w:rPr>
      <w:b/>
    </w:rPr>
  </w:style>
  <w:style w:type="paragraph" w:styleId="Heading4">
    <w:name w:val="heading 4"/>
    <w:basedOn w:val="Heading3"/>
    <w:next w:val="Normalnumber"/>
    <w:link w:val="Heading4Char"/>
    <w:qFormat/>
    <w:rsid w:val="00715E88"/>
    <w:pPr>
      <w:keepNext/>
      <w:outlineLvl w:val="3"/>
    </w:pPr>
  </w:style>
  <w:style w:type="paragraph" w:styleId="Heading5">
    <w:name w:val="heading 5"/>
    <w:basedOn w:val="Normal"/>
    <w:next w:val="Normal"/>
    <w:link w:val="Heading5Char"/>
    <w:qFormat/>
    <w:rsid w:val="00247707"/>
    <w:pPr>
      <w:keepNext/>
      <w:outlineLvl w:val="4"/>
    </w:pPr>
    <w:rPr>
      <w:rFonts w:ascii="Univers" w:hAnsi="Univers"/>
      <w:b/>
      <w:sz w:val="24"/>
    </w:rPr>
  </w:style>
  <w:style w:type="paragraph" w:styleId="Heading6">
    <w:name w:val="heading 6"/>
    <w:basedOn w:val="Normal"/>
    <w:next w:val="Normal"/>
    <w:link w:val="Heading6Char"/>
    <w:qFormat/>
    <w:rsid w:val="00247707"/>
    <w:pPr>
      <w:keepNext/>
      <w:ind w:left="578"/>
      <w:outlineLvl w:val="5"/>
    </w:pPr>
    <w:rPr>
      <w:b/>
      <w:bCs/>
      <w:sz w:val="24"/>
    </w:rPr>
  </w:style>
  <w:style w:type="paragraph" w:styleId="Heading7">
    <w:name w:val="heading 7"/>
    <w:basedOn w:val="Normal"/>
    <w:next w:val="Normal"/>
    <w:link w:val="Heading7Char"/>
    <w:qFormat/>
    <w:rsid w:val="00247707"/>
    <w:pPr>
      <w:keepNext/>
      <w:widowControl w:val="0"/>
      <w:jc w:val="center"/>
      <w:outlineLvl w:val="6"/>
    </w:pPr>
    <w:rPr>
      <w:snapToGrid w:val="0"/>
      <w:u w:val="single"/>
      <w:lang w:val="en-US"/>
    </w:rPr>
  </w:style>
  <w:style w:type="paragraph" w:styleId="Heading8">
    <w:name w:val="heading 8"/>
    <w:basedOn w:val="Normal"/>
    <w:next w:val="Normal"/>
    <w:link w:val="Heading8Char"/>
    <w:qFormat/>
    <w:rsid w:val="00247707"/>
    <w:pPr>
      <w:keepNext/>
      <w:widowControl w:val="0"/>
      <w:numPr>
        <w:numId w:val="1"/>
      </w:numPr>
      <w:tabs>
        <w:tab w:val="left" w:pos="-1440"/>
        <w:tab w:val="left" w:pos="-720"/>
      </w:tabs>
      <w:suppressAutoHyphens/>
      <w:ind w:hanging="360"/>
      <w:jc w:val="center"/>
      <w:outlineLvl w:val="7"/>
    </w:pPr>
    <w:rPr>
      <w:snapToGrid w:val="0"/>
      <w:u w:val="single"/>
      <w:lang w:val="en-US"/>
    </w:rPr>
  </w:style>
  <w:style w:type="paragraph" w:styleId="Heading9">
    <w:name w:val="heading 9"/>
    <w:basedOn w:val="Normal"/>
    <w:next w:val="Normal"/>
    <w:link w:val="Heading9Char"/>
    <w:qFormat/>
    <w:rsid w:val="00247707"/>
    <w:pPr>
      <w:keepNext/>
      <w:widowControl w:val="0"/>
      <w:numPr>
        <w:numId w:val="2"/>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AB5340"/>
    <w:rPr>
      <w:rFonts w:ascii="Times New Roman" w:hAnsi="Times New Roman"/>
      <w:b/>
      <w:sz w:val="18"/>
    </w:rPr>
  </w:style>
  <w:style w:type="table" w:customStyle="1" w:styleId="Tabledocright">
    <w:name w:val="Table_doc_right"/>
    <w:basedOn w:val="TableNormal"/>
    <w:rsid w:val="00E21C83"/>
    <w:pPr>
      <w:spacing w:before="40" w:after="40"/>
    </w:pPr>
    <w:rPr>
      <w:sz w:val="18"/>
      <w:szCs w:val="18"/>
    </w:rPr>
    <w:tblPr>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autoRedefine/>
    <w:semiHidden/>
    <w:rsid w:val="002C2C3E"/>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2C2C3E"/>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2C2C3E"/>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2C2C3E"/>
    <w:pPr>
      <w:tabs>
        <w:tab w:val="clear" w:pos="1814"/>
        <w:tab w:val="clear" w:pos="2381"/>
        <w:tab w:val="clear" w:pos="2948"/>
        <w:tab w:val="clear" w:pos="3515"/>
      </w:tabs>
      <w:ind w:left="1600"/>
    </w:pPr>
    <w:rPr>
      <w:sz w:val="18"/>
      <w:szCs w:val="18"/>
    </w:rPr>
  </w:style>
  <w:style w:type="paragraph" w:customStyle="1" w:styleId="Titlefigure">
    <w:name w:val="Title_figure"/>
    <w:basedOn w:val="Titletable"/>
    <w:next w:val="NormalNonumber"/>
    <w:rsid w:val="000247B0"/>
    <w:rPr>
      <w:bCs w:val="0"/>
    </w:rPr>
  </w:style>
  <w:style w:type="paragraph" w:styleId="TableofFigures">
    <w:name w:val="table of figures"/>
    <w:basedOn w:val="Normal"/>
    <w:next w:val="Normal"/>
    <w:autoRedefine/>
    <w:semiHidden/>
    <w:rsid w:val="002A237D"/>
    <w:pPr>
      <w:tabs>
        <w:tab w:val="clear" w:pos="1814"/>
        <w:tab w:val="clear" w:pos="2381"/>
        <w:tab w:val="clear" w:pos="2948"/>
        <w:tab w:val="clear" w:pos="3515"/>
      </w:tabs>
      <w:ind w:left="1814" w:hanging="567"/>
    </w:pPr>
  </w:style>
  <w:style w:type="paragraph" w:customStyle="1" w:styleId="CH1">
    <w:name w:val="CH1"/>
    <w:basedOn w:val="Normal"/>
    <w:next w:val="CH2"/>
    <w:link w:val="CH1Char"/>
    <w:uiPriority w:val="99"/>
    <w:rsid w:val="006303B4"/>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
    <w:next w:val="Normalnumber"/>
    <w:link w:val="CH2Char"/>
    <w:rsid w:val="00CE524C"/>
    <w:pPr>
      <w:keepNext/>
      <w:keepLines/>
      <w:tabs>
        <w:tab w:val="right" w:pos="851"/>
      </w:tabs>
      <w:suppressAutoHyphens/>
      <w:spacing w:before="80" w:after="120"/>
      <w:ind w:left="1247" w:right="284" w:hanging="1247"/>
    </w:pPr>
    <w:rPr>
      <w:b/>
      <w:sz w:val="24"/>
      <w:szCs w:val="24"/>
    </w:rPr>
  </w:style>
  <w:style w:type="paragraph" w:customStyle="1" w:styleId="CH3">
    <w:name w:val="CH3"/>
    <w:basedOn w:val="Normal"/>
    <w:next w:val="Normalnumber"/>
    <w:link w:val="CH3Char"/>
    <w:rsid w:val="006303B4"/>
    <w:pPr>
      <w:keepNext/>
      <w:keepLines/>
      <w:tabs>
        <w:tab w:val="right" w:pos="851"/>
      </w:tabs>
      <w:suppressAutoHyphens/>
      <w:spacing w:after="120"/>
      <w:ind w:left="1247" w:right="284" w:hanging="1247"/>
    </w:pPr>
    <w:rPr>
      <w:b/>
    </w:rPr>
  </w:style>
  <w:style w:type="paragraph" w:customStyle="1" w:styleId="CH4">
    <w:name w:val="CH4"/>
    <w:basedOn w:val="Normal"/>
    <w:next w:val="Normalnumber"/>
    <w:rsid w:val="004C5C96"/>
    <w:pPr>
      <w:keepNext/>
      <w:keepLines/>
      <w:tabs>
        <w:tab w:val="right" w:pos="851"/>
      </w:tabs>
      <w:suppressAutoHyphens/>
      <w:spacing w:after="120"/>
      <w:ind w:left="1247" w:right="284" w:hanging="1247"/>
    </w:pPr>
    <w:rPr>
      <w:b/>
    </w:rPr>
  </w:style>
  <w:style w:type="table" w:customStyle="1" w:styleId="Footertable">
    <w:name w:val="Footer_table"/>
    <w:basedOn w:val="TableNormal"/>
    <w:semiHidden/>
    <w:rsid w:val="001F75DE"/>
    <w:rPr>
      <w:rFonts w:ascii="Arial" w:hAnsi="Arial"/>
      <w:sz w:val="16"/>
    </w:rPr>
    <w:tblPr>
      <w:jc w:val="right"/>
      <w:tblInd w:w="0" w:type="dxa"/>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
    <w:trPr>
      <w:jc w:val="right"/>
    </w:trPr>
    <w:tcPr>
      <w:tcMar>
        <w:top w:w="28" w:type="dxa"/>
        <w:bottom w:w="28" w:type="dxa"/>
      </w:tcMar>
    </w:tcPr>
  </w:style>
  <w:style w:type="paragraph" w:customStyle="1" w:styleId="CH5">
    <w:name w:val="CH5"/>
    <w:basedOn w:val="Normal"/>
    <w:next w:val="Normalnumber"/>
    <w:rsid w:val="00D8108C"/>
    <w:pPr>
      <w:keepNext/>
      <w:keepLines/>
      <w:tabs>
        <w:tab w:val="right" w:pos="851"/>
      </w:tabs>
      <w:suppressAutoHyphens/>
      <w:spacing w:after="120"/>
      <w:ind w:left="1247" w:right="284" w:hanging="1247"/>
    </w:pPr>
    <w:rPr>
      <w:b/>
    </w:rPr>
  </w:style>
  <w:style w:type="character" w:styleId="FootnoteReference">
    <w:name w:val="footnote reference"/>
    <w:aliases w:val="Footnote text,16 Point,Superscript 6 Point,Footnote Text1,Footnote Text2"/>
    <w:basedOn w:val="DefaultParagraphFont"/>
    <w:semiHidden/>
    <w:rsid w:val="009B4A0F"/>
    <w:rPr>
      <w:rFonts w:ascii="Times New Roman" w:hAnsi="Times New Roman"/>
      <w:color w:val="auto"/>
      <w:sz w:val="20"/>
      <w:szCs w:val="18"/>
      <w:vertAlign w:val="superscript"/>
    </w:rPr>
  </w:style>
  <w:style w:type="paragraph" w:styleId="FootnoteText">
    <w:name w:val="footnote text"/>
    <w:aliases w:val="Fußnotentextf"/>
    <w:basedOn w:val="Normal"/>
    <w:link w:val="FootnoteTextChar"/>
    <w:uiPriority w:val="99"/>
    <w:rsid w:val="00247707"/>
    <w:pPr>
      <w:spacing w:before="20" w:after="40"/>
      <w:ind w:left="1247"/>
    </w:pPr>
    <w:rPr>
      <w:sz w:val="18"/>
    </w:rPr>
  </w:style>
  <w:style w:type="table" w:customStyle="1" w:styleId="AATable">
    <w:name w:val="AA_Table"/>
    <w:basedOn w:val="TableNormal"/>
    <w:rsid w:val="00651BFA"/>
    <w:tblPr>
      <w:tblStyleRowBandSize w:val="1"/>
      <w:tblStyleColBandSize w:val="1"/>
      <w:jc w:val="right"/>
      <w:tblInd w:w="0" w:type="dxa"/>
      <w:tblCellMar>
        <w:top w:w="0" w:type="dxa"/>
        <w:left w:w="108" w:type="dxa"/>
        <w:bottom w:w="0" w:type="dxa"/>
        <w:right w:w="108" w:type="dxa"/>
      </w:tblCellMar>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1600" w:afterAutospacing="0"/>
        <w:ind w:rightChars="0" w:right="0"/>
      </w:pPr>
      <w:rPr>
        <w:rFonts w:ascii="Times New Roman" w:hAnsi="Times New Roman"/>
      </w:rPr>
    </w:tblStylePr>
  </w:style>
  <w:style w:type="paragraph" w:customStyle="1" w:styleId="AATitle">
    <w:name w:val="AA_Title"/>
    <w:basedOn w:val="Normal"/>
    <w:rsid w:val="00A469FA"/>
    <w:pPr>
      <w:keepNext/>
      <w:keepLines/>
      <w:suppressAutoHyphens/>
      <w:ind w:right="3402"/>
    </w:pPr>
    <w:rPr>
      <w:b/>
    </w:rPr>
  </w:style>
  <w:style w:type="paragraph" w:customStyle="1" w:styleId="AATitle2">
    <w:name w:val="AA_Title2"/>
    <w:basedOn w:val="AATitle"/>
    <w:rsid w:val="006431A6"/>
    <w:pPr>
      <w:spacing w:before="120" w:after="120"/>
      <w:ind w:right="1701"/>
    </w:pPr>
  </w:style>
  <w:style w:type="paragraph" w:customStyle="1" w:styleId="BBTitle">
    <w:name w:val="BB_Title"/>
    <w:basedOn w:val="Normal"/>
    <w:link w:val="BBTitleChar"/>
    <w:rsid w:val="0009640C"/>
    <w:pPr>
      <w:keepNext/>
      <w:keepLines/>
      <w:suppressAutoHyphens/>
      <w:spacing w:before="320" w:after="240"/>
      <w:ind w:left="1247" w:right="567"/>
    </w:pPr>
    <w:rPr>
      <w:b/>
      <w:sz w:val="28"/>
      <w:szCs w:val="28"/>
    </w:rPr>
  </w:style>
  <w:style w:type="paragraph" w:styleId="Footer">
    <w:name w:val="footer"/>
    <w:aliases w:val="Footer-pool"/>
    <w:basedOn w:val="Normal"/>
    <w:link w:val="FooterChar"/>
    <w:uiPriority w:val="99"/>
    <w:rsid w:val="002A6864"/>
    <w:pPr>
      <w:tabs>
        <w:tab w:val="clear" w:pos="1247"/>
        <w:tab w:val="center" w:pos="4320"/>
        <w:tab w:val="right" w:pos="8640"/>
      </w:tabs>
      <w:spacing w:before="60" w:after="120"/>
    </w:pPr>
  </w:style>
  <w:style w:type="paragraph" w:styleId="Header">
    <w:name w:val="header"/>
    <w:aliases w:val="Header-pool,EthylHeader"/>
    <w:basedOn w:val="Normal"/>
    <w:link w:val="HeaderChar"/>
    <w:rsid w:val="00AB5340"/>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basedOn w:val="DefaultParagraphFont"/>
    <w:semiHidden/>
    <w:rsid w:val="00715E88"/>
    <w:rPr>
      <w:rFonts w:ascii="Times New Roman" w:hAnsi="Times New Roman"/>
      <w:color w:val="auto"/>
      <w:sz w:val="20"/>
      <w:szCs w:val="20"/>
      <w:u w:val="none"/>
      <w:lang w:val="fr-FR"/>
    </w:rPr>
  </w:style>
  <w:style w:type="numbering" w:customStyle="1" w:styleId="Normallist">
    <w:name w:val="Normal_list"/>
    <w:basedOn w:val="NoList"/>
    <w:rsid w:val="00071886"/>
    <w:pPr>
      <w:numPr>
        <w:numId w:val="3"/>
      </w:numPr>
    </w:pPr>
  </w:style>
  <w:style w:type="paragraph" w:customStyle="1" w:styleId="NormalNonumber">
    <w:name w:val="Normal_No_number"/>
    <w:basedOn w:val="Normal"/>
    <w:link w:val="NormalNonumberChar"/>
    <w:rsid w:val="004C5C96"/>
    <w:pPr>
      <w:spacing w:after="120"/>
      <w:ind w:left="1247"/>
    </w:pPr>
  </w:style>
  <w:style w:type="paragraph" w:customStyle="1" w:styleId="Normalnumber">
    <w:name w:val="Normal_number"/>
    <w:basedOn w:val="Normal"/>
    <w:link w:val="NormalnumberChar"/>
    <w:rsid w:val="00071886"/>
    <w:pPr>
      <w:numPr>
        <w:numId w:val="4"/>
      </w:numPr>
      <w:spacing w:after="120"/>
    </w:pPr>
  </w:style>
  <w:style w:type="paragraph" w:customStyle="1" w:styleId="Titletable">
    <w:name w:val="Title_table"/>
    <w:basedOn w:val="Normal"/>
    <w:rsid w:val="000247B0"/>
    <w:pPr>
      <w:keepNext/>
      <w:keepLines/>
      <w:suppressAutoHyphens/>
      <w:spacing w:after="60"/>
      <w:ind w:left="1247"/>
    </w:pPr>
    <w:rPr>
      <w:b/>
      <w:bCs/>
    </w:rPr>
  </w:style>
  <w:style w:type="paragraph" w:styleId="TOC1">
    <w:name w:val="toc 1"/>
    <w:basedOn w:val="Normal"/>
    <w:next w:val="Normal"/>
    <w:rsid w:val="003F0E85"/>
    <w:pPr>
      <w:tabs>
        <w:tab w:val="clear" w:pos="2381"/>
        <w:tab w:val="clear" w:pos="2948"/>
        <w:tab w:val="clear" w:pos="3515"/>
        <w:tab w:val="right" w:leader="dot" w:pos="9486"/>
      </w:tabs>
      <w:spacing w:before="120" w:after="120"/>
      <w:ind w:left="1814" w:hanging="567"/>
    </w:pPr>
    <w:rPr>
      <w:bCs/>
    </w:rPr>
  </w:style>
  <w:style w:type="paragraph" w:styleId="TOC2">
    <w:name w:val="toc 2"/>
    <w:basedOn w:val="Normal"/>
    <w:next w:val="Normal"/>
    <w:rsid w:val="002C2C3E"/>
    <w:pPr>
      <w:tabs>
        <w:tab w:val="clear" w:pos="1814"/>
        <w:tab w:val="clear" w:pos="2948"/>
        <w:tab w:val="clear" w:pos="3515"/>
        <w:tab w:val="right" w:leader="dot" w:pos="9486"/>
      </w:tabs>
      <w:ind w:left="2381" w:hanging="567"/>
    </w:pPr>
  </w:style>
  <w:style w:type="paragraph" w:styleId="TOC3">
    <w:name w:val="toc 3"/>
    <w:basedOn w:val="Normal"/>
    <w:next w:val="Normal"/>
    <w:rsid w:val="002929D8"/>
    <w:pPr>
      <w:tabs>
        <w:tab w:val="clear" w:pos="1814"/>
        <w:tab w:val="clear" w:pos="2381"/>
        <w:tab w:val="clear" w:pos="2948"/>
        <w:tab w:val="clear" w:pos="3515"/>
        <w:tab w:val="right" w:leader="dot" w:pos="9486"/>
      </w:tabs>
      <w:ind w:left="2948" w:hanging="567"/>
    </w:pPr>
    <w:rPr>
      <w:iCs/>
    </w:rPr>
  </w:style>
  <w:style w:type="paragraph" w:styleId="TOC4">
    <w:name w:val="toc 4"/>
    <w:basedOn w:val="Normal"/>
    <w:next w:val="Normal"/>
    <w:rsid w:val="002929D8"/>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247707"/>
    <w:pPr>
      <w:tabs>
        <w:tab w:val="clear" w:pos="1814"/>
        <w:tab w:val="clear" w:pos="2381"/>
        <w:tab w:val="clear" w:pos="2948"/>
        <w:tab w:val="clear" w:pos="3515"/>
      </w:tabs>
      <w:ind w:left="800"/>
    </w:pPr>
    <w:rPr>
      <w:sz w:val="18"/>
      <w:szCs w:val="18"/>
    </w:rPr>
  </w:style>
  <w:style w:type="paragraph" w:customStyle="1" w:styleId="ZZAnxheader">
    <w:name w:val="ZZ_Anx_header"/>
    <w:basedOn w:val="Normal"/>
    <w:rsid w:val="00715E88"/>
    <w:rPr>
      <w:b/>
      <w:bCs/>
      <w:sz w:val="28"/>
      <w:szCs w:val="22"/>
    </w:rPr>
  </w:style>
  <w:style w:type="paragraph" w:customStyle="1" w:styleId="ZZAnxtitle">
    <w:name w:val="ZZ_Anx_title"/>
    <w:basedOn w:val="Normal"/>
    <w:link w:val="ZZAnxtitleChar"/>
    <w:rsid w:val="00715E88"/>
    <w:pPr>
      <w:spacing w:before="360" w:after="120"/>
      <w:ind w:left="1247"/>
    </w:pPr>
    <w:rPr>
      <w:b/>
      <w:bCs/>
      <w:sz w:val="28"/>
      <w:szCs w:val="26"/>
    </w:rPr>
  </w:style>
  <w:style w:type="table" w:styleId="TableGrid">
    <w:name w:val="Table Grid"/>
    <w:basedOn w:val="TableNormal"/>
    <w:rsid w:val="003126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pool">
    <w:name w:val="Normal_pool"/>
    <w:link w:val="NormalpoolChar"/>
    <w:rsid w:val="0031269C"/>
    <w:pPr>
      <w:tabs>
        <w:tab w:val="left" w:pos="1253"/>
        <w:tab w:val="left" w:pos="1814"/>
        <w:tab w:val="left" w:pos="2376"/>
        <w:tab w:val="left" w:pos="2952"/>
        <w:tab w:val="left" w:pos="3514"/>
      </w:tabs>
    </w:pPr>
    <w:rPr>
      <w:lang w:val="en-GB"/>
    </w:rPr>
  </w:style>
  <w:style w:type="character" w:customStyle="1" w:styleId="NormalpoolChar">
    <w:name w:val="Normal_pool Char"/>
    <w:link w:val="Normalpool"/>
    <w:locked/>
    <w:rsid w:val="0031269C"/>
    <w:rPr>
      <w:lang w:val="en-GB"/>
    </w:rPr>
  </w:style>
  <w:style w:type="character" w:customStyle="1" w:styleId="BBTitleChar">
    <w:name w:val="BB_Title Char"/>
    <w:link w:val="BBTitle"/>
    <w:rsid w:val="0031269C"/>
    <w:rPr>
      <w:b/>
      <w:sz w:val="28"/>
      <w:szCs w:val="28"/>
      <w:lang w:val="en-GB"/>
    </w:rPr>
  </w:style>
  <w:style w:type="paragraph" w:styleId="BalloonText">
    <w:name w:val="Balloon Text"/>
    <w:basedOn w:val="Normal"/>
    <w:link w:val="BalloonTextChar"/>
    <w:rsid w:val="0074431D"/>
    <w:rPr>
      <w:rFonts w:ascii="Tahoma" w:hAnsi="Tahoma" w:cs="Tahoma"/>
      <w:sz w:val="16"/>
      <w:szCs w:val="16"/>
    </w:rPr>
  </w:style>
  <w:style w:type="character" w:customStyle="1" w:styleId="BalloonTextChar">
    <w:name w:val="Balloon Text Char"/>
    <w:basedOn w:val="DefaultParagraphFont"/>
    <w:link w:val="BalloonText"/>
    <w:rsid w:val="0074431D"/>
    <w:rPr>
      <w:rFonts w:ascii="Tahoma" w:hAnsi="Tahoma" w:cs="Tahoma"/>
      <w:sz w:val="16"/>
      <w:szCs w:val="16"/>
      <w:lang w:val="en-GB"/>
    </w:rPr>
  </w:style>
  <w:style w:type="character" w:customStyle="1" w:styleId="HeaderChar">
    <w:name w:val="Header Char"/>
    <w:aliases w:val="Header-pool Char,EthylHeader Char"/>
    <w:link w:val="Header"/>
    <w:uiPriority w:val="99"/>
    <w:rsid w:val="006923A3"/>
    <w:rPr>
      <w:b/>
      <w:sz w:val="18"/>
      <w:lang w:val="en-GB"/>
    </w:rPr>
  </w:style>
  <w:style w:type="character" w:customStyle="1" w:styleId="tgc">
    <w:name w:val="_tgc"/>
    <w:rsid w:val="006923A3"/>
  </w:style>
  <w:style w:type="character" w:customStyle="1" w:styleId="CH1Char">
    <w:name w:val="CH1 Char"/>
    <w:link w:val="CH1"/>
    <w:uiPriority w:val="99"/>
    <w:locked/>
    <w:rsid w:val="00210198"/>
    <w:rPr>
      <w:b/>
      <w:sz w:val="28"/>
      <w:szCs w:val="28"/>
      <w:lang w:val="en-GB"/>
    </w:rPr>
  </w:style>
  <w:style w:type="character" w:customStyle="1" w:styleId="NormalnumberChar">
    <w:name w:val="Normal_number Char"/>
    <w:link w:val="Normalnumber"/>
    <w:locked/>
    <w:rsid w:val="00210198"/>
    <w:rPr>
      <w:lang w:val="en-GB"/>
    </w:rPr>
  </w:style>
  <w:style w:type="character" w:customStyle="1" w:styleId="CH2Char">
    <w:name w:val="CH2 Char"/>
    <w:link w:val="CH2"/>
    <w:locked/>
    <w:rsid w:val="000E7DB2"/>
    <w:rPr>
      <w:b/>
      <w:sz w:val="24"/>
      <w:szCs w:val="24"/>
      <w:lang w:val="en-GB"/>
    </w:rPr>
  </w:style>
  <w:style w:type="character" w:styleId="CommentReference">
    <w:name w:val="annotation reference"/>
    <w:basedOn w:val="DefaultParagraphFont"/>
    <w:semiHidden/>
    <w:unhideWhenUsed/>
    <w:rsid w:val="0079584B"/>
    <w:rPr>
      <w:sz w:val="16"/>
      <w:szCs w:val="16"/>
    </w:rPr>
  </w:style>
  <w:style w:type="paragraph" w:styleId="CommentText">
    <w:name w:val="annotation text"/>
    <w:basedOn w:val="Normal"/>
    <w:link w:val="CommentTextChar"/>
    <w:semiHidden/>
    <w:unhideWhenUsed/>
    <w:rsid w:val="0079584B"/>
  </w:style>
  <w:style w:type="character" w:customStyle="1" w:styleId="CommentTextChar">
    <w:name w:val="Comment Text Char"/>
    <w:basedOn w:val="DefaultParagraphFont"/>
    <w:link w:val="CommentText"/>
    <w:semiHidden/>
    <w:rsid w:val="0079584B"/>
    <w:rPr>
      <w:lang w:val="en-GB"/>
    </w:rPr>
  </w:style>
  <w:style w:type="paragraph" w:styleId="CommentSubject">
    <w:name w:val="annotation subject"/>
    <w:basedOn w:val="CommentText"/>
    <w:next w:val="CommentText"/>
    <w:link w:val="CommentSubjectChar"/>
    <w:semiHidden/>
    <w:unhideWhenUsed/>
    <w:rsid w:val="0079584B"/>
    <w:rPr>
      <w:b/>
      <w:bCs/>
    </w:rPr>
  </w:style>
  <w:style w:type="character" w:customStyle="1" w:styleId="CommentSubjectChar">
    <w:name w:val="Comment Subject Char"/>
    <w:basedOn w:val="CommentTextChar"/>
    <w:link w:val="CommentSubject"/>
    <w:semiHidden/>
    <w:rsid w:val="0079584B"/>
    <w:rPr>
      <w:b/>
      <w:bCs/>
      <w:lang w:val="en-GB"/>
    </w:rPr>
  </w:style>
  <w:style w:type="paragraph" w:styleId="Caption">
    <w:name w:val="caption"/>
    <w:basedOn w:val="Normal"/>
    <w:next w:val="Normal"/>
    <w:qFormat/>
    <w:rsid w:val="00154589"/>
    <w:pPr>
      <w:widowControl w:val="0"/>
      <w:tabs>
        <w:tab w:val="clear" w:pos="1247"/>
        <w:tab w:val="clear" w:pos="1814"/>
        <w:tab w:val="clear" w:pos="2381"/>
        <w:tab w:val="clear" w:pos="2948"/>
        <w:tab w:val="clear" w:pos="3515"/>
      </w:tabs>
    </w:pPr>
    <w:rPr>
      <w:snapToGrid w:val="0"/>
      <w:sz w:val="24"/>
    </w:rPr>
  </w:style>
  <w:style w:type="paragraph" w:customStyle="1" w:styleId="Normal-num">
    <w:name w:val="Normal-num"/>
    <w:basedOn w:val="Normal"/>
    <w:next w:val="Normal"/>
    <w:rsid w:val="00154589"/>
    <w:pPr>
      <w:numPr>
        <w:numId w:val="5"/>
      </w:numPr>
      <w:tabs>
        <w:tab w:val="clear" w:pos="1247"/>
        <w:tab w:val="clear" w:pos="1814"/>
        <w:tab w:val="clear" w:pos="2381"/>
        <w:tab w:val="clear" w:pos="2948"/>
        <w:tab w:val="clear" w:pos="3515"/>
      </w:tabs>
      <w:suppressAutoHyphens/>
      <w:spacing w:after="120"/>
    </w:pPr>
    <w:rPr>
      <w:szCs w:val="22"/>
      <w:lang w:eastAsia="zh-CN"/>
    </w:rPr>
  </w:style>
  <w:style w:type="paragraph" w:styleId="Title">
    <w:name w:val="Title"/>
    <w:basedOn w:val="Normal"/>
    <w:link w:val="TitleChar"/>
    <w:autoRedefine/>
    <w:qFormat/>
    <w:rsid w:val="00154589"/>
    <w:pPr>
      <w:tabs>
        <w:tab w:val="clear" w:pos="1247"/>
        <w:tab w:val="clear" w:pos="1814"/>
        <w:tab w:val="clear" w:pos="2381"/>
        <w:tab w:val="clear" w:pos="2948"/>
        <w:tab w:val="clear" w:pos="3515"/>
      </w:tabs>
      <w:spacing w:before="360" w:after="240"/>
      <w:ind w:left="1247" w:right="567"/>
      <w:outlineLvl w:val="0"/>
    </w:pPr>
    <w:rPr>
      <w:rFonts w:cs="Arial"/>
      <w:b/>
      <w:bCs/>
      <w:color w:val="000000"/>
      <w:kern w:val="28"/>
      <w:sz w:val="28"/>
      <w:szCs w:val="28"/>
    </w:rPr>
  </w:style>
  <w:style w:type="character" w:customStyle="1" w:styleId="TitleChar">
    <w:name w:val="Title Char"/>
    <w:basedOn w:val="DefaultParagraphFont"/>
    <w:link w:val="Title"/>
    <w:rsid w:val="00154589"/>
    <w:rPr>
      <w:rFonts w:cs="Arial"/>
      <w:b/>
      <w:bCs/>
      <w:color w:val="000000"/>
      <w:kern w:val="28"/>
      <w:sz w:val="28"/>
      <w:szCs w:val="28"/>
      <w:lang w:val="en-GB"/>
    </w:rPr>
  </w:style>
  <w:style w:type="paragraph" w:customStyle="1" w:styleId="Anxhead">
    <w:name w:val="Anx head"/>
    <w:basedOn w:val="Normal"/>
    <w:rsid w:val="00154589"/>
    <w:pPr>
      <w:tabs>
        <w:tab w:val="clear" w:pos="1247"/>
        <w:tab w:val="clear" w:pos="1814"/>
        <w:tab w:val="clear" w:pos="2381"/>
        <w:tab w:val="clear" w:pos="2948"/>
        <w:tab w:val="clear" w:pos="3515"/>
      </w:tabs>
    </w:pPr>
    <w:rPr>
      <w:b/>
      <w:bCs/>
      <w:sz w:val="28"/>
      <w:szCs w:val="22"/>
    </w:rPr>
  </w:style>
  <w:style w:type="paragraph" w:customStyle="1" w:styleId="Anxsubhead">
    <w:name w:val="Anx subhead"/>
    <w:basedOn w:val="Normal"/>
    <w:rsid w:val="00154589"/>
    <w:pPr>
      <w:tabs>
        <w:tab w:val="clear" w:pos="1814"/>
        <w:tab w:val="clear" w:pos="2381"/>
        <w:tab w:val="clear" w:pos="2948"/>
        <w:tab w:val="clear" w:pos="3515"/>
      </w:tabs>
      <w:ind w:left="1247"/>
    </w:pPr>
    <w:rPr>
      <w:b/>
      <w:bCs/>
      <w:sz w:val="24"/>
      <w:szCs w:val="24"/>
    </w:rPr>
  </w:style>
  <w:style w:type="paragraph" w:customStyle="1" w:styleId="Anxtitle">
    <w:name w:val="Anx title"/>
    <w:basedOn w:val="Normal"/>
    <w:rsid w:val="00154589"/>
    <w:pPr>
      <w:tabs>
        <w:tab w:val="clear" w:pos="1247"/>
        <w:tab w:val="clear" w:pos="1814"/>
        <w:tab w:val="clear" w:pos="2381"/>
        <w:tab w:val="clear" w:pos="2948"/>
        <w:tab w:val="clear" w:pos="3515"/>
      </w:tabs>
      <w:ind w:left="1247"/>
    </w:pPr>
    <w:rPr>
      <w:b/>
      <w:bCs/>
      <w:sz w:val="28"/>
      <w:szCs w:val="26"/>
    </w:rPr>
  </w:style>
  <w:style w:type="paragraph" w:customStyle="1" w:styleId="Paralevel1">
    <w:name w:val="Para level1"/>
    <w:basedOn w:val="Normal"/>
    <w:link w:val="Paralevel1Char"/>
    <w:uiPriority w:val="99"/>
    <w:rsid w:val="00154589"/>
    <w:pPr>
      <w:numPr>
        <w:numId w:val="6"/>
      </w:numPr>
      <w:tabs>
        <w:tab w:val="clear" w:pos="360"/>
        <w:tab w:val="clear" w:pos="1247"/>
        <w:tab w:val="clear" w:pos="1814"/>
        <w:tab w:val="clear" w:pos="2381"/>
        <w:tab w:val="clear" w:pos="2948"/>
        <w:tab w:val="clear" w:pos="3515"/>
      </w:tabs>
      <w:spacing w:after="120"/>
      <w:ind w:left="1247"/>
    </w:pPr>
  </w:style>
  <w:style w:type="paragraph" w:customStyle="1" w:styleId="Paralevel2">
    <w:name w:val="Para level2"/>
    <w:basedOn w:val="Paralevel1"/>
    <w:rsid w:val="00154589"/>
    <w:pPr>
      <w:numPr>
        <w:numId w:val="7"/>
      </w:numPr>
      <w:tabs>
        <w:tab w:val="clear" w:pos="938"/>
        <w:tab w:val="num" w:pos="567"/>
      </w:tabs>
      <w:ind w:left="1247" w:firstLine="0"/>
    </w:pPr>
  </w:style>
  <w:style w:type="paragraph" w:customStyle="1" w:styleId="Paralevel3">
    <w:name w:val="Para level3"/>
    <w:basedOn w:val="Paralevel2"/>
    <w:rsid w:val="00154589"/>
    <w:pPr>
      <w:numPr>
        <w:numId w:val="8"/>
      </w:numPr>
      <w:tabs>
        <w:tab w:val="clear" w:pos="2892"/>
        <w:tab w:val="num" w:pos="567"/>
      </w:tabs>
      <w:ind w:left="1247" w:firstLine="0"/>
    </w:pPr>
  </w:style>
  <w:style w:type="paragraph" w:customStyle="1" w:styleId="Subtitle">
    <w:name w:val="Sub title"/>
    <w:basedOn w:val="Heading2"/>
    <w:rsid w:val="00154589"/>
    <w:pPr>
      <w:tabs>
        <w:tab w:val="clear" w:pos="1247"/>
        <w:tab w:val="clear" w:pos="1814"/>
        <w:tab w:val="clear" w:pos="2381"/>
        <w:tab w:val="clear" w:pos="2948"/>
        <w:tab w:val="clear" w:pos="3515"/>
      </w:tabs>
      <w:spacing w:before="0" w:after="0"/>
      <w:ind w:firstLine="0"/>
    </w:pPr>
  </w:style>
  <w:style w:type="paragraph" w:customStyle="1" w:styleId="Level1">
    <w:name w:val="Level1"/>
    <w:basedOn w:val="Normal"/>
    <w:rsid w:val="00154589"/>
    <w:pPr>
      <w:tabs>
        <w:tab w:val="clear" w:pos="1247"/>
        <w:tab w:val="clear" w:pos="1814"/>
        <w:tab w:val="clear" w:pos="2381"/>
        <w:tab w:val="clear" w:pos="2948"/>
        <w:tab w:val="clear" w:pos="3515"/>
        <w:tab w:val="left" w:pos="578"/>
        <w:tab w:val="left" w:pos="1157"/>
      </w:tabs>
      <w:spacing w:after="240"/>
    </w:pPr>
  </w:style>
  <w:style w:type="paragraph" w:styleId="BodyText">
    <w:name w:val="Body Text"/>
    <w:basedOn w:val="Normal"/>
    <w:link w:val="BodyTextChar"/>
    <w:rsid w:val="00154589"/>
    <w:pPr>
      <w:tabs>
        <w:tab w:val="clear" w:pos="1247"/>
        <w:tab w:val="clear" w:pos="1814"/>
        <w:tab w:val="clear" w:pos="2381"/>
        <w:tab w:val="clear" w:pos="2948"/>
        <w:tab w:val="clear" w:pos="3515"/>
      </w:tabs>
      <w:jc w:val="center"/>
    </w:pPr>
  </w:style>
  <w:style w:type="character" w:customStyle="1" w:styleId="BodyTextChar">
    <w:name w:val="Body Text Char"/>
    <w:basedOn w:val="DefaultParagraphFont"/>
    <w:link w:val="BodyText"/>
    <w:rsid w:val="00154589"/>
    <w:rPr>
      <w:lang w:val="en-GB"/>
    </w:rPr>
  </w:style>
  <w:style w:type="paragraph" w:styleId="BodyTextIndent">
    <w:name w:val="Body Text Indent"/>
    <w:basedOn w:val="Normal"/>
    <w:link w:val="BodyTextIndentChar"/>
    <w:rsid w:val="00154589"/>
    <w:pPr>
      <w:tabs>
        <w:tab w:val="clear" w:pos="1247"/>
        <w:tab w:val="clear" w:pos="1814"/>
        <w:tab w:val="clear" w:pos="2381"/>
        <w:tab w:val="clear" w:pos="2948"/>
        <w:tab w:val="clear" w:pos="3515"/>
      </w:tabs>
      <w:ind w:left="720" w:hanging="720"/>
    </w:pPr>
    <w:rPr>
      <w:snapToGrid w:val="0"/>
      <w:color w:val="000000"/>
      <w:lang w:val="en-US"/>
    </w:rPr>
  </w:style>
  <w:style w:type="character" w:customStyle="1" w:styleId="BodyTextIndentChar">
    <w:name w:val="Body Text Indent Char"/>
    <w:basedOn w:val="DefaultParagraphFont"/>
    <w:link w:val="BodyTextIndent"/>
    <w:rsid w:val="00154589"/>
    <w:rPr>
      <w:snapToGrid w:val="0"/>
      <w:color w:val="000000"/>
    </w:rPr>
  </w:style>
  <w:style w:type="paragraph" w:styleId="BodyText2">
    <w:name w:val="Body Text 2"/>
    <w:basedOn w:val="Normal"/>
    <w:link w:val="BodyText2Char"/>
    <w:rsid w:val="00154589"/>
    <w:pPr>
      <w:tabs>
        <w:tab w:val="clear" w:pos="1247"/>
        <w:tab w:val="clear" w:pos="1814"/>
        <w:tab w:val="clear" w:pos="2381"/>
        <w:tab w:val="clear" w:pos="2948"/>
        <w:tab w:val="clear" w:pos="3515"/>
      </w:tabs>
    </w:pPr>
    <w:rPr>
      <w:color w:val="FF0000"/>
    </w:rPr>
  </w:style>
  <w:style w:type="character" w:customStyle="1" w:styleId="BodyText2Char">
    <w:name w:val="Body Text 2 Char"/>
    <w:basedOn w:val="DefaultParagraphFont"/>
    <w:link w:val="BodyText2"/>
    <w:rsid w:val="00154589"/>
    <w:rPr>
      <w:color w:val="FF0000"/>
      <w:lang w:val="en-GB"/>
    </w:rPr>
  </w:style>
  <w:style w:type="paragraph" w:customStyle="1" w:styleId="Default">
    <w:name w:val="Default"/>
    <w:rsid w:val="00154589"/>
    <w:pPr>
      <w:autoSpaceDE w:val="0"/>
      <w:autoSpaceDN w:val="0"/>
      <w:adjustRightInd w:val="0"/>
    </w:pPr>
    <w:rPr>
      <w:rFonts w:eastAsia="Calibri"/>
      <w:color w:val="000000"/>
      <w:sz w:val="24"/>
      <w:szCs w:val="24"/>
    </w:rPr>
  </w:style>
  <w:style w:type="paragraph" w:customStyle="1" w:styleId="ColorfulList-Accent11">
    <w:name w:val="Colorful List - Accent 11"/>
    <w:basedOn w:val="Normal"/>
    <w:uiPriority w:val="34"/>
    <w:qFormat/>
    <w:rsid w:val="00154589"/>
    <w:pPr>
      <w:tabs>
        <w:tab w:val="clear" w:pos="1247"/>
        <w:tab w:val="clear" w:pos="1814"/>
        <w:tab w:val="clear" w:pos="2381"/>
        <w:tab w:val="clear" w:pos="2948"/>
        <w:tab w:val="clear" w:pos="3515"/>
      </w:tabs>
      <w:spacing w:after="200" w:line="276" w:lineRule="auto"/>
      <w:ind w:left="720"/>
    </w:pPr>
    <w:rPr>
      <w:rFonts w:ascii="Calibri" w:eastAsia="Calibri" w:hAnsi="Calibri"/>
      <w:szCs w:val="22"/>
      <w:lang w:val="en-US"/>
    </w:rPr>
  </w:style>
  <w:style w:type="paragraph" w:styleId="NormalWeb">
    <w:name w:val="Normal (Web)"/>
    <w:basedOn w:val="Normal"/>
    <w:uiPriority w:val="99"/>
    <w:unhideWhenUsed/>
    <w:rsid w:val="00154589"/>
    <w:pPr>
      <w:tabs>
        <w:tab w:val="clear" w:pos="1247"/>
        <w:tab w:val="clear" w:pos="1814"/>
        <w:tab w:val="clear" w:pos="2381"/>
        <w:tab w:val="clear" w:pos="2948"/>
        <w:tab w:val="clear" w:pos="3515"/>
      </w:tabs>
      <w:spacing w:before="100" w:beforeAutospacing="1" w:after="100" w:afterAutospacing="1"/>
    </w:pPr>
    <w:rPr>
      <w:rFonts w:eastAsia="Calibri"/>
      <w:sz w:val="24"/>
      <w:szCs w:val="24"/>
      <w:lang w:eastAsia="en-GB"/>
    </w:rPr>
  </w:style>
  <w:style w:type="character" w:customStyle="1" w:styleId="Heading2Char1">
    <w:name w:val="Heading 2 Char1"/>
    <w:aliases w:val="SubPara (a) Char1,Heading 2 Char Char,Heading 2 Char1 Char Char,Heading 2 Char Char Char Char,SubPara (a) Char Char Char Char,Heading 2 Char1 Char Char Char Char,Heading 2 Char Char Char Char Char Char,SubPara (a) Char Char"/>
    <w:link w:val="Heading2"/>
    <w:rsid w:val="00154589"/>
    <w:rPr>
      <w:b/>
      <w:sz w:val="24"/>
      <w:szCs w:val="24"/>
      <w:lang w:val="en-GB"/>
    </w:rPr>
  </w:style>
  <w:style w:type="paragraph" w:customStyle="1" w:styleId="T1">
    <w:name w:val="T1"/>
    <w:basedOn w:val="Header"/>
    <w:rsid w:val="00154589"/>
    <w:pPr>
      <w:pBdr>
        <w:bottom w:val="none" w:sz="0" w:space="0" w:color="auto"/>
      </w:pBdr>
      <w:tabs>
        <w:tab w:val="clear" w:pos="1247"/>
        <w:tab w:val="clear" w:pos="4536"/>
        <w:tab w:val="clear" w:pos="9072"/>
      </w:tabs>
      <w:spacing w:line="240" w:lineRule="atLeast"/>
      <w:jc w:val="both"/>
    </w:pPr>
    <w:rPr>
      <w:rFonts w:ascii="Arial" w:hAnsi="Arial" w:cs="Arial"/>
      <w:bCs/>
      <w:sz w:val="24"/>
      <w:szCs w:val="24"/>
      <w:lang w:eastAsia="de-DE"/>
    </w:rPr>
  </w:style>
  <w:style w:type="character" w:customStyle="1" w:styleId="style2">
    <w:name w:val="style2"/>
    <w:basedOn w:val="DefaultParagraphFont"/>
    <w:rsid w:val="00154589"/>
  </w:style>
  <w:style w:type="paragraph" w:styleId="ListParagraph">
    <w:name w:val="List Paragraph"/>
    <w:basedOn w:val="Normal"/>
    <w:uiPriority w:val="34"/>
    <w:qFormat/>
    <w:rsid w:val="00154589"/>
    <w:pPr>
      <w:tabs>
        <w:tab w:val="clear" w:pos="1247"/>
        <w:tab w:val="clear" w:pos="1814"/>
        <w:tab w:val="clear" w:pos="2381"/>
        <w:tab w:val="clear" w:pos="2948"/>
        <w:tab w:val="clear" w:pos="3515"/>
      </w:tabs>
      <w:ind w:left="708"/>
    </w:pPr>
    <w:rPr>
      <w:sz w:val="24"/>
      <w:szCs w:val="24"/>
      <w:lang w:val="en-US"/>
    </w:rPr>
  </w:style>
  <w:style w:type="paragraph" w:customStyle="1" w:styleId="Level2">
    <w:name w:val="Level2"/>
    <w:basedOn w:val="Normal"/>
    <w:autoRedefine/>
    <w:rsid w:val="00154589"/>
    <w:pPr>
      <w:numPr>
        <w:numId w:val="9"/>
      </w:numPr>
      <w:tabs>
        <w:tab w:val="clear" w:pos="1247"/>
        <w:tab w:val="clear" w:pos="1814"/>
        <w:tab w:val="clear" w:pos="2381"/>
        <w:tab w:val="clear" w:pos="2948"/>
        <w:tab w:val="clear" w:pos="3515"/>
        <w:tab w:val="left" w:pos="578"/>
        <w:tab w:val="left" w:pos="1157"/>
      </w:tabs>
      <w:spacing w:after="240" w:line="288" w:lineRule="auto"/>
    </w:pPr>
  </w:style>
  <w:style w:type="paragraph" w:customStyle="1" w:styleId="Level3">
    <w:name w:val="Level3"/>
    <w:basedOn w:val="Level2"/>
    <w:autoRedefine/>
    <w:rsid w:val="00154589"/>
    <w:pPr>
      <w:keepNext/>
      <w:keepLines/>
      <w:numPr>
        <w:numId w:val="0"/>
      </w:numPr>
      <w:tabs>
        <w:tab w:val="clear" w:pos="578"/>
        <w:tab w:val="clear" w:pos="1157"/>
      </w:tabs>
      <w:spacing w:before="60" w:after="60" w:line="240" w:lineRule="auto"/>
    </w:pPr>
    <w:rPr>
      <w:i/>
      <w:sz w:val="18"/>
    </w:rPr>
  </w:style>
  <w:style w:type="paragraph" w:customStyle="1" w:styleId="H1">
    <w:name w:val="_ H_1"/>
    <w:basedOn w:val="Normal"/>
    <w:next w:val="Normal"/>
    <w:rsid w:val="00154589"/>
    <w:pPr>
      <w:keepNext/>
      <w:keepLines/>
      <w:tabs>
        <w:tab w:val="clear" w:pos="1247"/>
        <w:tab w:val="clear" w:pos="1814"/>
        <w:tab w:val="clear" w:pos="2381"/>
        <w:tab w:val="clear" w:pos="2948"/>
        <w:tab w:val="clear" w:pos="3515"/>
      </w:tabs>
      <w:suppressAutoHyphens/>
      <w:spacing w:line="270" w:lineRule="exact"/>
      <w:outlineLvl w:val="0"/>
    </w:pPr>
    <w:rPr>
      <w:b/>
      <w:spacing w:val="4"/>
      <w:w w:val="103"/>
      <w:kern w:val="14"/>
      <w:sz w:val="24"/>
    </w:rPr>
  </w:style>
  <w:style w:type="paragraph" w:customStyle="1" w:styleId="HeadingSub">
    <w:name w:val="Heading: Sub"/>
    <w:basedOn w:val="Normal"/>
    <w:rsid w:val="00154589"/>
    <w:pPr>
      <w:widowControl w:val="0"/>
      <w:tabs>
        <w:tab w:val="clear" w:pos="1247"/>
        <w:tab w:val="clear" w:pos="1814"/>
        <w:tab w:val="clear" w:pos="2381"/>
        <w:tab w:val="clear" w:pos="2948"/>
        <w:tab w:val="clear" w:pos="3515"/>
      </w:tabs>
      <w:spacing w:line="240" w:lineRule="exact"/>
      <w:ind w:left="567" w:hanging="567"/>
    </w:pPr>
    <w:rPr>
      <w:rFonts w:ascii="Futura" w:hAnsi="Futura"/>
      <w:color w:val="000000"/>
    </w:rPr>
  </w:style>
  <w:style w:type="paragraph" w:customStyle="1" w:styleId="Footnote">
    <w:name w:val="Footnote"/>
    <w:basedOn w:val="Normal"/>
    <w:rsid w:val="00154589"/>
    <w:pPr>
      <w:tabs>
        <w:tab w:val="clear" w:pos="1247"/>
        <w:tab w:val="clear" w:pos="1814"/>
        <w:tab w:val="clear" w:pos="2381"/>
        <w:tab w:val="clear" w:pos="2948"/>
        <w:tab w:val="clear" w:pos="3515"/>
      </w:tabs>
      <w:spacing w:line="200" w:lineRule="exact"/>
      <w:ind w:left="426" w:hanging="426"/>
    </w:pPr>
    <w:rPr>
      <w:rFonts w:ascii="Times" w:hAnsi="Times"/>
      <w:color w:val="000000"/>
      <w:sz w:val="16"/>
    </w:rPr>
  </w:style>
  <w:style w:type="paragraph" w:customStyle="1" w:styleId="HeadingSection">
    <w:name w:val="Heading: Section"/>
    <w:basedOn w:val="Normal"/>
    <w:rsid w:val="00154589"/>
    <w:pPr>
      <w:widowControl w:val="0"/>
      <w:tabs>
        <w:tab w:val="clear" w:pos="1247"/>
        <w:tab w:val="clear" w:pos="1814"/>
        <w:tab w:val="clear" w:pos="2381"/>
        <w:tab w:val="clear" w:pos="2948"/>
        <w:tab w:val="clear" w:pos="3515"/>
        <w:tab w:val="left" w:pos="3969"/>
      </w:tabs>
      <w:spacing w:line="360" w:lineRule="exact"/>
      <w:ind w:left="1701" w:hanging="1701"/>
    </w:pPr>
    <w:rPr>
      <w:rFonts w:ascii="H Futura Heavy" w:hAnsi="H Futura Heavy"/>
      <w:color w:val="000000"/>
      <w:sz w:val="24"/>
    </w:rPr>
  </w:style>
  <w:style w:type="paragraph" w:customStyle="1" w:styleId="HeadingChapterNumber">
    <w:name w:val="Heading: Chapter Number"/>
    <w:basedOn w:val="HeadingSection"/>
    <w:rsid w:val="00154589"/>
    <w:pPr>
      <w:pBdr>
        <w:bottom w:val="single" w:sz="6" w:space="1" w:color="auto"/>
      </w:pBdr>
      <w:spacing w:line="480" w:lineRule="exact"/>
      <w:ind w:left="1134" w:right="1126" w:firstLine="0"/>
      <w:jc w:val="center"/>
    </w:pPr>
    <w:rPr>
      <w:sz w:val="36"/>
    </w:rPr>
  </w:style>
  <w:style w:type="character" w:customStyle="1" w:styleId="FooterChar">
    <w:name w:val="Footer Char"/>
    <w:aliases w:val="Footer-pool Char"/>
    <w:link w:val="Footer"/>
    <w:uiPriority w:val="99"/>
    <w:locked/>
    <w:rsid w:val="00154589"/>
    <w:rPr>
      <w:lang w:val="en-GB"/>
    </w:rPr>
  </w:style>
  <w:style w:type="character" w:customStyle="1" w:styleId="yiv315943952343535721-12072011">
    <w:name w:val="yiv315943952343535721-12072011"/>
    <w:rsid w:val="00154589"/>
    <w:rPr>
      <w:rFonts w:ascii="Times New Roman" w:hAnsi="Times New Roman"/>
    </w:rPr>
  </w:style>
  <w:style w:type="character" w:customStyle="1" w:styleId="Paralevel1Char">
    <w:name w:val="Para level1 Char"/>
    <w:link w:val="Paralevel1"/>
    <w:uiPriority w:val="99"/>
    <w:rsid w:val="00154589"/>
    <w:rPr>
      <w:lang w:val="en-GB"/>
    </w:rPr>
  </w:style>
  <w:style w:type="character" w:customStyle="1" w:styleId="Paralevel1CharChar">
    <w:name w:val="Para level1 Char Char"/>
    <w:rsid w:val="00154589"/>
    <w:rPr>
      <w:bCs/>
      <w:color w:val="000000"/>
      <w:sz w:val="22"/>
      <w:szCs w:val="22"/>
    </w:rPr>
  </w:style>
  <w:style w:type="paragraph" w:customStyle="1" w:styleId="Bullets">
    <w:name w:val="Bullets"/>
    <w:basedOn w:val="Normal"/>
    <w:rsid w:val="00154589"/>
    <w:pPr>
      <w:numPr>
        <w:numId w:val="10"/>
      </w:numPr>
      <w:tabs>
        <w:tab w:val="clear" w:pos="1247"/>
        <w:tab w:val="clear" w:pos="1814"/>
        <w:tab w:val="clear" w:pos="2381"/>
        <w:tab w:val="clear" w:pos="2948"/>
        <w:tab w:val="clear" w:pos="3515"/>
      </w:tabs>
    </w:pPr>
    <w:rPr>
      <w:rFonts w:ascii="Cambria" w:eastAsia="Cambria" w:hAnsi="Cambria"/>
      <w:sz w:val="24"/>
      <w:szCs w:val="24"/>
    </w:rPr>
  </w:style>
  <w:style w:type="character" w:customStyle="1" w:styleId="CH3Char">
    <w:name w:val="CH3 Char"/>
    <w:link w:val="CH3"/>
    <w:rsid w:val="00154589"/>
    <w:rPr>
      <w:b/>
      <w:lang w:val="en-GB"/>
    </w:rPr>
  </w:style>
  <w:style w:type="paragraph" w:customStyle="1" w:styleId="ColorfulList-Accent12">
    <w:name w:val="Colorful List - Accent 12"/>
    <w:basedOn w:val="Normal"/>
    <w:qFormat/>
    <w:rsid w:val="00154589"/>
    <w:pPr>
      <w:ind w:left="720"/>
      <w:contextualSpacing/>
    </w:pPr>
    <w:rPr>
      <w:rFonts w:ascii="Cambria" w:eastAsia="MS Mincho" w:hAnsi="Cambria"/>
      <w:sz w:val="24"/>
      <w:szCs w:val="24"/>
      <w:lang w:val="en-US"/>
    </w:rPr>
  </w:style>
  <w:style w:type="paragraph" w:styleId="NormalIndent">
    <w:name w:val="Normal Indent"/>
    <w:basedOn w:val="Normal"/>
    <w:semiHidden/>
    <w:rsid w:val="00154589"/>
    <w:pPr>
      <w:ind w:left="1247"/>
    </w:pPr>
  </w:style>
  <w:style w:type="paragraph" w:customStyle="1" w:styleId="font6">
    <w:name w:val="font6"/>
    <w:basedOn w:val="Normal"/>
    <w:rsid w:val="00154589"/>
    <w:pPr>
      <w:tabs>
        <w:tab w:val="clear" w:pos="1247"/>
        <w:tab w:val="clear" w:pos="1814"/>
        <w:tab w:val="clear" w:pos="2381"/>
        <w:tab w:val="clear" w:pos="2948"/>
        <w:tab w:val="clear" w:pos="3515"/>
      </w:tabs>
      <w:spacing w:before="100" w:beforeAutospacing="1" w:after="100" w:afterAutospacing="1"/>
    </w:pPr>
    <w:rPr>
      <w:rFonts w:ascii="Arial Narrow" w:hAnsi="Arial Narrow"/>
      <w:b/>
      <w:bCs/>
      <w:lang w:val="en-US"/>
    </w:rPr>
  </w:style>
  <w:style w:type="character" w:customStyle="1" w:styleId="yshortcuts">
    <w:name w:val="yshortcuts"/>
    <w:basedOn w:val="DefaultParagraphFont"/>
    <w:rsid w:val="00154589"/>
  </w:style>
  <w:style w:type="character" w:customStyle="1" w:styleId="FootnoteCharacters">
    <w:name w:val="Footnote Characters"/>
    <w:uiPriority w:val="99"/>
    <w:rsid w:val="00154589"/>
    <w:rPr>
      <w:rFonts w:ascii="@MS Mincho" w:eastAsia="@MS Mincho"/>
      <w:color w:val="auto"/>
      <w:sz w:val="18"/>
      <w:vertAlign w:val="superscript"/>
    </w:rPr>
  </w:style>
  <w:style w:type="character" w:styleId="FollowedHyperlink">
    <w:name w:val="FollowedHyperlink"/>
    <w:uiPriority w:val="99"/>
    <w:rsid w:val="00154589"/>
    <w:rPr>
      <w:color w:val="800080"/>
      <w:u w:val="single"/>
    </w:rPr>
  </w:style>
  <w:style w:type="paragraph" w:customStyle="1" w:styleId="xl65">
    <w:name w:val="xl65"/>
    <w:basedOn w:val="Normal"/>
    <w:rsid w:val="00154589"/>
    <w:pP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b/>
      <w:bCs/>
      <w:sz w:val="24"/>
      <w:szCs w:val="24"/>
      <w:lang w:val="en-US"/>
    </w:rPr>
  </w:style>
  <w:style w:type="paragraph" w:customStyle="1" w:styleId="xl66">
    <w:name w:val="xl66"/>
    <w:basedOn w:val="Normal"/>
    <w:rsid w:val="00154589"/>
    <w:pPr>
      <w:pBdr>
        <w:top w:val="single" w:sz="12" w:space="0" w:color="auto"/>
        <w:left w:val="single" w:sz="12" w:space="0" w:color="auto"/>
        <w:bottom w:val="single" w:sz="12"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b/>
      <w:bCs/>
      <w:sz w:val="24"/>
      <w:szCs w:val="24"/>
      <w:lang w:val="en-US"/>
    </w:rPr>
  </w:style>
  <w:style w:type="paragraph" w:customStyle="1" w:styleId="xl67">
    <w:name w:val="xl67"/>
    <w:basedOn w:val="Normal"/>
    <w:rsid w:val="00154589"/>
    <w:pPr>
      <w:pBdr>
        <w:top w:val="single" w:sz="12" w:space="0" w:color="auto"/>
        <w:left w:val="single" w:sz="12" w:space="0" w:color="auto"/>
        <w:bottom w:val="single" w:sz="12" w:space="0" w:color="auto"/>
        <w:right w:val="single" w:sz="12"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b/>
      <w:bCs/>
      <w:sz w:val="24"/>
      <w:szCs w:val="24"/>
      <w:lang w:val="en-US"/>
    </w:rPr>
  </w:style>
  <w:style w:type="paragraph" w:customStyle="1" w:styleId="xl68">
    <w:name w:val="xl68"/>
    <w:basedOn w:val="Normal"/>
    <w:rsid w:val="00154589"/>
    <w:pP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b/>
      <w:bCs/>
      <w:sz w:val="24"/>
      <w:szCs w:val="24"/>
      <w:lang w:val="en-US"/>
    </w:rPr>
  </w:style>
  <w:style w:type="paragraph" w:customStyle="1" w:styleId="xl70">
    <w:name w:val="xl70"/>
    <w:basedOn w:val="Normal"/>
    <w:rsid w:val="00154589"/>
    <w:pPr>
      <w:pBdr>
        <w:top w:val="single" w:sz="4" w:space="0" w:color="auto"/>
        <w:left w:val="single" w:sz="12"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en-US"/>
    </w:rPr>
  </w:style>
  <w:style w:type="paragraph" w:customStyle="1" w:styleId="xl71">
    <w:name w:val="xl71"/>
    <w:basedOn w:val="Normal"/>
    <w:rsid w:val="00154589"/>
    <w:pPr>
      <w:pBdr>
        <w:top w:val="single" w:sz="4" w:space="0" w:color="auto"/>
        <w:left w:val="single" w:sz="4" w:space="9"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ascii="Arial Narrow" w:hAnsi="Arial Narrow"/>
      <w:b/>
      <w:bCs/>
      <w:sz w:val="24"/>
      <w:szCs w:val="24"/>
      <w:lang w:val="en-US"/>
    </w:rPr>
  </w:style>
  <w:style w:type="paragraph" w:customStyle="1" w:styleId="xl72">
    <w:name w:val="xl72"/>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ascii="Arial Narrow" w:hAnsi="Arial Narrow"/>
      <w:b/>
      <w:bCs/>
      <w:sz w:val="24"/>
      <w:szCs w:val="24"/>
      <w:lang w:val="en-US"/>
    </w:rPr>
  </w:style>
  <w:style w:type="paragraph" w:customStyle="1" w:styleId="xl73">
    <w:name w:val="xl73"/>
    <w:basedOn w:val="Normal"/>
    <w:rsid w:val="00154589"/>
    <w:pPr>
      <w:pBdr>
        <w:top w:val="single" w:sz="4" w:space="0" w:color="auto"/>
        <w:left w:val="single" w:sz="4" w:space="0" w:color="auto"/>
        <w:bottom w:val="single" w:sz="4" w:space="0" w:color="auto"/>
        <w:right w:val="single" w:sz="12"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ascii="Arial Narrow" w:hAnsi="Arial Narrow"/>
      <w:b/>
      <w:bCs/>
      <w:sz w:val="24"/>
      <w:szCs w:val="24"/>
      <w:lang w:val="en-US"/>
    </w:rPr>
  </w:style>
  <w:style w:type="paragraph" w:customStyle="1" w:styleId="xl74">
    <w:name w:val="xl74"/>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Narrow" w:hAnsi="Arial Narrow"/>
      <w:b/>
      <w:bCs/>
      <w:sz w:val="24"/>
      <w:szCs w:val="24"/>
      <w:lang w:val="en-US"/>
    </w:rPr>
  </w:style>
  <w:style w:type="paragraph" w:customStyle="1" w:styleId="xl75">
    <w:name w:val="xl75"/>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rFonts w:ascii="Arial Narrow" w:hAnsi="Arial Narrow"/>
      <w:b/>
      <w:bCs/>
      <w:sz w:val="24"/>
      <w:szCs w:val="24"/>
      <w:lang w:val="en-US"/>
    </w:rPr>
  </w:style>
  <w:style w:type="paragraph" w:customStyle="1" w:styleId="xl76">
    <w:name w:val="xl76"/>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rFonts w:ascii="Arial Narrow" w:hAnsi="Arial Narrow"/>
      <w:b/>
      <w:bCs/>
      <w:sz w:val="24"/>
      <w:szCs w:val="24"/>
      <w:lang w:val="en-US"/>
    </w:rPr>
  </w:style>
  <w:style w:type="paragraph" w:customStyle="1" w:styleId="xl77">
    <w:name w:val="xl77"/>
    <w:basedOn w:val="Normal"/>
    <w:rsid w:val="00154589"/>
    <w:pPr>
      <w:pBdr>
        <w:top w:val="single" w:sz="4" w:space="0" w:color="auto"/>
        <w:left w:val="single" w:sz="4" w:space="0" w:color="auto"/>
        <w:bottom w:val="single" w:sz="4" w:space="0" w:color="auto"/>
        <w:right w:val="single" w:sz="12" w:space="0" w:color="auto"/>
      </w:pBdr>
      <w:tabs>
        <w:tab w:val="clear" w:pos="1247"/>
        <w:tab w:val="clear" w:pos="1814"/>
        <w:tab w:val="clear" w:pos="2381"/>
        <w:tab w:val="clear" w:pos="2948"/>
        <w:tab w:val="clear" w:pos="3515"/>
      </w:tabs>
      <w:spacing w:before="100" w:beforeAutospacing="1" w:after="100" w:afterAutospacing="1"/>
      <w:jc w:val="right"/>
    </w:pPr>
    <w:rPr>
      <w:rFonts w:ascii="Arial Narrow" w:hAnsi="Arial Narrow"/>
      <w:b/>
      <w:bCs/>
      <w:sz w:val="24"/>
      <w:szCs w:val="24"/>
      <w:lang w:val="en-US"/>
    </w:rPr>
  </w:style>
  <w:style w:type="paragraph" w:customStyle="1" w:styleId="xl78">
    <w:name w:val="xl78"/>
    <w:basedOn w:val="Normal"/>
    <w:rsid w:val="00154589"/>
    <w:pPr>
      <w:pBdr>
        <w:top w:val="single" w:sz="4" w:space="0" w:color="auto"/>
        <w:left w:val="single" w:sz="4" w:space="0" w:color="auto"/>
        <w:bottom w:val="single" w:sz="4" w:space="0" w:color="auto"/>
        <w:right w:val="single" w:sz="4" w:space="0" w:color="auto"/>
      </w:pBdr>
      <w:shd w:val="clear" w:color="auto" w:fill="FFFFFF"/>
      <w:tabs>
        <w:tab w:val="clear" w:pos="1247"/>
        <w:tab w:val="clear" w:pos="1814"/>
        <w:tab w:val="clear" w:pos="2381"/>
        <w:tab w:val="clear" w:pos="2948"/>
        <w:tab w:val="clear" w:pos="3515"/>
      </w:tabs>
      <w:spacing w:before="100" w:beforeAutospacing="1" w:after="100" w:afterAutospacing="1"/>
    </w:pPr>
    <w:rPr>
      <w:rFonts w:ascii="Arial Narrow" w:hAnsi="Arial Narrow"/>
      <w:b/>
      <w:bCs/>
      <w:sz w:val="24"/>
      <w:szCs w:val="24"/>
      <w:lang w:val="en-US"/>
    </w:rPr>
  </w:style>
  <w:style w:type="paragraph" w:customStyle="1" w:styleId="xl79">
    <w:name w:val="xl79"/>
    <w:basedOn w:val="Normal"/>
    <w:rsid w:val="00154589"/>
    <w:pPr>
      <w:pBdr>
        <w:top w:val="single" w:sz="4" w:space="0" w:color="auto"/>
        <w:left w:val="single" w:sz="4" w:space="0" w:color="auto"/>
        <w:bottom w:val="single" w:sz="4" w:space="0" w:color="auto"/>
        <w:right w:val="single" w:sz="4" w:space="0" w:color="auto"/>
      </w:pBdr>
      <w:shd w:val="clear" w:color="auto" w:fill="FFFFFF"/>
      <w:tabs>
        <w:tab w:val="clear" w:pos="1247"/>
        <w:tab w:val="clear" w:pos="1814"/>
        <w:tab w:val="clear" w:pos="2381"/>
        <w:tab w:val="clear" w:pos="2948"/>
        <w:tab w:val="clear" w:pos="3515"/>
      </w:tabs>
      <w:spacing w:before="100" w:beforeAutospacing="1" w:after="100" w:afterAutospacing="1"/>
      <w:jc w:val="right"/>
    </w:pPr>
    <w:rPr>
      <w:rFonts w:ascii="Arial Narrow" w:hAnsi="Arial Narrow"/>
      <w:b/>
      <w:bCs/>
      <w:sz w:val="24"/>
      <w:szCs w:val="24"/>
      <w:lang w:val="en-US"/>
    </w:rPr>
  </w:style>
  <w:style w:type="paragraph" w:customStyle="1" w:styleId="xl80">
    <w:name w:val="xl80"/>
    <w:basedOn w:val="Normal"/>
    <w:rsid w:val="00154589"/>
    <w:pPr>
      <w:pBdr>
        <w:top w:val="single" w:sz="4" w:space="0" w:color="auto"/>
        <w:left w:val="single" w:sz="4" w:space="0" w:color="auto"/>
        <w:bottom w:val="single" w:sz="4" w:space="0" w:color="auto"/>
        <w:right w:val="single" w:sz="4" w:space="0" w:color="auto"/>
      </w:pBdr>
      <w:shd w:val="clear" w:color="auto" w:fill="FFFFFF"/>
      <w:tabs>
        <w:tab w:val="clear" w:pos="1247"/>
        <w:tab w:val="clear" w:pos="1814"/>
        <w:tab w:val="clear" w:pos="2381"/>
        <w:tab w:val="clear" w:pos="2948"/>
        <w:tab w:val="clear" w:pos="3515"/>
      </w:tabs>
      <w:spacing w:before="100" w:beforeAutospacing="1" w:after="100" w:afterAutospacing="1"/>
      <w:jc w:val="right"/>
    </w:pPr>
    <w:rPr>
      <w:rFonts w:ascii="Arial Narrow" w:hAnsi="Arial Narrow"/>
      <w:b/>
      <w:bCs/>
      <w:sz w:val="24"/>
      <w:szCs w:val="24"/>
      <w:lang w:val="en-US"/>
    </w:rPr>
  </w:style>
  <w:style w:type="paragraph" w:customStyle="1" w:styleId="xl81">
    <w:name w:val="xl81"/>
    <w:basedOn w:val="Normal"/>
    <w:rsid w:val="00154589"/>
    <w:pPr>
      <w:pBdr>
        <w:top w:val="single" w:sz="4" w:space="0" w:color="auto"/>
        <w:left w:val="single" w:sz="4" w:space="9"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ascii="Arial" w:hAnsi="Arial" w:cs="Arial"/>
      <w:b/>
      <w:bCs/>
      <w:sz w:val="24"/>
      <w:szCs w:val="24"/>
      <w:lang w:val="en-US"/>
    </w:rPr>
  </w:style>
  <w:style w:type="paragraph" w:customStyle="1" w:styleId="xl82">
    <w:name w:val="xl82"/>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b/>
      <w:bCs/>
      <w:sz w:val="24"/>
      <w:szCs w:val="24"/>
      <w:lang w:val="en-US"/>
    </w:rPr>
  </w:style>
  <w:style w:type="paragraph" w:customStyle="1" w:styleId="xl83">
    <w:name w:val="xl83"/>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b/>
      <w:bCs/>
      <w:sz w:val="24"/>
      <w:szCs w:val="24"/>
      <w:lang w:val="en-US"/>
    </w:rPr>
  </w:style>
  <w:style w:type="paragraph" w:customStyle="1" w:styleId="xl84">
    <w:name w:val="xl84"/>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b/>
      <w:bCs/>
      <w:sz w:val="24"/>
      <w:szCs w:val="24"/>
      <w:lang w:val="en-US"/>
    </w:rPr>
  </w:style>
  <w:style w:type="paragraph" w:customStyle="1" w:styleId="xl85">
    <w:name w:val="xl85"/>
    <w:basedOn w:val="Normal"/>
    <w:rsid w:val="00154589"/>
    <w:pPr>
      <w:pBdr>
        <w:top w:val="single" w:sz="4" w:space="0" w:color="auto"/>
        <w:left w:val="single" w:sz="4" w:space="0" w:color="auto"/>
        <w:bottom w:val="single" w:sz="4" w:space="0" w:color="auto"/>
        <w:right w:val="single" w:sz="12"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b/>
      <w:bCs/>
      <w:sz w:val="24"/>
      <w:szCs w:val="24"/>
      <w:lang w:val="en-US"/>
    </w:rPr>
  </w:style>
  <w:style w:type="paragraph" w:customStyle="1" w:styleId="xl86">
    <w:name w:val="xl86"/>
    <w:basedOn w:val="Normal"/>
    <w:rsid w:val="00154589"/>
    <w:pPr>
      <w:pBdr>
        <w:left w:val="single" w:sz="12" w:space="9"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100" w:firstLine="100"/>
    </w:pPr>
    <w:rPr>
      <w:rFonts w:ascii="Arial Narrow" w:hAnsi="Arial Narrow"/>
      <w:sz w:val="24"/>
      <w:szCs w:val="24"/>
      <w:lang w:val="en-US"/>
    </w:rPr>
  </w:style>
  <w:style w:type="paragraph" w:customStyle="1" w:styleId="xl87">
    <w:name w:val="xl87"/>
    <w:basedOn w:val="Normal"/>
    <w:rsid w:val="00154589"/>
    <w:pPr>
      <w:pBdr>
        <w:top w:val="single" w:sz="4" w:space="0" w:color="auto"/>
        <w:left w:val="single" w:sz="12" w:space="9"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100" w:firstLine="100"/>
    </w:pPr>
    <w:rPr>
      <w:rFonts w:ascii="Arial Narrow" w:hAnsi="Arial Narrow"/>
      <w:sz w:val="24"/>
      <w:szCs w:val="24"/>
      <w:lang w:val="en-US"/>
    </w:rPr>
  </w:style>
  <w:style w:type="paragraph" w:customStyle="1" w:styleId="xl88">
    <w:name w:val="xl88"/>
    <w:basedOn w:val="Normal"/>
    <w:rsid w:val="00154589"/>
    <w:pPr>
      <w:pBdr>
        <w:top w:val="single" w:sz="4" w:space="0" w:color="auto"/>
        <w:left w:val="single" w:sz="12" w:space="9"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100" w:firstLine="100"/>
    </w:pPr>
    <w:rPr>
      <w:rFonts w:ascii="Arial Narrow" w:hAnsi="Arial Narrow"/>
      <w:color w:val="000000"/>
      <w:sz w:val="24"/>
      <w:szCs w:val="24"/>
      <w:lang w:val="en-US"/>
    </w:rPr>
  </w:style>
  <w:style w:type="paragraph" w:customStyle="1" w:styleId="xl89">
    <w:name w:val="xl89"/>
    <w:basedOn w:val="Normal"/>
    <w:rsid w:val="00154589"/>
    <w:pPr>
      <w:pBdr>
        <w:top w:val="single" w:sz="4" w:space="0" w:color="auto"/>
        <w:left w:val="single" w:sz="12" w:space="9"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100" w:firstLine="100"/>
    </w:pPr>
    <w:rPr>
      <w:rFonts w:ascii="Arial Narrow" w:hAnsi="Arial Narrow"/>
      <w:color w:val="000000"/>
      <w:sz w:val="24"/>
      <w:szCs w:val="24"/>
      <w:lang w:val="en-US"/>
    </w:rPr>
  </w:style>
  <w:style w:type="paragraph" w:customStyle="1" w:styleId="xl90">
    <w:name w:val="xl90"/>
    <w:basedOn w:val="Normal"/>
    <w:rsid w:val="00154589"/>
    <w:pPr>
      <w:pBdr>
        <w:top w:val="single" w:sz="4" w:space="0" w:color="auto"/>
        <w:left w:val="single" w:sz="12" w:space="9" w:color="auto"/>
        <w:bottom w:val="single" w:sz="4" w:space="0" w:color="auto"/>
      </w:pBdr>
      <w:shd w:val="clear" w:color="auto" w:fill="FFFFFF"/>
      <w:tabs>
        <w:tab w:val="clear" w:pos="1247"/>
        <w:tab w:val="clear" w:pos="1814"/>
        <w:tab w:val="clear" w:pos="2381"/>
        <w:tab w:val="clear" w:pos="2948"/>
        <w:tab w:val="clear" w:pos="3515"/>
      </w:tabs>
      <w:spacing w:before="100" w:beforeAutospacing="1" w:after="100" w:afterAutospacing="1"/>
      <w:ind w:firstLineChars="100" w:firstLine="100"/>
    </w:pPr>
    <w:rPr>
      <w:rFonts w:ascii="Arial Narrow" w:hAnsi="Arial Narrow"/>
      <w:color w:val="000000"/>
      <w:sz w:val="24"/>
      <w:szCs w:val="24"/>
      <w:lang w:val="en-US"/>
    </w:rPr>
  </w:style>
  <w:style w:type="paragraph" w:customStyle="1" w:styleId="xl91">
    <w:name w:val="xl91"/>
    <w:basedOn w:val="Normal"/>
    <w:rsid w:val="00154589"/>
    <w:pPr>
      <w:pBdr>
        <w:top w:val="single" w:sz="4" w:space="0" w:color="auto"/>
        <w:left w:val="single" w:sz="12" w:space="9" w:color="auto"/>
      </w:pBdr>
      <w:tabs>
        <w:tab w:val="clear" w:pos="1247"/>
        <w:tab w:val="clear" w:pos="1814"/>
        <w:tab w:val="clear" w:pos="2381"/>
        <w:tab w:val="clear" w:pos="2948"/>
        <w:tab w:val="clear" w:pos="3515"/>
      </w:tabs>
      <w:spacing w:before="100" w:beforeAutospacing="1" w:after="100" w:afterAutospacing="1"/>
      <w:ind w:firstLineChars="100" w:firstLine="100"/>
    </w:pPr>
    <w:rPr>
      <w:rFonts w:ascii="Arial Narrow" w:hAnsi="Arial Narrow"/>
      <w:color w:val="000000"/>
      <w:sz w:val="24"/>
      <w:szCs w:val="24"/>
      <w:lang w:val="en-US"/>
    </w:rPr>
  </w:style>
  <w:style w:type="paragraph" w:customStyle="1" w:styleId="xl92">
    <w:name w:val="xl92"/>
    <w:basedOn w:val="Normal"/>
    <w:rsid w:val="00154589"/>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ascii="Arial Narrow" w:hAnsi="Arial Narrow"/>
      <w:b/>
      <w:bCs/>
      <w:sz w:val="24"/>
      <w:szCs w:val="24"/>
      <w:lang w:val="en-US"/>
    </w:rPr>
  </w:style>
  <w:style w:type="paragraph" w:customStyle="1" w:styleId="xl93">
    <w:name w:val="xl93"/>
    <w:basedOn w:val="Normal"/>
    <w:rsid w:val="00154589"/>
    <w:pPr>
      <w:pBdr>
        <w:left w:val="single" w:sz="4" w:space="0" w:color="auto"/>
        <w:bottom w:val="single" w:sz="4" w:space="0" w:color="auto"/>
      </w:pBdr>
      <w:shd w:val="clear" w:color="auto" w:fill="FFFFFF"/>
      <w:tabs>
        <w:tab w:val="clear" w:pos="1247"/>
        <w:tab w:val="clear" w:pos="1814"/>
        <w:tab w:val="clear" w:pos="2381"/>
        <w:tab w:val="clear" w:pos="2948"/>
        <w:tab w:val="clear" w:pos="3515"/>
      </w:tabs>
      <w:spacing w:before="100" w:beforeAutospacing="1" w:after="100" w:afterAutospacing="1"/>
    </w:pPr>
    <w:rPr>
      <w:rFonts w:ascii="Arial Narrow" w:hAnsi="Arial Narrow"/>
      <w:b/>
      <w:bCs/>
      <w:sz w:val="24"/>
      <w:szCs w:val="24"/>
      <w:lang w:val="en-US"/>
    </w:rPr>
  </w:style>
  <w:style w:type="paragraph" w:customStyle="1" w:styleId="xl94">
    <w:name w:val="xl94"/>
    <w:basedOn w:val="Normal"/>
    <w:rsid w:val="00154589"/>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pPr>
    <w:rPr>
      <w:rFonts w:ascii="Arial Narrow" w:hAnsi="Arial Narrow"/>
      <w:b/>
      <w:bCs/>
      <w:sz w:val="24"/>
      <w:szCs w:val="24"/>
      <w:lang w:val="en-US"/>
    </w:rPr>
  </w:style>
  <w:style w:type="paragraph" w:customStyle="1" w:styleId="xl95">
    <w:name w:val="xl95"/>
    <w:basedOn w:val="Normal"/>
    <w:rsid w:val="00154589"/>
    <w:pPr>
      <w:pBdr>
        <w:top w:val="single" w:sz="4" w:space="0" w:color="auto"/>
        <w:left w:val="single" w:sz="12" w:space="9"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100" w:firstLine="100"/>
    </w:pPr>
    <w:rPr>
      <w:rFonts w:ascii="Arial Narrow" w:hAnsi="Arial Narrow"/>
      <w:sz w:val="24"/>
      <w:szCs w:val="24"/>
      <w:lang w:val="en-US"/>
    </w:rPr>
  </w:style>
  <w:style w:type="paragraph" w:customStyle="1" w:styleId="xl96">
    <w:name w:val="xl96"/>
    <w:basedOn w:val="Normal"/>
    <w:rsid w:val="00154589"/>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rFonts w:ascii="Arial Narrow" w:hAnsi="Arial Narrow"/>
      <w:b/>
      <w:bCs/>
      <w:sz w:val="24"/>
      <w:szCs w:val="24"/>
      <w:lang w:val="en-US"/>
    </w:rPr>
  </w:style>
  <w:style w:type="paragraph" w:customStyle="1" w:styleId="xl97">
    <w:name w:val="xl97"/>
    <w:basedOn w:val="Normal"/>
    <w:rsid w:val="00154589"/>
    <w:pPr>
      <w:pBdr>
        <w:right w:val="single" w:sz="4" w:space="0" w:color="auto"/>
      </w:pBdr>
      <w:tabs>
        <w:tab w:val="clear" w:pos="1247"/>
        <w:tab w:val="clear" w:pos="1814"/>
        <w:tab w:val="clear" w:pos="2381"/>
        <w:tab w:val="clear" w:pos="2948"/>
        <w:tab w:val="clear" w:pos="3515"/>
      </w:tabs>
      <w:spacing w:before="100" w:beforeAutospacing="1" w:after="100" w:afterAutospacing="1"/>
      <w:jc w:val="right"/>
    </w:pPr>
    <w:rPr>
      <w:rFonts w:ascii="Arial Narrow" w:hAnsi="Arial Narrow"/>
      <w:b/>
      <w:bCs/>
      <w:sz w:val="24"/>
      <w:szCs w:val="24"/>
      <w:lang w:val="en-US"/>
    </w:rPr>
  </w:style>
  <w:style w:type="paragraph" w:customStyle="1" w:styleId="font5">
    <w:name w:val="font5"/>
    <w:basedOn w:val="Normal"/>
    <w:rsid w:val="00154589"/>
    <w:pPr>
      <w:tabs>
        <w:tab w:val="clear" w:pos="1247"/>
        <w:tab w:val="clear" w:pos="1814"/>
        <w:tab w:val="clear" w:pos="2381"/>
        <w:tab w:val="clear" w:pos="2948"/>
        <w:tab w:val="clear" w:pos="3515"/>
      </w:tabs>
      <w:spacing w:before="100" w:beforeAutospacing="1" w:after="100" w:afterAutospacing="1"/>
    </w:pPr>
    <w:rPr>
      <w:sz w:val="18"/>
      <w:szCs w:val="18"/>
      <w:lang w:val="en-US"/>
    </w:rPr>
  </w:style>
  <w:style w:type="paragraph" w:customStyle="1" w:styleId="font7">
    <w:name w:val="font7"/>
    <w:basedOn w:val="Normal"/>
    <w:rsid w:val="00154589"/>
    <w:pPr>
      <w:tabs>
        <w:tab w:val="clear" w:pos="1247"/>
        <w:tab w:val="clear" w:pos="1814"/>
        <w:tab w:val="clear" w:pos="2381"/>
        <w:tab w:val="clear" w:pos="2948"/>
        <w:tab w:val="clear" w:pos="3515"/>
      </w:tabs>
      <w:spacing w:before="100" w:beforeAutospacing="1" w:after="100" w:afterAutospacing="1"/>
    </w:pPr>
    <w:rPr>
      <w:color w:val="000000"/>
      <w:sz w:val="18"/>
      <w:szCs w:val="18"/>
      <w:lang w:val="en-US"/>
    </w:rPr>
  </w:style>
  <w:style w:type="paragraph" w:customStyle="1" w:styleId="font8">
    <w:name w:val="font8"/>
    <w:basedOn w:val="Normal"/>
    <w:rsid w:val="00154589"/>
    <w:pPr>
      <w:tabs>
        <w:tab w:val="clear" w:pos="1247"/>
        <w:tab w:val="clear" w:pos="1814"/>
        <w:tab w:val="clear" w:pos="2381"/>
        <w:tab w:val="clear" w:pos="2948"/>
        <w:tab w:val="clear" w:pos="3515"/>
      </w:tabs>
      <w:spacing w:before="100" w:beforeAutospacing="1" w:after="100" w:afterAutospacing="1"/>
    </w:pPr>
    <w:rPr>
      <w:b/>
      <w:bCs/>
      <w:color w:val="000000"/>
      <w:sz w:val="18"/>
      <w:szCs w:val="18"/>
      <w:lang w:val="en-US"/>
    </w:rPr>
  </w:style>
  <w:style w:type="paragraph" w:customStyle="1" w:styleId="font9">
    <w:name w:val="font9"/>
    <w:basedOn w:val="Normal"/>
    <w:rsid w:val="00154589"/>
    <w:pPr>
      <w:tabs>
        <w:tab w:val="clear" w:pos="1247"/>
        <w:tab w:val="clear" w:pos="1814"/>
        <w:tab w:val="clear" w:pos="2381"/>
        <w:tab w:val="clear" w:pos="2948"/>
        <w:tab w:val="clear" w:pos="3515"/>
      </w:tabs>
      <w:spacing w:before="100" w:beforeAutospacing="1" w:after="100" w:afterAutospacing="1"/>
    </w:pPr>
    <w:rPr>
      <w:sz w:val="18"/>
      <w:szCs w:val="18"/>
      <w:lang w:val="en-US"/>
    </w:rPr>
  </w:style>
  <w:style w:type="paragraph" w:customStyle="1" w:styleId="xl69">
    <w:name w:val="xl69"/>
    <w:basedOn w:val="Normal"/>
    <w:rsid w:val="00154589"/>
    <w:pP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rPr>
  </w:style>
  <w:style w:type="paragraph" w:customStyle="1" w:styleId="xl98">
    <w:name w:val="xl98"/>
    <w:basedOn w:val="Normal"/>
    <w:rsid w:val="00154589"/>
    <w:pPr>
      <w:shd w:val="clear" w:color="auto" w:fill="FFFFFF"/>
      <w:tabs>
        <w:tab w:val="clear" w:pos="1247"/>
        <w:tab w:val="clear" w:pos="1814"/>
        <w:tab w:val="clear" w:pos="2381"/>
        <w:tab w:val="clear" w:pos="2948"/>
        <w:tab w:val="clear" w:pos="3515"/>
      </w:tabs>
      <w:spacing w:before="100" w:beforeAutospacing="1" w:after="100" w:afterAutospacing="1"/>
      <w:textAlignment w:val="center"/>
    </w:pPr>
    <w:rPr>
      <w:sz w:val="18"/>
      <w:szCs w:val="18"/>
      <w:lang w:val="en-US"/>
    </w:rPr>
  </w:style>
  <w:style w:type="paragraph" w:customStyle="1" w:styleId="xl99">
    <w:name w:val="xl99"/>
    <w:basedOn w:val="Normal"/>
    <w:rsid w:val="00154589"/>
    <w:pP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rPr>
  </w:style>
  <w:style w:type="paragraph" w:customStyle="1" w:styleId="xl100">
    <w:name w:val="xl100"/>
    <w:basedOn w:val="Normal"/>
    <w:rsid w:val="00154589"/>
    <w:pPr>
      <w:tabs>
        <w:tab w:val="clear" w:pos="1247"/>
        <w:tab w:val="clear" w:pos="1814"/>
        <w:tab w:val="clear" w:pos="2381"/>
        <w:tab w:val="clear" w:pos="2948"/>
        <w:tab w:val="clear" w:pos="3515"/>
      </w:tabs>
      <w:spacing w:before="100" w:beforeAutospacing="1" w:after="100" w:afterAutospacing="1"/>
      <w:textAlignment w:val="center"/>
    </w:pPr>
    <w:rPr>
      <w:sz w:val="18"/>
      <w:szCs w:val="18"/>
      <w:lang w:val="en-US"/>
    </w:rPr>
  </w:style>
  <w:style w:type="paragraph" w:customStyle="1" w:styleId="xl101">
    <w:name w:val="xl101"/>
    <w:basedOn w:val="Normal"/>
    <w:rsid w:val="00154589"/>
    <w:pPr>
      <w:tabs>
        <w:tab w:val="clear" w:pos="1247"/>
        <w:tab w:val="clear" w:pos="1814"/>
        <w:tab w:val="clear" w:pos="2381"/>
        <w:tab w:val="clear" w:pos="2948"/>
        <w:tab w:val="clear" w:pos="3515"/>
      </w:tabs>
      <w:spacing w:before="100" w:beforeAutospacing="1" w:after="100" w:afterAutospacing="1"/>
      <w:textAlignment w:val="center"/>
    </w:pPr>
    <w:rPr>
      <w:i/>
      <w:iCs/>
      <w:sz w:val="18"/>
      <w:szCs w:val="18"/>
      <w:lang w:val="en-US"/>
    </w:rPr>
  </w:style>
  <w:style w:type="paragraph" w:customStyle="1" w:styleId="xl102">
    <w:name w:val="xl102"/>
    <w:basedOn w:val="Normal"/>
    <w:rsid w:val="00154589"/>
    <w:pPr>
      <w:tabs>
        <w:tab w:val="clear" w:pos="1247"/>
        <w:tab w:val="clear" w:pos="1814"/>
        <w:tab w:val="clear" w:pos="2381"/>
        <w:tab w:val="clear" w:pos="2948"/>
        <w:tab w:val="clear" w:pos="3515"/>
      </w:tabs>
      <w:spacing w:before="100" w:beforeAutospacing="1" w:after="100" w:afterAutospacing="1"/>
    </w:pPr>
    <w:rPr>
      <w:b/>
      <w:bCs/>
      <w:sz w:val="18"/>
      <w:szCs w:val="18"/>
      <w:lang w:val="en-US"/>
    </w:rPr>
  </w:style>
  <w:style w:type="paragraph" w:customStyle="1" w:styleId="xl103">
    <w:name w:val="xl103"/>
    <w:basedOn w:val="Normal"/>
    <w:rsid w:val="00154589"/>
    <w:pPr>
      <w:shd w:val="clear" w:color="auto" w:fill="FFFFFF"/>
      <w:tabs>
        <w:tab w:val="clear" w:pos="1247"/>
        <w:tab w:val="clear" w:pos="1814"/>
        <w:tab w:val="clear" w:pos="2381"/>
        <w:tab w:val="clear" w:pos="2948"/>
        <w:tab w:val="clear" w:pos="3515"/>
      </w:tabs>
      <w:spacing w:before="100" w:beforeAutospacing="1" w:after="100" w:afterAutospacing="1"/>
      <w:textAlignment w:val="center"/>
    </w:pPr>
    <w:rPr>
      <w:color w:val="000000"/>
      <w:sz w:val="18"/>
      <w:szCs w:val="18"/>
      <w:lang w:val="en-US"/>
    </w:rPr>
  </w:style>
  <w:style w:type="paragraph" w:customStyle="1" w:styleId="xl104">
    <w:name w:val="xl104"/>
    <w:basedOn w:val="Normal"/>
    <w:rsid w:val="00154589"/>
    <w:pP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rPr>
  </w:style>
  <w:style w:type="paragraph" w:customStyle="1" w:styleId="xl105">
    <w:name w:val="xl105"/>
    <w:basedOn w:val="Normal"/>
    <w:rsid w:val="00154589"/>
    <w:pPr>
      <w:tabs>
        <w:tab w:val="clear" w:pos="1247"/>
        <w:tab w:val="clear" w:pos="1814"/>
        <w:tab w:val="clear" w:pos="2381"/>
        <w:tab w:val="clear" w:pos="2948"/>
        <w:tab w:val="clear" w:pos="3515"/>
      </w:tabs>
      <w:spacing w:before="100" w:beforeAutospacing="1" w:after="100" w:afterAutospacing="1"/>
      <w:textAlignment w:val="center"/>
    </w:pPr>
    <w:rPr>
      <w:b/>
      <w:bCs/>
      <w:color w:val="000000"/>
      <w:sz w:val="18"/>
      <w:szCs w:val="18"/>
      <w:lang w:val="en-US"/>
    </w:rPr>
  </w:style>
  <w:style w:type="paragraph" w:customStyle="1" w:styleId="xl106">
    <w:name w:val="xl106"/>
    <w:basedOn w:val="Normal"/>
    <w:rsid w:val="00154589"/>
    <w:pPr>
      <w:tabs>
        <w:tab w:val="clear" w:pos="1247"/>
        <w:tab w:val="clear" w:pos="1814"/>
        <w:tab w:val="clear" w:pos="2381"/>
        <w:tab w:val="clear" w:pos="2948"/>
        <w:tab w:val="clear" w:pos="3515"/>
      </w:tabs>
      <w:spacing w:before="100" w:beforeAutospacing="1" w:after="100" w:afterAutospacing="1"/>
      <w:textAlignment w:val="center"/>
    </w:pPr>
    <w:rPr>
      <w:b/>
      <w:bCs/>
      <w:i/>
      <w:iCs/>
      <w:sz w:val="18"/>
      <w:szCs w:val="18"/>
      <w:lang w:val="en-US"/>
    </w:rPr>
  </w:style>
  <w:style w:type="paragraph" w:customStyle="1" w:styleId="xl107">
    <w:name w:val="xl107"/>
    <w:basedOn w:val="Normal"/>
    <w:rsid w:val="00154589"/>
    <w:pPr>
      <w:tabs>
        <w:tab w:val="clear" w:pos="1247"/>
        <w:tab w:val="clear" w:pos="1814"/>
        <w:tab w:val="clear" w:pos="2381"/>
        <w:tab w:val="clear" w:pos="2948"/>
        <w:tab w:val="clear" w:pos="3515"/>
      </w:tabs>
      <w:spacing w:before="100" w:beforeAutospacing="1" w:after="100" w:afterAutospacing="1"/>
      <w:textAlignment w:val="center"/>
    </w:pPr>
    <w:rPr>
      <w:b/>
      <w:bCs/>
      <w:i/>
      <w:iCs/>
      <w:sz w:val="18"/>
      <w:szCs w:val="18"/>
      <w:lang w:val="en-US"/>
    </w:rPr>
  </w:style>
  <w:style w:type="paragraph" w:customStyle="1" w:styleId="xl108">
    <w:name w:val="xl108"/>
    <w:basedOn w:val="Normal"/>
    <w:rsid w:val="00154589"/>
    <w:pPr>
      <w:tabs>
        <w:tab w:val="clear" w:pos="1247"/>
        <w:tab w:val="clear" w:pos="1814"/>
        <w:tab w:val="clear" w:pos="2381"/>
        <w:tab w:val="clear" w:pos="2948"/>
        <w:tab w:val="clear" w:pos="3515"/>
      </w:tabs>
      <w:spacing w:before="100" w:beforeAutospacing="1" w:after="100" w:afterAutospacing="1"/>
      <w:textAlignment w:val="center"/>
    </w:pPr>
    <w:rPr>
      <w:b/>
      <w:bCs/>
      <w:i/>
      <w:iCs/>
      <w:sz w:val="18"/>
      <w:szCs w:val="18"/>
      <w:lang w:val="en-US"/>
    </w:rPr>
  </w:style>
  <w:style w:type="paragraph" w:customStyle="1" w:styleId="xl109">
    <w:name w:val="xl109"/>
    <w:basedOn w:val="Normal"/>
    <w:rsid w:val="00154589"/>
    <w:pPr>
      <w:tabs>
        <w:tab w:val="clear" w:pos="1247"/>
        <w:tab w:val="clear" w:pos="1814"/>
        <w:tab w:val="clear" w:pos="2381"/>
        <w:tab w:val="clear" w:pos="2948"/>
        <w:tab w:val="clear" w:pos="3515"/>
      </w:tabs>
      <w:spacing w:before="100" w:beforeAutospacing="1" w:after="100" w:afterAutospacing="1"/>
      <w:textAlignment w:val="center"/>
    </w:pPr>
    <w:rPr>
      <w:b/>
      <w:bCs/>
      <w:color w:val="000000"/>
      <w:sz w:val="18"/>
      <w:szCs w:val="18"/>
      <w:lang w:val="en-US"/>
    </w:rPr>
  </w:style>
  <w:style w:type="paragraph" w:customStyle="1" w:styleId="xl110">
    <w:name w:val="xl110"/>
    <w:basedOn w:val="Normal"/>
    <w:rsid w:val="00154589"/>
    <w:pPr>
      <w:tabs>
        <w:tab w:val="clear" w:pos="1247"/>
        <w:tab w:val="clear" w:pos="1814"/>
        <w:tab w:val="clear" w:pos="2381"/>
        <w:tab w:val="clear" w:pos="2948"/>
        <w:tab w:val="clear" w:pos="3515"/>
      </w:tabs>
      <w:spacing w:before="100" w:beforeAutospacing="1" w:after="100" w:afterAutospacing="1"/>
    </w:pPr>
    <w:rPr>
      <w:b/>
      <w:bCs/>
      <w:color w:val="000000"/>
      <w:sz w:val="18"/>
      <w:szCs w:val="18"/>
      <w:lang w:val="en-US"/>
    </w:rPr>
  </w:style>
  <w:style w:type="paragraph" w:customStyle="1" w:styleId="xl111">
    <w:name w:val="xl111"/>
    <w:basedOn w:val="Normal"/>
    <w:rsid w:val="00154589"/>
    <w:pPr>
      <w:tabs>
        <w:tab w:val="clear" w:pos="1247"/>
        <w:tab w:val="clear" w:pos="1814"/>
        <w:tab w:val="clear" w:pos="2381"/>
        <w:tab w:val="clear" w:pos="2948"/>
        <w:tab w:val="clear" w:pos="3515"/>
      </w:tabs>
      <w:spacing w:before="100" w:beforeAutospacing="1" w:after="100" w:afterAutospacing="1"/>
      <w:textAlignment w:val="center"/>
    </w:pPr>
    <w:rPr>
      <w:b/>
      <w:bCs/>
      <w:color w:val="000000"/>
      <w:sz w:val="18"/>
      <w:szCs w:val="18"/>
      <w:lang w:val="en-US"/>
    </w:rPr>
  </w:style>
  <w:style w:type="paragraph" w:customStyle="1" w:styleId="xl112">
    <w:name w:val="xl112"/>
    <w:basedOn w:val="Normal"/>
    <w:rsid w:val="00154589"/>
    <w:pPr>
      <w:shd w:val="clear" w:color="auto" w:fill="FFFFFF"/>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rPr>
  </w:style>
  <w:style w:type="paragraph" w:customStyle="1" w:styleId="xl113">
    <w:name w:val="xl113"/>
    <w:basedOn w:val="Normal"/>
    <w:rsid w:val="00154589"/>
    <w:pPr>
      <w:tabs>
        <w:tab w:val="clear" w:pos="1247"/>
        <w:tab w:val="clear" w:pos="1814"/>
        <w:tab w:val="clear" w:pos="2381"/>
        <w:tab w:val="clear" w:pos="2948"/>
        <w:tab w:val="clear" w:pos="3515"/>
      </w:tabs>
      <w:spacing w:before="100" w:beforeAutospacing="1" w:after="100" w:afterAutospacing="1"/>
      <w:textAlignment w:val="top"/>
    </w:pPr>
    <w:rPr>
      <w:b/>
      <w:bCs/>
      <w:sz w:val="18"/>
      <w:szCs w:val="18"/>
      <w:lang w:val="en-US"/>
    </w:rPr>
  </w:style>
  <w:style w:type="paragraph" w:customStyle="1" w:styleId="xl114">
    <w:name w:val="xl114"/>
    <w:basedOn w:val="Normal"/>
    <w:rsid w:val="00154589"/>
    <w:pP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rPr>
  </w:style>
  <w:style w:type="paragraph" w:customStyle="1" w:styleId="xl115">
    <w:name w:val="xl115"/>
    <w:basedOn w:val="Normal"/>
    <w:rsid w:val="00154589"/>
    <w:pPr>
      <w:tabs>
        <w:tab w:val="clear" w:pos="1247"/>
        <w:tab w:val="clear" w:pos="1814"/>
        <w:tab w:val="clear" w:pos="2381"/>
        <w:tab w:val="clear" w:pos="2948"/>
        <w:tab w:val="clear" w:pos="3515"/>
      </w:tabs>
      <w:spacing w:before="100" w:beforeAutospacing="1" w:after="100" w:afterAutospacing="1"/>
      <w:textAlignment w:val="center"/>
    </w:pPr>
    <w:rPr>
      <w:b/>
      <w:bCs/>
      <w:color w:val="000000"/>
      <w:sz w:val="18"/>
      <w:szCs w:val="18"/>
      <w:lang w:val="en-US"/>
    </w:rPr>
  </w:style>
  <w:style w:type="paragraph" w:customStyle="1" w:styleId="xl116">
    <w:name w:val="xl116"/>
    <w:basedOn w:val="Normal"/>
    <w:rsid w:val="00154589"/>
    <w:pPr>
      <w:tabs>
        <w:tab w:val="clear" w:pos="1247"/>
        <w:tab w:val="clear" w:pos="1814"/>
        <w:tab w:val="clear" w:pos="2381"/>
        <w:tab w:val="clear" w:pos="2948"/>
        <w:tab w:val="clear" w:pos="3515"/>
      </w:tabs>
      <w:spacing w:before="100" w:beforeAutospacing="1" w:after="100" w:afterAutospacing="1"/>
      <w:jc w:val="right"/>
      <w:textAlignment w:val="center"/>
    </w:pPr>
    <w:rPr>
      <w:b/>
      <w:bCs/>
      <w:color w:val="000000"/>
      <w:sz w:val="18"/>
      <w:szCs w:val="18"/>
      <w:lang w:val="en-US"/>
    </w:rPr>
  </w:style>
  <w:style w:type="paragraph" w:customStyle="1" w:styleId="xl117">
    <w:name w:val="xl117"/>
    <w:basedOn w:val="Normal"/>
    <w:rsid w:val="00154589"/>
    <w:pPr>
      <w:tabs>
        <w:tab w:val="clear" w:pos="1247"/>
        <w:tab w:val="clear" w:pos="1814"/>
        <w:tab w:val="clear" w:pos="2381"/>
        <w:tab w:val="clear" w:pos="2948"/>
        <w:tab w:val="clear" w:pos="3515"/>
      </w:tabs>
      <w:spacing w:before="100" w:beforeAutospacing="1" w:after="100" w:afterAutospacing="1"/>
      <w:jc w:val="right"/>
      <w:textAlignment w:val="center"/>
    </w:pPr>
    <w:rPr>
      <w:color w:val="000000"/>
      <w:sz w:val="18"/>
      <w:szCs w:val="18"/>
      <w:lang w:val="en-US"/>
    </w:rPr>
  </w:style>
  <w:style w:type="paragraph" w:customStyle="1" w:styleId="xl118">
    <w:name w:val="xl118"/>
    <w:basedOn w:val="Normal"/>
    <w:rsid w:val="00154589"/>
    <w:pP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rPr>
  </w:style>
  <w:style w:type="paragraph" w:customStyle="1" w:styleId="xl119">
    <w:name w:val="xl119"/>
    <w:basedOn w:val="Normal"/>
    <w:rsid w:val="00154589"/>
    <w:pPr>
      <w:tabs>
        <w:tab w:val="clear" w:pos="1247"/>
        <w:tab w:val="clear" w:pos="1814"/>
        <w:tab w:val="clear" w:pos="2381"/>
        <w:tab w:val="clear" w:pos="2948"/>
        <w:tab w:val="clear" w:pos="3515"/>
      </w:tabs>
      <w:spacing w:before="100" w:beforeAutospacing="1" w:after="100" w:afterAutospacing="1"/>
    </w:pPr>
    <w:rPr>
      <w:sz w:val="18"/>
      <w:szCs w:val="18"/>
      <w:lang w:val="en-US"/>
    </w:rPr>
  </w:style>
  <w:style w:type="paragraph" w:customStyle="1" w:styleId="xl120">
    <w:name w:val="xl120"/>
    <w:basedOn w:val="Normal"/>
    <w:rsid w:val="00154589"/>
    <w:pPr>
      <w:tabs>
        <w:tab w:val="clear" w:pos="1247"/>
        <w:tab w:val="clear" w:pos="1814"/>
        <w:tab w:val="clear" w:pos="2381"/>
        <w:tab w:val="clear" w:pos="2948"/>
        <w:tab w:val="clear" w:pos="3515"/>
      </w:tabs>
      <w:spacing w:before="100" w:beforeAutospacing="1" w:after="100" w:afterAutospacing="1"/>
    </w:pPr>
    <w:rPr>
      <w:sz w:val="18"/>
      <w:szCs w:val="18"/>
      <w:lang w:val="en-US"/>
    </w:rPr>
  </w:style>
  <w:style w:type="character" w:customStyle="1" w:styleId="Normal-poolChar">
    <w:name w:val="Normal-pool Char"/>
    <w:uiPriority w:val="99"/>
    <w:locked/>
    <w:rsid w:val="00154589"/>
    <w:rPr>
      <w:lang w:val="en-GB"/>
    </w:rPr>
  </w:style>
  <w:style w:type="character" w:customStyle="1" w:styleId="NormalNonumberChar">
    <w:name w:val="Normal_No_number Char"/>
    <w:link w:val="NormalNonumber"/>
    <w:locked/>
    <w:rsid w:val="00154589"/>
    <w:rPr>
      <w:lang w:val="en-GB"/>
    </w:rPr>
  </w:style>
  <w:style w:type="character" w:customStyle="1" w:styleId="Heading1Char">
    <w:name w:val="Heading 1 Char"/>
    <w:link w:val="Heading1"/>
    <w:rsid w:val="00154589"/>
    <w:rPr>
      <w:b/>
      <w:sz w:val="28"/>
      <w:lang w:val="en-GB"/>
    </w:rPr>
  </w:style>
  <w:style w:type="character" w:customStyle="1" w:styleId="Heading3Char">
    <w:name w:val="Heading 3 Char"/>
    <w:aliases w:val="Char Char"/>
    <w:link w:val="Heading3"/>
    <w:rsid w:val="00154589"/>
    <w:rPr>
      <w:b/>
      <w:lang w:val="en-GB"/>
    </w:rPr>
  </w:style>
  <w:style w:type="character" w:customStyle="1" w:styleId="Heading4Char">
    <w:name w:val="Heading 4 Char"/>
    <w:link w:val="Heading4"/>
    <w:rsid w:val="00154589"/>
    <w:rPr>
      <w:b/>
      <w:lang w:val="en-GB"/>
    </w:rPr>
  </w:style>
  <w:style w:type="character" w:customStyle="1" w:styleId="Heading5Char">
    <w:name w:val="Heading 5 Char"/>
    <w:link w:val="Heading5"/>
    <w:rsid w:val="00154589"/>
    <w:rPr>
      <w:rFonts w:ascii="Univers" w:hAnsi="Univers"/>
      <w:b/>
      <w:sz w:val="24"/>
      <w:lang w:val="en-GB"/>
    </w:rPr>
  </w:style>
  <w:style w:type="character" w:customStyle="1" w:styleId="Heading6Char">
    <w:name w:val="Heading 6 Char"/>
    <w:link w:val="Heading6"/>
    <w:rsid w:val="00154589"/>
    <w:rPr>
      <w:b/>
      <w:bCs/>
      <w:sz w:val="24"/>
      <w:lang w:val="en-GB"/>
    </w:rPr>
  </w:style>
  <w:style w:type="character" w:customStyle="1" w:styleId="Heading7Char">
    <w:name w:val="Heading 7 Char"/>
    <w:link w:val="Heading7"/>
    <w:rsid w:val="00154589"/>
    <w:rPr>
      <w:snapToGrid w:val="0"/>
      <w:u w:val="single"/>
    </w:rPr>
  </w:style>
  <w:style w:type="character" w:customStyle="1" w:styleId="Heading8Char">
    <w:name w:val="Heading 8 Char"/>
    <w:link w:val="Heading8"/>
    <w:rsid w:val="00154589"/>
    <w:rPr>
      <w:snapToGrid w:val="0"/>
      <w:u w:val="single"/>
    </w:rPr>
  </w:style>
  <w:style w:type="character" w:customStyle="1" w:styleId="Heading9Char">
    <w:name w:val="Heading 9 Char"/>
    <w:link w:val="Heading9"/>
    <w:rsid w:val="00154589"/>
    <w:rPr>
      <w:snapToGrid w:val="0"/>
      <w:u w:val="single"/>
    </w:rPr>
  </w:style>
  <w:style w:type="character" w:customStyle="1" w:styleId="FootnoteTextChar">
    <w:name w:val="Footnote Text Char"/>
    <w:aliases w:val="Fußnotentextf Char"/>
    <w:link w:val="FootnoteText"/>
    <w:uiPriority w:val="99"/>
    <w:rsid w:val="00154589"/>
    <w:rPr>
      <w:sz w:val="18"/>
      <w:lang w:val="en-GB"/>
    </w:rPr>
  </w:style>
  <w:style w:type="paragraph" w:styleId="BodyText3">
    <w:name w:val="Body Text 3"/>
    <w:basedOn w:val="Normal"/>
    <w:link w:val="BodyText3Char"/>
    <w:uiPriority w:val="99"/>
    <w:rsid w:val="00154589"/>
    <w:pPr>
      <w:tabs>
        <w:tab w:val="left" w:pos="540"/>
      </w:tabs>
    </w:pPr>
    <w:rPr>
      <w:rFonts w:ascii="Arial" w:hAnsi="Arial" w:cs="Arial"/>
    </w:rPr>
  </w:style>
  <w:style w:type="character" w:customStyle="1" w:styleId="BodyText3Char">
    <w:name w:val="Body Text 3 Char"/>
    <w:basedOn w:val="DefaultParagraphFont"/>
    <w:link w:val="BodyText3"/>
    <w:uiPriority w:val="99"/>
    <w:rsid w:val="00154589"/>
    <w:rPr>
      <w:rFonts w:ascii="Arial" w:hAnsi="Arial" w:cs="Arial"/>
      <w:lang w:val="en-GB"/>
    </w:rPr>
  </w:style>
  <w:style w:type="numbering" w:customStyle="1" w:styleId="NoList1">
    <w:name w:val="No List1"/>
    <w:next w:val="NoList"/>
    <w:uiPriority w:val="99"/>
    <w:semiHidden/>
    <w:unhideWhenUsed/>
    <w:rsid w:val="00154589"/>
  </w:style>
  <w:style w:type="numbering" w:customStyle="1" w:styleId="NoList11">
    <w:name w:val="No List11"/>
    <w:next w:val="NoList"/>
    <w:uiPriority w:val="99"/>
    <w:semiHidden/>
    <w:unhideWhenUsed/>
    <w:rsid w:val="00154589"/>
  </w:style>
  <w:style w:type="paragraph" w:customStyle="1" w:styleId="xl121">
    <w:name w:val="xl121"/>
    <w:basedOn w:val="Normal"/>
    <w:rsid w:val="00154589"/>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sz w:val="24"/>
      <w:szCs w:val="24"/>
      <w:lang w:val="fr-FR" w:eastAsia="fr-FR"/>
    </w:rPr>
  </w:style>
  <w:style w:type="paragraph" w:customStyle="1" w:styleId="xl122">
    <w:name w:val="xl122"/>
    <w:basedOn w:val="Normal"/>
    <w:rsid w:val="00154589"/>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sz w:val="24"/>
      <w:szCs w:val="24"/>
      <w:lang w:val="fr-FR" w:eastAsia="fr-FR"/>
    </w:rPr>
  </w:style>
  <w:style w:type="paragraph" w:customStyle="1" w:styleId="xl123">
    <w:name w:val="xl123"/>
    <w:basedOn w:val="Normal"/>
    <w:rsid w:val="00154589"/>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sz w:val="24"/>
      <w:szCs w:val="24"/>
      <w:lang w:val="fr-FR" w:eastAsia="fr-FR"/>
    </w:rPr>
  </w:style>
  <w:style w:type="paragraph" w:customStyle="1" w:styleId="xl124">
    <w:name w:val="xl124"/>
    <w:basedOn w:val="Normal"/>
    <w:rsid w:val="00154589"/>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fr-FR" w:eastAsia="fr-FR"/>
    </w:rPr>
  </w:style>
  <w:style w:type="paragraph" w:customStyle="1" w:styleId="xl125">
    <w:name w:val="xl125"/>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ascii="Arial" w:hAnsi="Arial" w:cs="Arial"/>
      <w:sz w:val="24"/>
      <w:szCs w:val="24"/>
      <w:lang w:val="fr-FR" w:eastAsia="fr-FR"/>
    </w:rPr>
  </w:style>
  <w:style w:type="paragraph" w:customStyle="1" w:styleId="xl126">
    <w:name w:val="xl126"/>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sz w:val="24"/>
      <w:szCs w:val="24"/>
      <w:lang w:val="fr-FR" w:eastAsia="fr-FR"/>
    </w:rPr>
  </w:style>
  <w:style w:type="paragraph" w:customStyle="1" w:styleId="xl127">
    <w:name w:val="xl127"/>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color w:val="DD0806"/>
      <w:sz w:val="24"/>
      <w:szCs w:val="24"/>
      <w:lang w:val="fr-FR" w:eastAsia="fr-FR"/>
    </w:rPr>
  </w:style>
  <w:style w:type="paragraph" w:customStyle="1" w:styleId="xl128">
    <w:name w:val="xl128"/>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sz w:val="24"/>
      <w:szCs w:val="24"/>
      <w:lang w:val="fr-FR" w:eastAsia="fr-FR"/>
    </w:rPr>
  </w:style>
  <w:style w:type="paragraph" w:customStyle="1" w:styleId="xl129">
    <w:name w:val="xl129"/>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sz w:val="24"/>
      <w:szCs w:val="24"/>
      <w:lang w:val="fr-FR" w:eastAsia="fr-FR"/>
    </w:rPr>
  </w:style>
  <w:style w:type="paragraph" w:customStyle="1" w:styleId="xl130">
    <w:name w:val="xl130"/>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sz w:val="24"/>
      <w:szCs w:val="24"/>
      <w:lang w:val="fr-FR" w:eastAsia="fr-FR"/>
    </w:rPr>
  </w:style>
  <w:style w:type="paragraph" w:customStyle="1" w:styleId="xl131">
    <w:name w:val="xl131"/>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ascii="Arial" w:hAnsi="Arial" w:cs="Arial"/>
      <w:color w:val="000000"/>
      <w:sz w:val="24"/>
      <w:szCs w:val="24"/>
      <w:lang w:val="fr-FR" w:eastAsia="fr-FR"/>
    </w:rPr>
  </w:style>
  <w:style w:type="paragraph" w:customStyle="1" w:styleId="xl132">
    <w:name w:val="xl132"/>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color w:val="000000"/>
      <w:sz w:val="24"/>
      <w:szCs w:val="24"/>
      <w:lang w:val="fr-FR" w:eastAsia="fr-FR"/>
    </w:rPr>
  </w:style>
  <w:style w:type="paragraph" w:customStyle="1" w:styleId="xl133">
    <w:name w:val="xl133"/>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center"/>
      <w:textAlignment w:val="center"/>
    </w:pPr>
    <w:rPr>
      <w:rFonts w:ascii="Arial" w:hAnsi="Arial" w:cs="Arial"/>
      <w:sz w:val="24"/>
      <w:szCs w:val="24"/>
      <w:lang w:val="fr-FR" w:eastAsia="fr-FR"/>
    </w:rPr>
  </w:style>
  <w:style w:type="paragraph" w:customStyle="1" w:styleId="xl134">
    <w:name w:val="xl134"/>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sz w:val="24"/>
      <w:szCs w:val="24"/>
      <w:lang w:val="fr-FR" w:eastAsia="fr-FR"/>
    </w:rPr>
  </w:style>
  <w:style w:type="paragraph" w:customStyle="1" w:styleId="xl135">
    <w:name w:val="xl135"/>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color w:val="DD0806"/>
      <w:sz w:val="24"/>
      <w:szCs w:val="24"/>
      <w:lang w:val="fr-FR" w:eastAsia="fr-FR"/>
    </w:rPr>
  </w:style>
  <w:style w:type="paragraph" w:customStyle="1" w:styleId="xl136">
    <w:name w:val="xl136"/>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sz w:val="24"/>
      <w:szCs w:val="24"/>
      <w:lang w:val="fr-FR" w:eastAsia="fr-FR"/>
    </w:rPr>
  </w:style>
  <w:style w:type="paragraph" w:customStyle="1" w:styleId="xl137">
    <w:name w:val="xl137"/>
    <w:basedOn w:val="Normal"/>
    <w:rsid w:val="00154589"/>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sz w:val="24"/>
      <w:szCs w:val="24"/>
      <w:lang w:val="fr-FR" w:eastAsia="fr-FR"/>
    </w:rPr>
  </w:style>
  <w:style w:type="paragraph" w:customStyle="1" w:styleId="xl138">
    <w:name w:val="xl138"/>
    <w:basedOn w:val="Normal"/>
    <w:rsid w:val="00154589"/>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rFonts w:ascii="Arial" w:hAnsi="Arial" w:cs="Arial"/>
      <w:sz w:val="24"/>
      <w:szCs w:val="24"/>
      <w:lang w:val="fr-FR" w:eastAsia="fr-FR"/>
    </w:rPr>
  </w:style>
  <w:style w:type="paragraph" w:customStyle="1" w:styleId="xl139">
    <w:name w:val="xl139"/>
    <w:basedOn w:val="Normal"/>
    <w:rsid w:val="00154589"/>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color w:val="DD0806"/>
      <w:sz w:val="24"/>
      <w:szCs w:val="24"/>
      <w:lang w:val="fr-FR" w:eastAsia="fr-FR"/>
    </w:rPr>
  </w:style>
  <w:style w:type="paragraph" w:customStyle="1" w:styleId="xl140">
    <w:name w:val="xl140"/>
    <w:basedOn w:val="Normal"/>
    <w:rsid w:val="00154589"/>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sz w:val="24"/>
      <w:szCs w:val="24"/>
      <w:lang w:val="fr-FR" w:eastAsia="fr-FR"/>
    </w:rPr>
  </w:style>
  <w:style w:type="paragraph" w:customStyle="1" w:styleId="xl141">
    <w:name w:val="xl141"/>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sz w:val="24"/>
      <w:szCs w:val="24"/>
      <w:lang w:val="fr-FR" w:eastAsia="fr-FR"/>
    </w:rPr>
  </w:style>
  <w:style w:type="paragraph" w:customStyle="1" w:styleId="xl142">
    <w:name w:val="xl142"/>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i/>
      <w:iCs/>
      <w:sz w:val="24"/>
      <w:szCs w:val="24"/>
      <w:lang w:val="fr-FR" w:eastAsia="fr-FR"/>
    </w:rPr>
  </w:style>
  <w:style w:type="paragraph" w:customStyle="1" w:styleId="xl143">
    <w:name w:val="xl143"/>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i/>
      <w:iCs/>
      <w:sz w:val="24"/>
      <w:szCs w:val="24"/>
      <w:lang w:val="fr-FR" w:eastAsia="fr-FR"/>
    </w:rPr>
  </w:style>
  <w:style w:type="paragraph" w:customStyle="1" w:styleId="xl144">
    <w:name w:val="xl144"/>
    <w:basedOn w:val="Normal"/>
    <w:rsid w:val="00154589"/>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color w:val="000000"/>
      <w:sz w:val="24"/>
      <w:szCs w:val="24"/>
      <w:lang w:val="fr-FR" w:eastAsia="fr-FR"/>
    </w:rPr>
  </w:style>
  <w:style w:type="paragraph" w:customStyle="1" w:styleId="xl145">
    <w:name w:val="xl145"/>
    <w:basedOn w:val="Normal"/>
    <w:rsid w:val="00154589"/>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color w:val="000000"/>
      <w:sz w:val="24"/>
      <w:szCs w:val="24"/>
      <w:lang w:val="fr-FR" w:eastAsia="fr-FR"/>
    </w:rPr>
  </w:style>
  <w:style w:type="paragraph" w:customStyle="1" w:styleId="xl146">
    <w:name w:val="xl146"/>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24"/>
      <w:szCs w:val="24"/>
      <w:lang w:val="fr-FR" w:eastAsia="fr-FR"/>
    </w:rPr>
  </w:style>
  <w:style w:type="paragraph" w:customStyle="1" w:styleId="xl147">
    <w:name w:val="xl147"/>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fr-FR" w:eastAsia="fr-FR"/>
    </w:rPr>
  </w:style>
  <w:style w:type="paragraph" w:customStyle="1" w:styleId="xl148">
    <w:name w:val="xl148"/>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24"/>
      <w:szCs w:val="24"/>
      <w:lang w:val="fr-FR" w:eastAsia="fr-FR"/>
    </w:rPr>
  </w:style>
  <w:style w:type="paragraph" w:customStyle="1" w:styleId="xl149">
    <w:name w:val="xl149"/>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24"/>
      <w:szCs w:val="24"/>
      <w:lang w:val="fr-FR" w:eastAsia="fr-FR"/>
    </w:rPr>
  </w:style>
  <w:style w:type="paragraph" w:customStyle="1" w:styleId="xl150">
    <w:name w:val="xl150"/>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color w:val="000000"/>
      <w:sz w:val="24"/>
      <w:szCs w:val="24"/>
      <w:lang w:val="fr-FR" w:eastAsia="fr-FR"/>
    </w:rPr>
  </w:style>
  <w:style w:type="paragraph" w:customStyle="1" w:styleId="xl151">
    <w:name w:val="xl151"/>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i/>
      <w:iCs/>
      <w:sz w:val="24"/>
      <w:szCs w:val="24"/>
      <w:lang w:val="fr-FR" w:eastAsia="fr-FR"/>
    </w:rPr>
  </w:style>
  <w:style w:type="paragraph" w:customStyle="1" w:styleId="xl152">
    <w:name w:val="xl152"/>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color w:val="DD0806"/>
      <w:sz w:val="24"/>
      <w:szCs w:val="24"/>
      <w:lang w:val="fr-FR" w:eastAsia="fr-FR"/>
    </w:rPr>
  </w:style>
  <w:style w:type="paragraph" w:customStyle="1" w:styleId="xl153">
    <w:name w:val="xl153"/>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i/>
      <w:iCs/>
      <w:sz w:val="24"/>
      <w:szCs w:val="24"/>
      <w:lang w:val="fr-FR" w:eastAsia="fr-FR"/>
    </w:rPr>
  </w:style>
  <w:style w:type="paragraph" w:customStyle="1" w:styleId="xl154">
    <w:name w:val="xl154"/>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rFonts w:ascii="Arial" w:hAnsi="Arial" w:cs="Arial"/>
      <w:sz w:val="24"/>
      <w:szCs w:val="24"/>
      <w:lang w:val="fr-FR" w:eastAsia="fr-FR"/>
    </w:rPr>
  </w:style>
  <w:style w:type="paragraph" w:customStyle="1" w:styleId="xl155">
    <w:name w:val="xl155"/>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sz w:val="24"/>
      <w:szCs w:val="24"/>
      <w:lang w:val="fr-FR" w:eastAsia="fr-FR"/>
    </w:rPr>
  </w:style>
  <w:style w:type="paragraph" w:customStyle="1" w:styleId="xl156">
    <w:name w:val="xl156"/>
    <w:basedOn w:val="Normal"/>
    <w:rsid w:val="00154589"/>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i/>
      <w:iCs/>
      <w:sz w:val="24"/>
      <w:szCs w:val="24"/>
      <w:lang w:val="fr-FR" w:eastAsia="fr-FR"/>
    </w:rPr>
  </w:style>
  <w:style w:type="paragraph" w:customStyle="1" w:styleId="xl157">
    <w:name w:val="xl157"/>
    <w:basedOn w:val="Normal"/>
    <w:rsid w:val="00154589"/>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color w:val="DD0806"/>
      <w:sz w:val="24"/>
      <w:szCs w:val="24"/>
      <w:lang w:val="fr-FR" w:eastAsia="fr-FR"/>
    </w:rPr>
  </w:style>
  <w:style w:type="paragraph" w:customStyle="1" w:styleId="xl158">
    <w:name w:val="xl158"/>
    <w:basedOn w:val="Normal"/>
    <w:rsid w:val="00154589"/>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i/>
      <w:iCs/>
      <w:sz w:val="24"/>
      <w:szCs w:val="24"/>
      <w:lang w:val="fr-FR" w:eastAsia="fr-FR"/>
    </w:rPr>
  </w:style>
  <w:style w:type="paragraph" w:customStyle="1" w:styleId="xl159">
    <w:name w:val="xl159"/>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sz w:val="24"/>
      <w:szCs w:val="24"/>
      <w:lang w:val="fr-FR" w:eastAsia="fr-FR"/>
    </w:rPr>
  </w:style>
  <w:style w:type="paragraph" w:customStyle="1" w:styleId="xl160">
    <w:name w:val="xl160"/>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color w:val="DD0806"/>
      <w:sz w:val="24"/>
      <w:szCs w:val="24"/>
      <w:lang w:val="fr-FR" w:eastAsia="fr-FR"/>
    </w:rPr>
  </w:style>
  <w:style w:type="paragraph" w:customStyle="1" w:styleId="xl161">
    <w:name w:val="xl161"/>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sz w:val="24"/>
      <w:szCs w:val="24"/>
      <w:lang w:val="fr-FR" w:eastAsia="fr-FR"/>
    </w:rPr>
  </w:style>
  <w:style w:type="paragraph" w:customStyle="1" w:styleId="xl162">
    <w:name w:val="xl162"/>
    <w:basedOn w:val="Normal"/>
    <w:rsid w:val="00154589"/>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color w:val="000000"/>
      <w:sz w:val="24"/>
      <w:szCs w:val="24"/>
      <w:lang w:val="fr-FR" w:eastAsia="fr-FR"/>
    </w:rPr>
  </w:style>
  <w:style w:type="paragraph" w:customStyle="1" w:styleId="xl163">
    <w:name w:val="xl163"/>
    <w:basedOn w:val="Normal"/>
    <w:rsid w:val="00154589"/>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24"/>
      <w:szCs w:val="24"/>
      <w:lang w:val="fr-FR" w:eastAsia="fr-FR"/>
    </w:rPr>
  </w:style>
  <w:style w:type="paragraph" w:customStyle="1" w:styleId="xl164">
    <w:name w:val="xl164"/>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ascii="Arial" w:hAnsi="Arial" w:cs="Arial"/>
      <w:color w:val="000000"/>
      <w:sz w:val="24"/>
      <w:szCs w:val="24"/>
      <w:lang w:val="fr-FR" w:eastAsia="fr-FR"/>
    </w:rPr>
  </w:style>
  <w:style w:type="paragraph" w:customStyle="1" w:styleId="xl165">
    <w:name w:val="xl165"/>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color w:val="000000"/>
      <w:sz w:val="24"/>
      <w:szCs w:val="24"/>
      <w:lang w:val="fr-FR" w:eastAsia="fr-FR"/>
    </w:rPr>
  </w:style>
  <w:style w:type="paragraph" w:customStyle="1" w:styleId="xl166">
    <w:name w:val="xl166"/>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fr-FR" w:eastAsia="fr-FR"/>
    </w:rPr>
  </w:style>
  <w:style w:type="paragraph" w:customStyle="1" w:styleId="xl167">
    <w:name w:val="xl167"/>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24"/>
      <w:szCs w:val="24"/>
      <w:lang w:val="fr-FR" w:eastAsia="fr-FR"/>
    </w:rPr>
  </w:style>
  <w:style w:type="paragraph" w:customStyle="1" w:styleId="xl168">
    <w:name w:val="xl168"/>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b/>
      <w:bCs/>
      <w:sz w:val="24"/>
      <w:szCs w:val="24"/>
      <w:lang w:val="fr-FR" w:eastAsia="fr-FR"/>
    </w:rPr>
  </w:style>
  <w:style w:type="paragraph" w:customStyle="1" w:styleId="xl169">
    <w:name w:val="xl169"/>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i/>
      <w:iCs/>
      <w:sz w:val="24"/>
      <w:szCs w:val="24"/>
      <w:lang w:val="fr-FR" w:eastAsia="fr-FR"/>
    </w:rPr>
  </w:style>
  <w:style w:type="paragraph" w:customStyle="1" w:styleId="xl170">
    <w:name w:val="xl170"/>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sz w:val="24"/>
      <w:szCs w:val="24"/>
      <w:lang w:val="fr-FR" w:eastAsia="fr-FR"/>
    </w:rPr>
  </w:style>
  <w:style w:type="paragraph" w:customStyle="1" w:styleId="xl171">
    <w:name w:val="xl171"/>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fr-FR" w:eastAsia="fr-FR"/>
    </w:rPr>
  </w:style>
  <w:style w:type="paragraph" w:customStyle="1" w:styleId="xl172">
    <w:name w:val="xl172"/>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24"/>
      <w:szCs w:val="24"/>
      <w:lang w:val="fr-FR" w:eastAsia="fr-FR"/>
    </w:rPr>
  </w:style>
  <w:style w:type="paragraph" w:customStyle="1" w:styleId="xl173">
    <w:name w:val="xl173"/>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24"/>
      <w:szCs w:val="24"/>
      <w:lang w:val="fr-FR" w:eastAsia="fr-FR"/>
    </w:rPr>
  </w:style>
  <w:style w:type="paragraph" w:customStyle="1" w:styleId="xl174">
    <w:name w:val="xl174"/>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24"/>
      <w:szCs w:val="24"/>
      <w:lang w:val="fr-FR" w:eastAsia="fr-FR"/>
    </w:rPr>
  </w:style>
  <w:style w:type="paragraph" w:customStyle="1" w:styleId="xl175">
    <w:name w:val="xl175"/>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fr-FR" w:eastAsia="fr-FR"/>
    </w:rPr>
  </w:style>
  <w:style w:type="paragraph" w:customStyle="1" w:styleId="xl176">
    <w:name w:val="xl176"/>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24"/>
      <w:szCs w:val="24"/>
      <w:lang w:val="fr-FR" w:eastAsia="fr-FR"/>
    </w:rPr>
  </w:style>
  <w:style w:type="paragraph" w:customStyle="1" w:styleId="xl177">
    <w:name w:val="xl177"/>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fr-FR" w:eastAsia="fr-FR"/>
    </w:rPr>
  </w:style>
  <w:style w:type="paragraph" w:customStyle="1" w:styleId="xl178">
    <w:name w:val="xl178"/>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ascii="Arial" w:hAnsi="Arial" w:cs="Arial"/>
      <w:b/>
      <w:bCs/>
      <w:sz w:val="24"/>
      <w:szCs w:val="24"/>
      <w:lang w:val="fr-FR" w:eastAsia="fr-FR"/>
    </w:rPr>
  </w:style>
  <w:style w:type="paragraph" w:customStyle="1" w:styleId="xl179">
    <w:name w:val="xl179"/>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color w:val="DD0806"/>
      <w:sz w:val="24"/>
      <w:szCs w:val="24"/>
      <w:lang w:val="fr-FR" w:eastAsia="fr-FR"/>
    </w:rPr>
  </w:style>
  <w:style w:type="paragraph" w:customStyle="1" w:styleId="xl180">
    <w:name w:val="xl180"/>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b/>
      <w:bCs/>
      <w:i/>
      <w:iCs/>
      <w:sz w:val="24"/>
      <w:szCs w:val="24"/>
      <w:lang w:val="fr-FR" w:eastAsia="fr-FR"/>
    </w:rPr>
  </w:style>
  <w:style w:type="paragraph" w:customStyle="1" w:styleId="xl181">
    <w:name w:val="xl181"/>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b/>
      <w:bCs/>
      <w:sz w:val="24"/>
      <w:szCs w:val="24"/>
      <w:lang w:val="fr-FR" w:eastAsia="fr-FR"/>
    </w:rPr>
  </w:style>
  <w:style w:type="paragraph" w:customStyle="1" w:styleId="xl182">
    <w:name w:val="xl182"/>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ascii="Arial" w:hAnsi="Arial" w:cs="Arial"/>
      <w:sz w:val="24"/>
      <w:szCs w:val="24"/>
      <w:lang w:val="fr-FR" w:eastAsia="fr-FR"/>
    </w:rPr>
  </w:style>
  <w:style w:type="paragraph" w:customStyle="1" w:styleId="xl183">
    <w:name w:val="xl183"/>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ascii="Arial" w:hAnsi="Arial" w:cs="Arial"/>
      <w:color w:val="000000"/>
      <w:sz w:val="24"/>
      <w:szCs w:val="24"/>
      <w:lang w:val="fr-FR" w:eastAsia="fr-FR"/>
    </w:rPr>
  </w:style>
  <w:style w:type="paragraph" w:customStyle="1" w:styleId="xl184">
    <w:name w:val="xl184"/>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24"/>
      <w:szCs w:val="24"/>
      <w:lang w:val="fr-FR" w:eastAsia="fr-FR"/>
    </w:rPr>
  </w:style>
  <w:style w:type="paragraph" w:customStyle="1" w:styleId="xl185">
    <w:name w:val="xl185"/>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24"/>
      <w:szCs w:val="24"/>
      <w:lang w:val="fr-FR" w:eastAsia="fr-FR"/>
    </w:rPr>
  </w:style>
  <w:style w:type="paragraph" w:customStyle="1" w:styleId="xl186">
    <w:name w:val="xl186"/>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pPr>
    <w:rPr>
      <w:rFonts w:ascii="Arial" w:hAnsi="Arial" w:cs="Arial"/>
      <w:b/>
      <w:bCs/>
      <w:sz w:val="24"/>
      <w:szCs w:val="24"/>
      <w:lang w:val="fr-FR" w:eastAsia="fr-FR"/>
    </w:rPr>
  </w:style>
  <w:style w:type="paragraph" w:customStyle="1" w:styleId="xl187">
    <w:name w:val="xl187"/>
    <w:basedOn w:val="Normal"/>
    <w:rsid w:val="00154589"/>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ascii="Arial" w:hAnsi="Arial" w:cs="Arial"/>
      <w:b/>
      <w:bCs/>
      <w:sz w:val="24"/>
      <w:szCs w:val="24"/>
      <w:lang w:val="fr-FR" w:eastAsia="fr-FR"/>
    </w:rPr>
  </w:style>
  <w:style w:type="paragraph" w:customStyle="1" w:styleId="xl188">
    <w:name w:val="xl188"/>
    <w:basedOn w:val="Normal"/>
    <w:rsid w:val="00154589"/>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ascii="Arial" w:hAnsi="Arial" w:cs="Arial"/>
      <w:b/>
      <w:bCs/>
      <w:sz w:val="24"/>
      <w:szCs w:val="24"/>
      <w:lang w:val="fr-FR" w:eastAsia="fr-FR"/>
    </w:rPr>
  </w:style>
  <w:style w:type="numbering" w:customStyle="1" w:styleId="NoList2">
    <w:name w:val="No List2"/>
    <w:next w:val="NoList"/>
    <w:uiPriority w:val="99"/>
    <w:semiHidden/>
    <w:unhideWhenUsed/>
    <w:rsid w:val="00154589"/>
  </w:style>
  <w:style w:type="numbering" w:customStyle="1" w:styleId="NoList12">
    <w:name w:val="No List12"/>
    <w:next w:val="NoList"/>
    <w:uiPriority w:val="99"/>
    <w:semiHidden/>
    <w:unhideWhenUsed/>
    <w:rsid w:val="00154589"/>
  </w:style>
  <w:style w:type="paragraph" w:customStyle="1" w:styleId="Footerpool">
    <w:name w:val="Footer_pool"/>
    <w:basedOn w:val="Normal"/>
    <w:next w:val="Normal"/>
    <w:semiHidden/>
    <w:rsid w:val="00154589"/>
    <w:pPr>
      <w:tabs>
        <w:tab w:val="clear" w:pos="1247"/>
        <w:tab w:val="clear" w:pos="1814"/>
        <w:tab w:val="clear" w:pos="2381"/>
        <w:tab w:val="clear" w:pos="2948"/>
        <w:tab w:val="clear" w:pos="3515"/>
        <w:tab w:val="left" w:pos="4321"/>
        <w:tab w:val="right" w:pos="8641"/>
      </w:tabs>
      <w:spacing w:before="60" w:after="120"/>
    </w:pPr>
    <w:rPr>
      <w:rFonts w:eastAsia="Calibri"/>
      <w:b/>
      <w:sz w:val="18"/>
      <w:lang w:val="en-US"/>
    </w:rPr>
  </w:style>
  <w:style w:type="paragraph" w:customStyle="1" w:styleId="Headerpool">
    <w:name w:val="Header_pool"/>
    <w:basedOn w:val="Normal"/>
    <w:next w:val="Normal"/>
    <w:semiHidden/>
    <w:rsid w:val="00154589"/>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Calibri"/>
      <w:b/>
      <w:sz w:val="18"/>
      <w:lang w:val="en-US"/>
    </w:rPr>
  </w:style>
  <w:style w:type="paragraph" w:customStyle="1" w:styleId="xl63">
    <w:name w:val="xl63"/>
    <w:basedOn w:val="Normal"/>
    <w:rsid w:val="00154589"/>
    <w:pPr>
      <w:pBdr>
        <w:top w:val="single" w:sz="4" w:space="0" w:color="auto"/>
        <w:left w:val="single" w:sz="12"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24"/>
      <w:szCs w:val="24"/>
      <w:lang w:val="fr-FR" w:eastAsia="fr-FR"/>
    </w:rPr>
  </w:style>
  <w:style w:type="paragraph" w:customStyle="1" w:styleId="xl64">
    <w:name w:val="xl64"/>
    <w:basedOn w:val="Normal"/>
    <w:rsid w:val="00154589"/>
    <w:pPr>
      <w:pBdr>
        <w:top w:val="single" w:sz="4" w:space="0" w:color="auto"/>
        <w:left w:val="single" w:sz="4" w:space="9"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ascii="Arial Narrow" w:hAnsi="Arial Narrow"/>
      <w:b/>
      <w:bCs/>
      <w:sz w:val="24"/>
      <w:szCs w:val="24"/>
      <w:lang w:val="fr-FR" w:eastAsia="fr-FR"/>
    </w:rPr>
  </w:style>
  <w:style w:type="paragraph" w:styleId="NoSpacing">
    <w:name w:val="No Spacing"/>
    <w:uiPriority w:val="1"/>
    <w:qFormat/>
    <w:rsid w:val="00154589"/>
    <w:rPr>
      <w:rFonts w:ascii="Calibri" w:eastAsia="Calibri" w:hAnsi="Calibri"/>
      <w:sz w:val="22"/>
      <w:szCs w:val="22"/>
      <w:lang w:val="en-AU"/>
    </w:rPr>
  </w:style>
  <w:style w:type="character" w:customStyle="1" w:styleId="HeaderChar1">
    <w:name w:val="Header Char1"/>
    <w:uiPriority w:val="99"/>
    <w:semiHidden/>
    <w:rsid w:val="00154589"/>
    <w:rPr>
      <w:szCs w:val="24"/>
    </w:rPr>
  </w:style>
  <w:style w:type="character" w:customStyle="1" w:styleId="ZZAnxtitleChar">
    <w:name w:val="ZZ_Anx_title Char"/>
    <w:link w:val="ZZAnxtitle"/>
    <w:rsid w:val="00154589"/>
    <w:rPr>
      <w:b/>
      <w:bCs/>
      <w:sz w:val="28"/>
      <w:szCs w:val="26"/>
      <w:lang w:val="en-GB"/>
    </w:rPr>
  </w:style>
  <w:style w:type="paragraph" w:styleId="Revision">
    <w:name w:val="Revision"/>
    <w:hidden/>
    <w:uiPriority w:val="99"/>
    <w:rsid w:val="0015458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176273">
      <w:bodyDiv w:val="1"/>
      <w:marLeft w:val="0"/>
      <w:marRight w:val="0"/>
      <w:marTop w:val="0"/>
      <w:marBottom w:val="0"/>
      <w:divBdr>
        <w:top w:val="none" w:sz="0" w:space="0" w:color="auto"/>
        <w:left w:val="none" w:sz="0" w:space="0" w:color="auto"/>
        <w:bottom w:val="none" w:sz="0" w:space="0" w:color="auto"/>
        <w:right w:val="none" w:sz="0" w:space="0" w:color="auto"/>
      </w:divBdr>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435754874">
      <w:bodyDiv w:val="1"/>
      <w:marLeft w:val="0"/>
      <w:marRight w:val="0"/>
      <w:marTop w:val="0"/>
      <w:marBottom w:val="0"/>
      <w:divBdr>
        <w:top w:val="none" w:sz="0" w:space="0" w:color="auto"/>
        <w:left w:val="none" w:sz="0" w:space="0" w:color="auto"/>
        <w:bottom w:val="none" w:sz="0" w:space="0" w:color="auto"/>
        <w:right w:val="none" w:sz="0" w:space="0" w:color="auto"/>
      </w:divBdr>
    </w:div>
    <w:div w:id="852108757">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270702521">
      <w:bodyDiv w:val="1"/>
      <w:marLeft w:val="0"/>
      <w:marRight w:val="0"/>
      <w:marTop w:val="0"/>
      <w:marBottom w:val="0"/>
      <w:divBdr>
        <w:top w:val="none" w:sz="0" w:space="0" w:color="auto"/>
        <w:left w:val="none" w:sz="0" w:space="0" w:color="auto"/>
        <w:bottom w:val="none" w:sz="0" w:space="0" w:color="auto"/>
        <w:right w:val="none" w:sz="0" w:space="0" w:color="auto"/>
      </w:divBdr>
    </w:div>
    <w:div w:id="1280835813">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314868716">
      <w:bodyDiv w:val="1"/>
      <w:marLeft w:val="0"/>
      <w:marRight w:val="0"/>
      <w:marTop w:val="0"/>
      <w:marBottom w:val="0"/>
      <w:divBdr>
        <w:top w:val="none" w:sz="0" w:space="0" w:color="auto"/>
        <w:left w:val="none" w:sz="0" w:space="0" w:color="auto"/>
        <w:bottom w:val="none" w:sz="0" w:space="0" w:color="auto"/>
        <w:right w:val="none" w:sz="0" w:space="0" w:color="auto"/>
      </w:divBdr>
    </w:div>
    <w:div w:id="1453744098">
      <w:bodyDiv w:val="1"/>
      <w:marLeft w:val="0"/>
      <w:marRight w:val="0"/>
      <w:marTop w:val="0"/>
      <w:marBottom w:val="0"/>
      <w:divBdr>
        <w:top w:val="none" w:sz="0" w:space="0" w:color="auto"/>
        <w:left w:val="none" w:sz="0" w:space="0" w:color="auto"/>
        <w:bottom w:val="none" w:sz="0" w:space="0" w:color="auto"/>
        <w:right w:val="none" w:sz="0" w:space="0" w:color="auto"/>
      </w:divBdr>
    </w:div>
    <w:div w:id="1470318374">
      <w:bodyDiv w:val="1"/>
      <w:marLeft w:val="0"/>
      <w:marRight w:val="0"/>
      <w:marTop w:val="0"/>
      <w:marBottom w:val="0"/>
      <w:divBdr>
        <w:top w:val="none" w:sz="0" w:space="0" w:color="auto"/>
        <w:left w:val="none" w:sz="0" w:space="0" w:color="auto"/>
        <w:bottom w:val="none" w:sz="0" w:space="0" w:color="auto"/>
        <w:right w:val="none" w:sz="0" w:space="0" w:color="auto"/>
      </w:divBdr>
    </w:div>
    <w:div w:id="1840806474">
      <w:bodyDiv w:val="1"/>
      <w:marLeft w:val="0"/>
      <w:marRight w:val="0"/>
      <w:marTop w:val="0"/>
      <w:marBottom w:val="0"/>
      <w:divBdr>
        <w:top w:val="none" w:sz="0" w:space="0" w:color="auto"/>
        <w:left w:val="none" w:sz="0" w:space="0" w:color="auto"/>
        <w:bottom w:val="none" w:sz="0" w:space="0" w:color="auto"/>
        <w:right w:val="none" w:sz="0" w:space="0" w:color="auto"/>
      </w:divBdr>
    </w:div>
    <w:div w:id="2057503921">
      <w:bodyDiv w:val="1"/>
      <w:marLeft w:val="0"/>
      <w:marRight w:val="0"/>
      <w:marTop w:val="0"/>
      <w:marBottom w:val="0"/>
      <w:divBdr>
        <w:top w:val="none" w:sz="0" w:space="0" w:color="auto"/>
        <w:left w:val="none" w:sz="0" w:space="0" w:color="auto"/>
        <w:bottom w:val="none" w:sz="0" w:space="0" w:color="auto"/>
        <w:right w:val="none" w:sz="0" w:space="0" w:color="auto"/>
      </w:divBdr>
    </w:div>
    <w:div w:id="207280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data.imf.org/?sk=388DFA60-1D26-4ADE-B505-A05A558D9A42"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4.xml"/><Relationship Id="rId31"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84B370D190DC43B94C18FF1DB65391" ma:contentTypeVersion="" ma:contentTypeDescription="Create a new document." ma:contentTypeScope="" ma:versionID="0e474f04c2da7fde4f5254541d396b5d">
  <xsd:schema xmlns:xsd="http://www.w3.org/2001/XMLSchema" xmlns:xs="http://www.w3.org/2001/XMLSchema" xmlns:p="http://schemas.microsoft.com/office/2006/metadata/properties" xmlns:ns2="F4665145-6BBF-4B5D-97F1-5CFBEE2B1137" targetNamespace="http://schemas.microsoft.com/office/2006/metadata/properties" ma:root="true" ma:fieldsID="2b6ddfb2860348ee1e532a8ee32fa765" ns2:_="">
    <xsd:import namespace="F4665145-6BBF-4B5D-97F1-5CFBEE2B1137"/>
    <xsd:element name="properties">
      <xsd:complexType>
        <xsd:sequence>
          <xsd:element name="documentManagement">
            <xsd:complexType>
              <xsd:all>
                <xsd:element ref="ns2:Document_x0020_Symbo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65145-6BBF-4B5D-97F1-5CFBEE2B1137" elementFormDefault="qualified">
    <xsd:import namespace="http://schemas.microsoft.com/office/2006/documentManagement/types"/>
    <xsd:import namespace="http://schemas.microsoft.com/office/infopath/2007/PartnerControls"/>
    <xsd:element name="Document_x0020_Symbol" ma:index="8"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Symbol xmlns="F4665145-6BBF-4B5D-97F1-5CFBEE2B1137">UNEP/OzL.Conv.11/7-UNEP/OzL.Pro.29/8	</Document_x0020_Symbol>
  </documentManagement>
</p:properties>
</file>

<file path=customXml/itemProps1.xml><?xml version="1.0" encoding="utf-8"?>
<ds:datastoreItem xmlns:ds="http://schemas.openxmlformats.org/officeDocument/2006/customXml" ds:itemID="{80215F6B-2310-47C1-95A3-F16910230F7D}"/>
</file>

<file path=customXml/itemProps2.xml><?xml version="1.0" encoding="utf-8"?>
<ds:datastoreItem xmlns:ds="http://schemas.openxmlformats.org/officeDocument/2006/customXml" ds:itemID="{E6157DFB-0900-4E2C-9C71-43A1ED9A09F8}"/>
</file>

<file path=customXml/itemProps3.xml><?xml version="1.0" encoding="utf-8"?>
<ds:datastoreItem xmlns:ds="http://schemas.openxmlformats.org/officeDocument/2006/customXml" ds:itemID="{584E41E4-F8B8-4F9C-8773-14CF13F3ED75}"/>
</file>

<file path=customXml/itemProps4.xml><?xml version="1.0" encoding="utf-8"?>
<ds:datastoreItem xmlns:ds="http://schemas.openxmlformats.org/officeDocument/2006/customXml" ds:itemID="{A3F0A526-CCCB-4898-89CE-5918FC54F2EB}"/>
</file>

<file path=docProps/app.xml><?xml version="1.0" encoding="utf-8"?>
<Properties xmlns="http://schemas.openxmlformats.org/officeDocument/2006/extended-properties" xmlns:vt="http://schemas.openxmlformats.org/officeDocument/2006/docPropsVTypes">
  <Template>Normal.dotm</Template>
  <TotalTime>3</TotalTime>
  <Pages>76</Pages>
  <Words>43911</Words>
  <Characters>241346</Characters>
  <Application>Microsoft Office Word</Application>
  <DocSecurity>0</DocSecurity>
  <Lines>2011</Lines>
  <Paragraphs>569</Paragraphs>
  <ScaleCrop>false</ScaleCrop>
  <HeadingPairs>
    <vt:vector size="2" baseType="variant">
      <vt:variant>
        <vt:lpstr>Title</vt:lpstr>
      </vt:variant>
      <vt:variant>
        <vt:i4>1</vt:i4>
      </vt:variant>
    </vt:vector>
  </HeadingPairs>
  <TitlesOfParts>
    <vt:vector size="1" baseType="lpstr">
      <vt:lpstr>NATIONS UNIES</vt:lpstr>
    </vt:vector>
  </TitlesOfParts>
  <Company/>
  <LinksUpToDate>false</LinksUpToDate>
  <CharactersWithSpaces>284688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combined 11th meeting of the Conference of the Parties to the Vienna Convention for the Protection of the Ozone Layer and the Meeting of the Parties to the Montreal Protocol on Substances that Deplete the Ozone Layer </dc:title>
  <dc:creator>Veronica Gathu</dc:creator>
  <cp:lastModifiedBy>Benjamin Kuria</cp:lastModifiedBy>
  <cp:revision>2</cp:revision>
  <cp:lastPrinted>2018-02-08T12:17:00Z</cp:lastPrinted>
  <dcterms:created xsi:type="dcterms:W3CDTF">2018-02-08T12:27:00Z</dcterms:created>
  <dcterms:modified xsi:type="dcterms:W3CDTF">2018-02-08T12:27:00Z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0x0101003C84B370D190DC43B94C18FF1DB65391</vt:lpwstr>
  </property>
</Properties>
</file>